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4"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10-K</w:t>
      </w:r>
    </w:p>
    <w:p>
      <w:pPr>
        <w:spacing w:after="0" w:line="25"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ANNUAL REPORT PURSUANT TO SECTION 13 OR 15(d) OF THE SECURITIES EXCHANGE ACT OF 1934</w:t>
      </w:r>
    </w:p>
    <w:p>
      <w:pPr>
        <w:spacing w:after="0" w:line="56"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 the fiscal year ended February 1, 2014</w:t>
      </w:r>
    </w:p>
    <w:p>
      <w:pPr>
        <w:spacing w:after="0" w:line="15"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or</w:t>
      </w:r>
    </w:p>
    <w:p>
      <w:pPr>
        <w:spacing w:after="0" w:line="64"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6"/>
          <w:szCs w:val="16"/>
          <w:color w:val="auto"/>
        </w:rPr>
      </w:pPr>
      <w:r>
        <w:rPr>
          <w:rFonts w:ascii="Arial" w:cs="Arial" w:eastAsia="Arial" w:hAnsi="Arial"/>
          <w:sz w:val="16"/>
          <w:szCs w:val="16"/>
          <w:b w:val="1"/>
          <w:bCs w:val="1"/>
          <w:color w:val="auto"/>
        </w:rPr>
        <w:t>TRANSITION REPORT PURSUANT TO SECTION 13 OR 15(d) OF THE SECURITIES EXCHANGE ACT OF 1934</w:t>
      </w:r>
    </w:p>
    <w:p>
      <w:pPr>
        <w:sectPr>
          <w:pgSz w:w="11900" w:h="16838" w:orient="portrait"/>
          <w:cols w:equalWidth="0" w:num="1">
            <w:col w:w="11380"/>
          </w:cols>
          <w:pgMar w:left="240" w:top="230" w:right="279" w:bottom="1440" w:gutter="0" w:footer="0" w:header="0"/>
        </w:sectPr>
      </w:pPr>
    </w:p>
    <w:p>
      <w:pPr>
        <w:spacing w:after="0" w:line="92" w:lineRule="exact"/>
        <w:rPr>
          <w:sz w:val="24"/>
          <w:szCs w:val="24"/>
          <w:color w:val="auto"/>
        </w:rPr>
      </w:pPr>
    </w:p>
    <w:p>
      <w:pPr>
        <w:ind w:left="4000"/>
        <w:spacing w:after="0"/>
        <w:rPr>
          <w:sz w:val="20"/>
          <w:szCs w:val="20"/>
          <w:color w:val="auto"/>
        </w:rPr>
      </w:pPr>
      <w:r>
        <w:rPr>
          <w:rFonts w:ascii="Arial" w:cs="Arial" w:eastAsia="Arial" w:hAnsi="Arial"/>
          <w:sz w:val="16"/>
          <w:szCs w:val="16"/>
          <w:color w:val="auto"/>
        </w:rPr>
        <w:t>For the transition period from</w:t>
      </w:r>
    </w:p>
    <w:p>
      <w:pPr>
        <w:spacing w:after="0" w:line="20" w:lineRule="exact"/>
        <w:rPr>
          <w:sz w:val="24"/>
          <w:szCs w:val="24"/>
          <w:color w:val="auto"/>
        </w:rPr>
      </w:pPr>
      <w:r>
        <w:rPr>
          <w:sz w:val="24"/>
          <w:szCs w:val="24"/>
          <w:color w:val="auto"/>
        </w:rPr>
        <w:br w:type="column"/>
      </w:r>
    </w:p>
    <w:p>
      <w:pPr>
        <w:spacing w:after="0" w:line="72" w:lineRule="exact"/>
        <w:rPr>
          <w:sz w:val="24"/>
          <w:szCs w:val="24"/>
          <w:color w:val="auto"/>
        </w:rPr>
      </w:pPr>
    </w:p>
    <w:p>
      <w:pPr>
        <w:spacing w:after="0"/>
        <w:rPr>
          <w:sz w:val="20"/>
          <w:szCs w:val="20"/>
          <w:color w:val="auto"/>
        </w:rPr>
      </w:pPr>
      <w:r>
        <w:rPr>
          <w:rFonts w:ascii="Arial" w:cs="Arial" w:eastAsia="Arial" w:hAnsi="Arial"/>
          <w:sz w:val="14"/>
          <w:szCs w:val="14"/>
          <w:color w:val="auto"/>
        </w:rPr>
        <w:t>to</w:t>
      </w:r>
    </w:p>
    <w:p>
      <w:pPr>
        <w:spacing w:after="0" w:line="135" w:lineRule="exact"/>
        <w:rPr>
          <w:sz w:val="24"/>
          <w:szCs w:val="24"/>
          <w:color w:val="auto"/>
        </w:rPr>
      </w:pPr>
    </w:p>
    <w:p>
      <w:pPr>
        <w:sectPr>
          <w:pgSz w:w="11900" w:h="16838" w:orient="portrait"/>
          <w:cols w:equalWidth="0" w:num="2">
            <w:col w:w="6100" w:space="620"/>
            <w:col w:w="4660"/>
          </w:cols>
          <w:pgMar w:left="240" w:top="230" w:right="279" w:bottom="1440" w:gutter="0" w:footer="0" w:header="0"/>
          <w:type w:val="continuous"/>
        </w:sectPr>
      </w:pPr>
    </w:p>
    <w:p>
      <w:pPr>
        <w:jc w:val="center"/>
        <w:ind w:right="-39"/>
        <w:spacing w:after="0"/>
        <w:rPr>
          <w:sz w:val="20"/>
          <w:szCs w:val="20"/>
          <w:color w:val="auto"/>
        </w:rPr>
      </w:pPr>
      <w:r>
        <w:rPr>
          <w:rFonts w:ascii="Arial" w:cs="Arial" w:eastAsia="Arial" w:hAnsi="Arial"/>
          <w:sz w:val="16"/>
          <w:szCs w:val="16"/>
          <w:color w:val="auto"/>
        </w:rPr>
        <w:t>Commission file number 0-30877</w:t>
      </w:r>
    </w:p>
    <w:p>
      <w:pPr>
        <w:sectPr>
          <w:pgSz w:w="11900" w:h="16838" w:orient="portrait"/>
          <w:cols w:equalWidth="0" w:num="1">
            <w:col w:w="11380"/>
          </w:cols>
          <w:pgMar w:left="240" w:top="230" w:right="279" w:bottom="1440" w:gutter="0" w:footer="0" w:header="0"/>
          <w:type w:val="continuous"/>
        </w:sectPr>
      </w:pPr>
    </w:p>
    <w:p>
      <w:pPr>
        <w:spacing w:after="0" w:line="38"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91" w:lineRule="exact"/>
        <w:rPr>
          <w:sz w:val="24"/>
          <w:szCs w:val="24"/>
          <w:color w:val="auto"/>
        </w:rPr>
      </w:pPr>
    </w:p>
    <w:tbl>
      <w:tblPr>
        <w:tblLayout w:type="fixed"/>
        <w:tblInd w:w="1260" w:type="dxa"/>
        <w:tblCellMar>
          <w:top w:w="0" w:type="dxa"/>
          <w:left w:w="0" w:type="dxa"/>
          <w:bottom w:w="0" w:type="dxa"/>
          <w:right w:w="0" w:type="dxa"/>
        </w:tblCellMar>
      </w:tblPr>
      <w:tr>
        <w:trPr>
          <w:trHeight w:val="172"/>
        </w:trPr>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3880" w:type="dxa"/>
            <w:vAlign w:val="bottom"/>
            <w:gridSpan w:val="3"/>
          </w:tcPr>
          <w:p>
            <w:pPr>
              <w:jc w:val="center"/>
              <w:ind w:left="582"/>
              <w:spacing w:after="0"/>
              <w:rPr>
                <w:sz w:val="20"/>
                <w:szCs w:val="20"/>
                <w:color w:val="auto"/>
              </w:rPr>
            </w:pPr>
            <w:r>
              <w:rPr>
                <w:rFonts w:ascii="Arial" w:cs="Arial" w:eastAsia="Arial" w:hAnsi="Arial"/>
                <w:sz w:val="14"/>
                <w:szCs w:val="14"/>
                <w:b w:val="1"/>
                <w:bCs w:val="1"/>
                <w:i w:val="1"/>
                <w:iCs w:val="1"/>
                <w:color w:val="auto"/>
                <w:w w:val="84"/>
              </w:rPr>
              <w:t>(Exact name of registrant as specified in its charter)</w:t>
            </w:r>
          </w:p>
        </w:tc>
        <w:tc>
          <w:tcPr>
            <w:tcW w:w="2660" w:type="dxa"/>
            <w:vAlign w:val="bottom"/>
          </w:tcPr>
          <w:p>
            <w:pPr>
              <w:spacing w:after="0"/>
              <w:rPr>
                <w:sz w:val="14"/>
                <w:szCs w:val="14"/>
                <w:color w:val="auto"/>
              </w:rPr>
            </w:pPr>
          </w:p>
        </w:tc>
      </w:tr>
      <w:tr>
        <w:trPr>
          <w:trHeight w:val="220"/>
        </w:trPr>
        <w:tc>
          <w:tcPr>
            <w:tcW w:w="1100" w:type="dxa"/>
            <w:vAlign w:val="bottom"/>
          </w:tcPr>
          <w:p>
            <w:pPr>
              <w:spacing w:after="0"/>
              <w:rPr>
                <w:sz w:val="19"/>
                <w:szCs w:val="19"/>
                <w:color w:val="auto"/>
              </w:rPr>
            </w:pPr>
          </w:p>
        </w:tc>
        <w:tc>
          <w:tcPr>
            <w:tcW w:w="4960" w:type="dxa"/>
            <w:vAlign w:val="bottom"/>
            <w:gridSpan w:val="4"/>
          </w:tcPr>
          <w:p>
            <w:pPr>
              <w:jc w:val="center"/>
              <w:ind w:right="3900"/>
              <w:spacing w:after="0"/>
              <w:rPr>
                <w:sz w:val="20"/>
                <w:szCs w:val="20"/>
                <w:color w:val="auto"/>
              </w:rPr>
            </w:pPr>
            <w:r>
              <w:rPr>
                <w:rFonts w:ascii="Arial" w:cs="Arial" w:eastAsia="Arial" w:hAnsi="Arial"/>
                <w:sz w:val="18"/>
                <w:szCs w:val="18"/>
                <w:b w:val="1"/>
                <w:bCs w:val="1"/>
                <w:color w:val="auto"/>
                <w:w w:val="89"/>
              </w:rPr>
              <w:t>Bermuda</w:t>
            </w:r>
          </w:p>
        </w:tc>
        <w:tc>
          <w:tcPr>
            <w:tcW w:w="2660" w:type="dxa"/>
            <w:vAlign w:val="bottom"/>
          </w:tcPr>
          <w:p>
            <w:pPr>
              <w:jc w:val="center"/>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6060" w:type="dxa"/>
            <w:vAlign w:val="bottom"/>
            <w:gridSpan w:val="5"/>
          </w:tcPr>
          <w:p>
            <w:pPr>
              <w:jc w:val="center"/>
              <w:ind w:right="2800"/>
              <w:spacing w:after="0" w:line="149" w:lineRule="exact"/>
              <w:rPr>
                <w:sz w:val="20"/>
                <w:szCs w:val="20"/>
                <w:color w:val="auto"/>
              </w:rPr>
            </w:pPr>
            <w:r>
              <w:rPr>
                <w:rFonts w:ascii="Arial" w:cs="Arial" w:eastAsia="Arial" w:hAnsi="Arial"/>
                <w:sz w:val="14"/>
                <w:szCs w:val="14"/>
                <w:b w:val="1"/>
                <w:bCs w:val="1"/>
                <w:i w:val="1"/>
                <w:iCs w:val="1"/>
                <w:color w:val="auto"/>
                <w:w w:val="84"/>
              </w:rPr>
              <w:t>(State or other jurisdiction of</w:t>
            </w:r>
          </w:p>
        </w:tc>
        <w:tc>
          <w:tcPr>
            <w:tcW w:w="2660" w:type="dxa"/>
            <w:vAlign w:val="bottom"/>
          </w:tcPr>
          <w:p>
            <w:pPr>
              <w:jc w:val="center"/>
              <w:spacing w:after="0" w:line="149" w:lineRule="exact"/>
              <w:rPr>
                <w:sz w:val="20"/>
                <w:szCs w:val="20"/>
                <w:color w:val="auto"/>
              </w:rPr>
            </w:pPr>
            <w:r>
              <w:rPr>
                <w:rFonts w:ascii="Arial" w:cs="Arial" w:eastAsia="Arial" w:hAnsi="Arial"/>
                <w:sz w:val="14"/>
                <w:szCs w:val="14"/>
                <w:b w:val="1"/>
                <w:bCs w:val="1"/>
                <w:i w:val="1"/>
                <w:iCs w:val="1"/>
                <w:color w:val="auto"/>
                <w:w w:val="87"/>
              </w:rPr>
              <w:t>(I.R.S. Employer</w:t>
            </w:r>
          </w:p>
        </w:tc>
      </w:tr>
      <w:tr>
        <w:trPr>
          <w:trHeight w:val="172"/>
        </w:trPr>
        <w:tc>
          <w:tcPr>
            <w:tcW w:w="6060" w:type="dxa"/>
            <w:vAlign w:val="bottom"/>
            <w:gridSpan w:val="5"/>
          </w:tcPr>
          <w:p>
            <w:pPr>
              <w:jc w:val="center"/>
              <w:ind w:right="2800"/>
              <w:spacing w:after="0"/>
              <w:rPr>
                <w:sz w:val="20"/>
                <w:szCs w:val="20"/>
                <w:color w:val="auto"/>
              </w:rPr>
            </w:pPr>
            <w:r>
              <w:rPr>
                <w:rFonts w:ascii="Arial" w:cs="Arial" w:eastAsia="Arial" w:hAnsi="Arial"/>
                <w:sz w:val="14"/>
                <w:szCs w:val="14"/>
                <w:b w:val="1"/>
                <w:bCs w:val="1"/>
                <w:i w:val="1"/>
                <w:iCs w:val="1"/>
                <w:color w:val="auto"/>
                <w:w w:val="85"/>
              </w:rPr>
              <w:t>incorporation or organization)</w:t>
            </w:r>
          </w:p>
        </w:tc>
        <w:tc>
          <w:tcPr>
            <w:tcW w:w="2660" w:type="dxa"/>
            <w:vAlign w:val="bottom"/>
          </w:tcPr>
          <w:p>
            <w:pPr>
              <w:jc w:val="center"/>
              <w:spacing w:after="0"/>
              <w:rPr>
                <w:sz w:val="20"/>
                <w:szCs w:val="20"/>
                <w:color w:val="auto"/>
              </w:rPr>
            </w:pPr>
            <w:r>
              <w:rPr>
                <w:rFonts w:ascii="Arial" w:cs="Arial" w:eastAsia="Arial" w:hAnsi="Arial"/>
                <w:sz w:val="14"/>
                <w:szCs w:val="14"/>
                <w:b w:val="1"/>
                <w:bCs w:val="1"/>
                <w:i w:val="1"/>
                <w:iCs w:val="1"/>
                <w:color w:val="auto"/>
                <w:w w:val="86"/>
              </w:rPr>
              <w:t>Identification No.)</w:t>
            </w:r>
          </w:p>
        </w:tc>
      </w:tr>
      <w:tr>
        <w:trPr>
          <w:trHeight w:val="246"/>
        </w:trPr>
        <w:tc>
          <w:tcPr>
            <w:tcW w:w="1100" w:type="dxa"/>
            <w:vAlign w:val="bottom"/>
          </w:tcPr>
          <w:p>
            <w:pPr>
              <w:spacing w:after="0"/>
              <w:rPr>
                <w:sz w:val="21"/>
                <w:szCs w:val="21"/>
                <w:color w:val="auto"/>
              </w:rPr>
            </w:pPr>
          </w:p>
        </w:tc>
        <w:tc>
          <w:tcPr>
            <w:tcW w:w="7620" w:type="dxa"/>
            <w:vAlign w:val="bottom"/>
            <w:gridSpan w:val="5"/>
          </w:tcPr>
          <w:p>
            <w:pPr>
              <w:jc w:val="center"/>
              <w:ind w:right="844"/>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r>
      <w:tr>
        <w:trPr>
          <w:trHeight w:val="145"/>
        </w:trPr>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800" w:type="dxa"/>
            <w:vAlign w:val="bottom"/>
            <w:gridSpan w:val="2"/>
          </w:tcPr>
          <w:p>
            <w:pPr>
              <w:jc w:val="center"/>
              <w:ind w:right="400"/>
              <w:spacing w:after="0" w:line="145" w:lineRule="exact"/>
              <w:rPr>
                <w:sz w:val="20"/>
                <w:szCs w:val="20"/>
                <w:color w:val="auto"/>
              </w:rPr>
            </w:pPr>
            <w:r>
              <w:rPr>
                <w:rFonts w:ascii="Arial" w:cs="Arial" w:eastAsia="Arial" w:hAnsi="Arial"/>
                <w:sz w:val="14"/>
                <w:szCs w:val="14"/>
                <w:b w:val="1"/>
                <w:bCs w:val="1"/>
                <w:i w:val="1"/>
                <w:iCs w:val="1"/>
                <w:color w:val="auto"/>
                <w:w w:val="82"/>
              </w:rPr>
              <w:t>(Address of principal executive offices)</w:t>
            </w:r>
          </w:p>
        </w:tc>
        <w:tc>
          <w:tcPr>
            <w:tcW w:w="2660" w:type="dxa"/>
            <w:vAlign w:val="bottom"/>
          </w:tcPr>
          <w:p>
            <w:pPr>
              <w:spacing w:after="0"/>
              <w:rPr>
                <w:sz w:val="12"/>
                <w:szCs w:val="12"/>
                <w:color w:val="auto"/>
              </w:rPr>
            </w:pPr>
          </w:p>
        </w:tc>
      </w:tr>
      <w:tr>
        <w:trPr>
          <w:trHeight w:val="220"/>
        </w:trPr>
        <w:tc>
          <w:tcPr>
            <w:tcW w:w="5640" w:type="dxa"/>
            <w:vAlign w:val="bottom"/>
            <w:gridSpan w:val="4"/>
          </w:tcPr>
          <w:p>
            <w:pPr>
              <w:jc w:val="center"/>
              <w:ind w:left="3182"/>
              <w:spacing w:after="0"/>
              <w:rPr>
                <w:sz w:val="20"/>
                <w:szCs w:val="20"/>
                <w:color w:val="auto"/>
              </w:rPr>
            </w:pPr>
            <w:r>
              <w:rPr>
                <w:rFonts w:ascii="Arial" w:cs="Arial" w:eastAsia="Arial" w:hAnsi="Arial"/>
                <w:sz w:val="18"/>
                <w:szCs w:val="18"/>
                <w:b w:val="1"/>
                <w:bCs w:val="1"/>
                <w:color w:val="auto"/>
                <w:w w:val="89"/>
              </w:rPr>
              <w:t>(441) 296-6395</w:t>
            </w:r>
          </w:p>
        </w:tc>
        <w:tc>
          <w:tcPr>
            <w:tcW w:w="420" w:type="dxa"/>
            <w:vAlign w:val="bottom"/>
          </w:tcPr>
          <w:p>
            <w:pPr>
              <w:spacing w:after="0"/>
              <w:rPr>
                <w:sz w:val="19"/>
                <w:szCs w:val="19"/>
                <w:color w:val="auto"/>
              </w:rPr>
            </w:pPr>
          </w:p>
        </w:tc>
        <w:tc>
          <w:tcPr>
            <w:tcW w:w="2660" w:type="dxa"/>
            <w:vAlign w:val="bottom"/>
          </w:tcPr>
          <w:p>
            <w:pPr>
              <w:spacing w:after="0"/>
              <w:rPr>
                <w:sz w:val="19"/>
                <w:szCs w:val="19"/>
                <w:color w:val="auto"/>
              </w:rPr>
            </w:pPr>
          </w:p>
        </w:tc>
      </w:tr>
      <w:tr>
        <w:trPr>
          <w:trHeight w:val="172"/>
        </w:trPr>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3880" w:type="dxa"/>
            <w:vAlign w:val="bottom"/>
            <w:gridSpan w:val="3"/>
          </w:tcPr>
          <w:p>
            <w:pPr>
              <w:jc w:val="center"/>
              <w:ind w:left="602"/>
              <w:spacing w:after="0"/>
              <w:rPr>
                <w:sz w:val="20"/>
                <w:szCs w:val="20"/>
                <w:color w:val="auto"/>
              </w:rPr>
            </w:pPr>
            <w:r>
              <w:rPr>
                <w:rFonts w:ascii="Arial" w:cs="Arial" w:eastAsia="Arial" w:hAnsi="Arial"/>
                <w:sz w:val="14"/>
                <w:szCs w:val="14"/>
                <w:b w:val="1"/>
                <w:bCs w:val="1"/>
                <w:i w:val="1"/>
                <w:iCs w:val="1"/>
                <w:color w:val="auto"/>
                <w:w w:val="83"/>
              </w:rPr>
              <w:t>(Registrant’s telephone number, including area code)</w:t>
            </w:r>
          </w:p>
        </w:tc>
        <w:tc>
          <w:tcPr>
            <w:tcW w:w="2660" w:type="dxa"/>
            <w:vAlign w:val="bottom"/>
          </w:tcPr>
          <w:p>
            <w:pPr>
              <w:spacing w:after="0"/>
              <w:rPr>
                <w:sz w:val="14"/>
                <w:szCs w:val="14"/>
                <w:color w:val="auto"/>
              </w:rPr>
            </w:pPr>
          </w:p>
        </w:tc>
      </w:tr>
      <w:tr>
        <w:trPr>
          <w:trHeight w:val="149"/>
        </w:trPr>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380" w:type="dxa"/>
            <w:vAlign w:val="bottom"/>
            <w:tcBorders>
              <w:bottom w:val="single" w:sz="8" w:color="auto"/>
            </w:tcBorders>
          </w:tcPr>
          <w:p>
            <w:pPr>
              <w:spacing w:after="0"/>
              <w:rPr>
                <w:sz w:val="12"/>
                <w:szCs w:val="12"/>
                <w:color w:val="auto"/>
              </w:rPr>
            </w:pPr>
          </w:p>
        </w:tc>
        <w:tc>
          <w:tcPr>
            <w:tcW w:w="3080" w:type="dxa"/>
            <w:vAlign w:val="bottom"/>
            <w:gridSpan w:val="2"/>
          </w:tcPr>
          <w:p>
            <w:pPr>
              <w:spacing w:after="0"/>
              <w:rPr>
                <w:sz w:val="12"/>
                <w:szCs w:val="12"/>
                <w:color w:val="auto"/>
              </w:rPr>
            </w:pPr>
          </w:p>
        </w:tc>
      </w:tr>
      <w:tr>
        <w:trPr>
          <w:trHeight w:val="262"/>
        </w:trPr>
        <w:tc>
          <w:tcPr>
            <w:tcW w:w="11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6540" w:type="dxa"/>
            <w:vAlign w:val="bottom"/>
            <w:gridSpan w:val="4"/>
          </w:tcPr>
          <w:p>
            <w:pPr>
              <w:jc w:val="center"/>
              <w:ind w:right="1924"/>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r>
      <w:tr>
        <w:trPr>
          <w:trHeight w:val="218"/>
        </w:trPr>
        <w:tc>
          <w:tcPr>
            <w:tcW w:w="1100" w:type="dxa"/>
            <w:vAlign w:val="bottom"/>
          </w:tcPr>
          <w:p>
            <w:pPr>
              <w:spacing w:after="0"/>
              <w:rPr>
                <w:sz w:val="18"/>
                <w:szCs w:val="18"/>
                <w:color w:val="auto"/>
              </w:rPr>
            </w:pPr>
          </w:p>
        </w:tc>
        <w:tc>
          <w:tcPr>
            <w:tcW w:w="10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Title of each class</w:t>
            </w:r>
          </w:p>
        </w:tc>
        <w:tc>
          <w:tcPr>
            <w:tcW w:w="3880" w:type="dxa"/>
            <w:vAlign w:val="bottom"/>
            <w:gridSpan w:val="3"/>
          </w:tcPr>
          <w:p>
            <w:pPr>
              <w:spacing w:after="0"/>
              <w:rPr>
                <w:sz w:val="18"/>
                <w:szCs w:val="18"/>
                <w:color w:val="auto"/>
              </w:rPr>
            </w:pPr>
          </w:p>
        </w:tc>
        <w:tc>
          <w:tcPr>
            <w:tcW w:w="2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Name of each exchange on which registered</w:t>
            </w:r>
          </w:p>
        </w:tc>
      </w:tr>
      <w:tr>
        <w:trPr>
          <w:trHeight w:val="215"/>
        </w:trPr>
        <w:tc>
          <w:tcPr>
            <w:tcW w:w="2180" w:type="dxa"/>
            <w:vAlign w:val="bottom"/>
            <w:gridSpan w:val="2"/>
          </w:tcPr>
          <w:p>
            <w:pPr>
              <w:spacing w:after="0"/>
              <w:rPr>
                <w:sz w:val="20"/>
                <w:szCs w:val="20"/>
                <w:color w:val="auto"/>
              </w:rPr>
            </w:pPr>
            <w:r>
              <w:rPr>
                <w:rFonts w:ascii="Arial" w:cs="Arial" w:eastAsia="Arial" w:hAnsi="Arial"/>
                <w:sz w:val="18"/>
                <w:szCs w:val="18"/>
                <w:b w:val="1"/>
                <w:bCs w:val="1"/>
                <w:color w:val="auto"/>
                <w:w w:val="90"/>
              </w:rPr>
              <w:t>Common shares, $0.002 par</w:t>
            </w:r>
          </w:p>
        </w:tc>
        <w:tc>
          <w:tcPr>
            <w:tcW w:w="3880" w:type="dxa"/>
            <w:vAlign w:val="bottom"/>
            <w:gridSpan w:val="3"/>
          </w:tcPr>
          <w:p>
            <w:pPr>
              <w:spacing w:after="0"/>
              <w:rPr>
                <w:sz w:val="20"/>
                <w:szCs w:val="20"/>
                <w:color w:val="auto"/>
              </w:rPr>
            </w:pPr>
            <w:r>
              <w:rPr>
                <w:rFonts w:ascii="Arial" w:cs="Arial" w:eastAsia="Arial" w:hAnsi="Arial"/>
                <w:sz w:val="18"/>
                <w:szCs w:val="18"/>
                <w:b w:val="1"/>
                <w:bCs w:val="1"/>
                <w:color w:val="auto"/>
              </w:rPr>
              <w:t>value per share</w:t>
            </w:r>
          </w:p>
        </w:tc>
        <w:tc>
          <w:tcPr>
            <w:tcW w:w="2660" w:type="dxa"/>
            <w:vAlign w:val="bottom"/>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r>
    </w:tbl>
    <w:p>
      <w:pPr>
        <w:jc w:val="center"/>
        <w:ind w:right="-39"/>
        <w:spacing w:after="0"/>
        <w:rPr>
          <w:sz w:val="20"/>
          <w:szCs w:val="20"/>
          <w:color w:val="auto"/>
        </w:rPr>
      </w:pPr>
      <w:r>
        <w:rPr>
          <w:rFonts w:ascii="Arial" w:cs="Arial" w:eastAsia="Arial" w:hAnsi="Arial"/>
          <w:sz w:val="18"/>
          <w:szCs w:val="18"/>
          <w:b w:val="1"/>
          <w:bCs w:val="1"/>
          <w:color w:val="auto"/>
        </w:rPr>
        <w:t>Securities registered pursuant to Section 12(g) of the Act:</w:t>
      </w:r>
    </w:p>
    <w:p>
      <w:pPr>
        <w:spacing w:after="0" w:line="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None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101600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230" w:right="279" w:bottom="1440" w:gutter="0" w:footer="0" w:header="0"/>
          <w:type w:val="continuous"/>
        </w:sectPr>
      </w:pPr>
    </w:p>
    <w:p>
      <w:pPr>
        <w:spacing w:after="0" w:line="219" w:lineRule="exact"/>
        <w:rPr>
          <w:sz w:val="24"/>
          <w:szCs w:val="24"/>
          <w:color w:val="auto"/>
        </w:rPr>
      </w:pPr>
    </w:p>
    <w:p>
      <w:pPr>
        <w:ind w:left="360"/>
        <w:spacing w:after="0"/>
        <w:rPr>
          <w:sz w:val="20"/>
          <w:szCs w:val="20"/>
          <w:color w:val="auto"/>
        </w:rPr>
      </w:pPr>
      <w:r>
        <w:rPr>
          <w:rFonts w:ascii="Arial" w:cs="Arial" w:eastAsia="Arial" w:hAnsi="Arial"/>
          <w:sz w:val="15"/>
          <w:szCs w:val="15"/>
          <w:color w:val="auto"/>
        </w:rPr>
        <w:t>Indicate by check mark if the registrant is a well-known seasoned issuer, as defined in Rule 405 of the Securities Act.</w:t>
      </w:r>
    </w:p>
    <w:p>
      <w:pPr>
        <w:spacing w:after="0" w:line="20" w:lineRule="exact"/>
        <w:rPr>
          <w:sz w:val="24"/>
          <w:szCs w:val="24"/>
          <w:color w:val="auto"/>
        </w:rPr>
      </w:pPr>
      <w:r>
        <w:rPr>
          <w:sz w:val="24"/>
          <w:szCs w:val="24"/>
          <w:color w:val="auto"/>
        </w:rPr>
        <w:br w:type="column"/>
      </w:r>
    </w:p>
    <w:p>
      <w:pPr>
        <w:spacing w:after="0" w:line="199" w:lineRule="exact"/>
        <w:rPr>
          <w:sz w:val="24"/>
          <w:szCs w:val="24"/>
          <w:color w:val="auto"/>
        </w:rPr>
      </w:pPr>
    </w:p>
    <w:p>
      <w:pPr>
        <w:spacing w:after="0"/>
        <w:rPr>
          <w:sz w:val="20"/>
          <w:szCs w:val="20"/>
          <w:color w:val="auto"/>
        </w:rPr>
      </w:pPr>
      <w:r>
        <w:rPr>
          <w:rFonts w:ascii="Arial" w:cs="Arial" w:eastAsia="Arial" w:hAnsi="Arial"/>
          <w:sz w:val="15"/>
          <w:szCs w:val="15"/>
          <w:color w:val="auto"/>
        </w:rPr>
        <w:t>Yes</w:t>
      </w:r>
    </w:p>
    <w:p>
      <w:pPr>
        <w:spacing w:after="0" w:line="20" w:lineRule="exact"/>
        <w:rPr>
          <w:sz w:val="24"/>
          <w:szCs w:val="24"/>
          <w:color w:val="auto"/>
        </w:rPr>
      </w:pPr>
      <w:r>
        <w:rPr>
          <w:sz w:val="24"/>
          <w:szCs w:val="24"/>
          <w:color w:val="auto"/>
        </w:rPr>
        <w:br w:type="column"/>
      </w:r>
    </w:p>
    <w:p>
      <w:pPr>
        <w:spacing w:after="0" w:line="166"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99"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20" w:lineRule="exact"/>
        <w:rPr>
          <w:sz w:val="24"/>
          <w:szCs w:val="24"/>
          <w:color w:val="auto"/>
        </w:rPr>
      </w:pPr>
      <w:r>
        <w:rPr>
          <w:sz w:val="24"/>
          <w:szCs w:val="24"/>
          <w:color w:val="auto"/>
        </w:rPr>
        <w:br w:type="column"/>
      </w:r>
    </w:p>
    <w:p>
      <w:pPr>
        <w:spacing w:after="0" w:line="166"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14" w:lineRule="exact"/>
        <w:rPr>
          <w:sz w:val="24"/>
          <w:szCs w:val="24"/>
          <w:color w:val="auto"/>
        </w:rPr>
      </w:pPr>
    </w:p>
    <w:p>
      <w:pPr>
        <w:sectPr>
          <w:pgSz w:w="11900" w:h="16838" w:orient="portrait"/>
          <w:cols w:equalWidth="0" w:num="5">
            <w:col w:w="8600" w:space="160"/>
            <w:col w:w="260" w:space="80"/>
            <w:col w:w="160" w:space="180"/>
            <w:col w:w="220" w:space="80"/>
            <w:col w:w="1640"/>
          </w:cols>
          <w:pgMar w:left="240" w:top="230" w:right="279" w:bottom="1440" w:gutter="0" w:footer="0" w:header="0"/>
          <w:type w:val="continuous"/>
        </w:sectPr>
      </w:pPr>
    </w:p>
    <w:p>
      <w:pPr>
        <w:spacing w:after="0" w:line="28" w:lineRule="exact"/>
        <w:rPr>
          <w:sz w:val="24"/>
          <w:szCs w:val="24"/>
          <w:color w:val="auto"/>
        </w:rPr>
      </w:pPr>
    </w:p>
    <w:p>
      <w:pPr>
        <w:ind w:left="360"/>
        <w:spacing w:after="0"/>
        <w:rPr>
          <w:sz w:val="20"/>
          <w:szCs w:val="20"/>
          <w:color w:val="auto"/>
        </w:rPr>
      </w:pPr>
      <w:r>
        <w:rPr>
          <w:rFonts w:ascii="Arial" w:cs="Arial" w:eastAsia="Arial" w:hAnsi="Arial"/>
          <w:sz w:val="16"/>
          <w:szCs w:val="16"/>
          <w:color w:val="auto"/>
        </w:rPr>
        <w:t>Indicate by check mark if the registrant is not required to file reports pursuant to Section 13 or Section 15(d) of the Act.</w:t>
      </w:r>
    </w:p>
    <w:p>
      <w:pPr>
        <w:spacing w:after="0" w:line="20" w:lineRule="exact"/>
        <w:rPr>
          <w:sz w:val="24"/>
          <w:szCs w:val="24"/>
          <w:color w:val="auto"/>
        </w:rPr>
      </w:pPr>
      <w:r>
        <w:rPr>
          <w:sz w:val="24"/>
          <w:szCs w:val="24"/>
          <w:color w:val="auto"/>
        </w:rPr>
        <w:br w:type="column"/>
      </w:r>
    </w:p>
    <w:p>
      <w:pPr>
        <w:spacing w:after="0" w:line="8" w:lineRule="exact"/>
        <w:rPr>
          <w:sz w:val="24"/>
          <w:szCs w:val="24"/>
          <w:color w:val="auto"/>
        </w:rPr>
      </w:pPr>
    </w:p>
    <w:p>
      <w:pPr>
        <w:spacing w:after="0"/>
        <w:rPr>
          <w:sz w:val="20"/>
          <w:szCs w:val="20"/>
          <w:color w:val="auto"/>
        </w:rPr>
      </w:pPr>
      <w:r>
        <w:rPr>
          <w:rFonts w:ascii="Arial" w:cs="Arial" w:eastAsia="Arial" w:hAnsi="Arial"/>
          <w:sz w:val="15"/>
          <w:szCs w:val="15"/>
          <w:color w:val="auto"/>
        </w:rPr>
        <w:t>Yes</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8"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137" w:lineRule="exact"/>
        <w:rPr>
          <w:sz w:val="24"/>
          <w:szCs w:val="24"/>
          <w:color w:val="auto"/>
        </w:rPr>
      </w:pPr>
    </w:p>
    <w:p>
      <w:pPr>
        <w:sectPr>
          <w:pgSz w:w="11900" w:h="16838" w:orient="portrait"/>
          <w:cols w:equalWidth="0" w:num="5">
            <w:col w:w="8760" w:space="160"/>
            <w:col w:w="260" w:space="80"/>
            <w:col w:w="160" w:space="180"/>
            <w:col w:w="220" w:space="80"/>
            <w:col w:w="1480"/>
          </w:cols>
          <w:pgMar w:left="240" w:top="230" w:right="279" w:bottom="1440" w:gutter="0" w:footer="0" w:header="0"/>
          <w:type w:val="continuous"/>
        </w:sectPr>
      </w:pPr>
    </w:p>
    <w:p>
      <w:pPr>
        <w:ind w:right="3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jc w:val="both"/>
        <w:ind w:right="6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ind w:firstLine="342"/>
        <w:spacing w:after="0" w:line="225" w:lineRule="exact"/>
        <w:rPr>
          <w:sz w:val="20"/>
          <w:szCs w:val="20"/>
          <w:color w:val="auto"/>
        </w:rPr>
      </w:pPr>
      <w:r>
        <w:rPr>
          <w:rFonts w:ascii="Arial" w:cs="Arial" w:eastAsia="Arial" w:hAnsi="Arial"/>
          <w:sz w:val="18"/>
          <w:szCs w:val="18"/>
          <w:color w:val="auto"/>
        </w:rPr>
        <w:t xml:space="preserve">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10-K. </w:t>
      </w:r>
      <w:r>
        <w:rPr>
          <w:rFonts w:ascii="MS PGothic" w:cs="MS PGothic" w:eastAsia="MS PGothic" w:hAnsi="MS PGothic"/>
          <w:sz w:val="18"/>
          <w:szCs w:val="18"/>
          <w:color w:val="auto"/>
        </w:rPr>
        <w:t>☒</w:t>
      </w:r>
    </w:p>
    <w:p>
      <w:pPr>
        <w:spacing w:after="0" w:line="30" w:lineRule="exact"/>
        <w:rPr>
          <w:sz w:val="24"/>
          <w:szCs w:val="24"/>
          <w:color w:val="auto"/>
        </w:rPr>
      </w:pPr>
    </w:p>
    <w:p>
      <w:pPr>
        <w:ind w:right="20" w:firstLine="342"/>
        <w:spacing w:after="0" w:line="304"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380"/>
          </w:cols>
          <w:pgMar w:left="240" w:top="230" w:right="279" w:bottom="1440" w:gutter="0" w:footer="0" w:header="0"/>
          <w:type w:val="continuous"/>
        </w:sectPr>
      </w:pPr>
    </w:p>
    <w:p>
      <w:pPr>
        <w:spacing w:after="0" w:line="34" w:lineRule="exact"/>
        <w:rPr>
          <w:sz w:val="24"/>
          <w:szCs w:val="24"/>
          <w:color w:val="auto"/>
        </w:rPr>
      </w:pPr>
    </w:p>
    <w:p>
      <w:pPr>
        <w:ind w:left="460"/>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122"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jc w:val="center"/>
        <w:spacing w:after="0" w:line="210" w:lineRule="exact"/>
        <w:rPr>
          <w:sz w:val="20"/>
          <w:szCs w:val="20"/>
          <w:color w:val="auto"/>
        </w:rPr>
      </w:pPr>
      <w:r>
        <w:rPr>
          <w:rFonts w:ascii="Arial" w:cs="Arial" w:eastAsia="Arial" w:hAnsi="Arial"/>
          <w:sz w:val="16"/>
          <w:szCs w:val="16"/>
          <w:color w:val="auto"/>
        </w:rPr>
        <w:t xml:space="preserve">Non-accelerated filer </w:t>
      </w:r>
      <w:r>
        <w:rPr>
          <w:rFonts w:ascii="MS PGothic" w:cs="MS PGothic" w:eastAsia="MS PGothic" w:hAnsi="MS PGothic"/>
          <w:sz w:val="16"/>
          <w:szCs w:val="16"/>
          <w:color w:val="auto"/>
        </w:rPr>
        <w:t>☐</w:t>
      </w:r>
      <w:r>
        <w:rPr>
          <w:rFonts w:ascii="Arial" w:cs="Arial" w:eastAsia="Arial" w:hAnsi="Arial"/>
          <w:sz w:val="16"/>
          <w:szCs w:val="16"/>
          <w:color w:val="auto"/>
        </w:rPr>
        <w:t xml:space="preserve"> (Do not check if a smaller reporting company)</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542" w:lineRule="exact"/>
        <w:rPr>
          <w:sz w:val="24"/>
          <w:szCs w:val="24"/>
          <w:color w:val="auto"/>
        </w:rPr>
      </w:pPr>
    </w:p>
    <w:p>
      <w:pPr>
        <w:sectPr>
          <w:pgSz w:w="11900" w:h="16838" w:orient="portrait"/>
          <w:cols w:equalWidth="0" w:num="7">
            <w:col w:w="2040" w:space="100"/>
            <w:col w:w="1060" w:space="720"/>
            <w:col w:w="1160" w:space="100"/>
            <w:col w:w="180" w:space="720"/>
            <w:col w:w="1840" w:space="340"/>
            <w:col w:w="1920" w:space="80"/>
            <w:col w:w="1120"/>
          </w:cols>
          <w:pgMar w:left="240" w:top="230" w:right="279" w:bottom="1440" w:gutter="0" w:footer="0" w:header="0"/>
          <w:type w:val="continuous"/>
        </w:sectPr>
      </w:pPr>
    </w:p>
    <w:p>
      <w:pPr>
        <w:ind w:left="360"/>
        <w:spacing w:after="0" w:line="207" w:lineRule="exact"/>
        <w:tabs>
          <w:tab w:leader="none" w:pos="8480" w:val="left"/>
          <w:tab w:leader="none" w:pos="916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p>
      <w:pPr>
        <w:spacing w:after="0" w:line="96" w:lineRule="exact"/>
        <w:rPr>
          <w:sz w:val="24"/>
          <w:szCs w:val="24"/>
          <w:color w:val="auto"/>
        </w:rPr>
      </w:pPr>
    </w:p>
    <w:p>
      <w:pPr>
        <w:ind w:right="340" w:firstLine="342"/>
        <w:spacing w:after="0" w:line="298"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approximately $4,026 million based upon the closing price of $13.12 per share on the NASDAQ Global Select Market on August 2, 2013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5" w:lineRule="exact"/>
        <w:rPr>
          <w:sz w:val="24"/>
          <w:szCs w:val="24"/>
          <w:color w:val="auto"/>
        </w:rPr>
      </w:pPr>
    </w:p>
    <w:p>
      <w:pPr>
        <w:ind w:left="360"/>
        <w:spacing w:after="0"/>
        <w:rPr>
          <w:sz w:val="20"/>
          <w:szCs w:val="20"/>
          <w:color w:val="auto"/>
        </w:rPr>
      </w:pPr>
      <w:r>
        <w:rPr>
          <w:rFonts w:ascii="Arial" w:cs="Arial" w:eastAsia="Arial" w:hAnsi="Arial"/>
          <w:sz w:val="18"/>
          <w:szCs w:val="18"/>
          <w:color w:val="auto"/>
        </w:rPr>
        <w:t>As of March 20, 2014, there were 503.4 million common shares of the registrant outstanding.</w:t>
      </w:r>
    </w:p>
    <w:p>
      <w:pPr>
        <w:spacing w:after="0" w:line="57" w:lineRule="exact"/>
        <w:rPr>
          <w:sz w:val="24"/>
          <w:szCs w:val="24"/>
          <w:color w:val="auto"/>
        </w:rPr>
      </w:pPr>
    </w:p>
    <w:p>
      <w:pPr>
        <w:ind w:left="3700"/>
        <w:spacing w:after="0"/>
        <w:rPr>
          <w:sz w:val="20"/>
          <w:szCs w:val="20"/>
          <w:color w:val="auto"/>
        </w:rPr>
      </w:pPr>
      <w:r>
        <w:rPr>
          <w:rFonts w:ascii="Arial" w:cs="Arial" w:eastAsia="Arial" w:hAnsi="Arial"/>
          <w:sz w:val="18"/>
          <w:szCs w:val="18"/>
          <w:b w:val="1"/>
          <w:bCs w:val="1"/>
          <w:color w:val="auto"/>
        </w:rPr>
        <w:t>DOCUMENTS INCORPORATED BY REFERENCE</w:t>
      </w:r>
    </w:p>
    <w:p>
      <w:pPr>
        <w:spacing w:after="0" w:line="69" w:lineRule="exact"/>
        <w:rPr>
          <w:sz w:val="24"/>
          <w:szCs w:val="24"/>
          <w:color w:val="auto"/>
        </w:rPr>
      </w:pPr>
    </w:p>
    <w:p>
      <w:pPr>
        <w:jc w:val="both"/>
        <w:ind w:right="160" w:firstLine="342"/>
        <w:spacing w:after="0" w:line="259" w:lineRule="auto"/>
        <w:rPr>
          <w:sz w:val="20"/>
          <w:szCs w:val="20"/>
          <w:color w:val="auto"/>
        </w:rPr>
      </w:pPr>
      <w:r>
        <w:rPr>
          <w:rFonts w:ascii="Arial" w:cs="Arial" w:eastAsia="Arial" w:hAnsi="Arial"/>
          <w:sz w:val="18"/>
          <w:szCs w:val="18"/>
          <w:color w:val="auto"/>
        </w:rPr>
        <w:t>Portions of Part III of this Form 10-K are incorporated by reference from the registrant’s definitive proxy statement for its 2014 annual general meeting of shareholders, which proxy statement will be filed with the Securities and Exchange Commission within 120 days after the end of the fiscal year covered by this Form 10-K.</w:t>
      </w:r>
    </w:p>
    <w:p>
      <w:pPr>
        <w:spacing w:after="0" w:line="2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TRADEMARKS</w:t>
      </w:r>
    </w:p>
    <w:p>
      <w:pPr>
        <w:spacing w:after="0" w:line="69" w:lineRule="exact"/>
        <w:rPr>
          <w:sz w:val="24"/>
          <w:szCs w:val="24"/>
          <w:color w:val="auto"/>
        </w:rPr>
      </w:pPr>
    </w:p>
    <w:p>
      <w:pPr>
        <w:ind w:right="520" w:firstLine="342"/>
        <w:spacing w:after="0" w:line="332" w:lineRule="auto"/>
        <w:rPr>
          <w:sz w:val="20"/>
          <w:szCs w:val="20"/>
          <w:color w:val="auto"/>
        </w:rPr>
      </w:pPr>
      <w:r>
        <w:rPr>
          <w:rFonts w:ascii="Arial" w:cs="Arial" w:eastAsia="Arial" w:hAnsi="Arial"/>
          <w:sz w:val="16"/>
          <w:szCs w:val="16"/>
          <w:color w:val="auto"/>
        </w:rPr>
        <w:t>Marvell</w:t>
      </w:r>
      <w:r>
        <w:rPr>
          <w:rFonts w:ascii="Arial" w:cs="Arial" w:eastAsia="Arial" w:hAnsi="Arial"/>
          <w:sz w:val="10"/>
          <w:szCs w:val="10"/>
          <w:color w:val="auto"/>
        </w:rPr>
        <w:t>®</w:t>
      </w:r>
      <w:r>
        <w:rPr>
          <w:rFonts w:ascii="Arial" w:cs="Arial" w:eastAsia="Arial" w:hAnsi="Arial"/>
          <w:sz w:val="16"/>
          <w:szCs w:val="16"/>
          <w:color w:val="auto"/>
        </w:rPr>
        <w:t>, Alaska</w:t>
      </w:r>
      <w:r>
        <w:rPr>
          <w:rFonts w:ascii="Arial" w:cs="Arial" w:eastAsia="Arial" w:hAnsi="Arial"/>
          <w:sz w:val="10"/>
          <w:szCs w:val="10"/>
          <w:color w:val="auto"/>
        </w:rPr>
        <w:t>®</w:t>
      </w:r>
      <w:r>
        <w:rPr>
          <w:rFonts w:ascii="Arial" w:cs="Arial" w:eastAsia="Arial" w:hAnsi="Arial"/>
          <w:sz w:val="16"/>
          <w:szCs w:val="16"/>
          <w:color w:val="auto"/>
        </w:rPr>
        <w:t>, ARMADA</w:t>
      </w:r>
      <w:r>
        <w:rPr>
          <w:rFonts w:ascii="Arial" w:cs="Arial" w:eastAsia="Arial" w:hAnsi="Arial"/>
          <w:sz w:val="10"/>
          <w:szCs w:val="10"/>
          <w:color w:val="auto"/>
        </w:rPr>
        <w:t>®</w:t>
      </w:r>
      <w:r>
        <w:rPr>
          <w:rFonts w:ascii="Arial" w:cs="Arial" w:eastAsia="Arial" w:hAnsi="Arial"/>
          <w:sz w:val="16"/>
          <w:szCs w:val="16"/>
          <w:color w:val="auto"/>
        </w:rPr>
        <w:t xml:space="preserve"> Avanta</w:t>
      </w:r>
      <w:r>
        <w:rPr>
          <w:rFonts w:ascii="Arial" w:cs="Arial" w:eastAsia="Arial" w:hAnsi="Arial"/>
          <w:sz w:val="10"/>
          <w:szCs w:val="10"/>
          <w:color w:val="auto"/>
        </w:rPr>
        <w:t>®</w:t>
      </w:r>
      <w:r>
        <w:rPr>
          <w:rFonts w:ascii="Arial" w:cs="Arial" w:eastAsia="Arial" w:hAnsi="Arial"/>
          <w:sz w:val="16"/>
          <w:szCs w:val="16"/>
          <w:color w:val="auto"/>
        </w:rPr>
        <w:t>, Avastar</w:t>
      </w:r>
      <w:r>
        <w:rPr>
          <w:rFonts w:ascii="Arial" w:cs="Arial" w:eastAsia="Arial" w:hAnsi="Arial"/>
          <w:sz w:val="10"/>
          <w:szCs w:val="10"/>
          <w:color w:val="auto"/>
        </w:rPr>
        <w:t>®</w:t>
      </w:r>
      <w:r>
        <w:rPr>
          <w:rFonts w:ascii="Arial" w:cs="Arial" w:eastAsia="Arial" w:hAnsi="Arial"/>
          <w:sz w:val="16"/>
          <w:szCs w:val="16"/>
          <w:color w:val="auto"/>
        </w:rPr>
        <w:t>, Kirkwood</w:t>
      </w:r>
      <w:r>
        <w:rPr>
          <w:rFonts w:ascii="Arial" w:cs="Arial" w:eastAsia="Arial" w:hAnsi="Arial"/>
          <w:sz w:val="10"/>
          <w:szCs w:val="10"/>
          <w:color w:val="auto"/>
        </w:rPr>
        <w:t>®</w:t>
      </w:r>
      <w:r>
        <w:rPr>
          <w:rFonts w:ascii="Arial" w:cs="Arial" w:eastAsia="Arial" w:hAnsi="Arial"/>
          <w:sz w:val="16"/>
          <w:szCs w:val="16"/>
          <w:color w:val="auto"/>
        </w:rPr>
        <w:t>, Link Street</w:t>
      </w:r>
      <w:r>
        <w:rPr>
          <w:rFonts w:ascii="Arial" w:cs="Arial" w:eastAsia="Arial" w:hAnsi="Arial"/>
          <w:sz w:val="10"/>
          <w:szCs w:val="10"/>
          <w:color w:val="auto"/>
        </w:rPr>
        <w:t>®</w:t>
      </w:r>
      <w:r>
        <w:rPr>
          <w:rFonts w:ascii="Arial" w:cs="Arial" w:eastAsia="Arial" w:hAnsi="Arial"/>
          <w:sz w:val="16"/>
          <w:szCs w:val="16"/>
          <w:color w:val="auto"/>
        </w:rPr>
        <w:t>, Prestera</w:t>
      </w:r>
      <w:r>
        <w:rPr>
          <w:rFonts w:ascii="Arial" w:cs="Arial" w:eastAsia="Arial" w:hAnsi="Arial"/>
          <w:sz w:val="10"/>
          <w:szCs w:val="10"/>
          <w:color w:val="auto"/>
        </w:rPr>
        <w:t>®</w:t>
      </w:r>
      <w:r>
        <w:rPr>
          <w:rFonts w:ascii="Arial" w:cs="Arial" w:eastAsia="Arial" w:hAnsi="Arial"/>
          <w:sz w:val="16"/>
          <w:szCs w:val="16"/>
          <w:color w:val="auto"/>
        </w:rPr>
        <w:t>, Xelerated</w:t>
      </w:r>
      <w:r>
        <w:rPr>
          <w:rFonts w:ascii="Arial" w:cs="Arial" w:eastAsia="Arial" w:hAnsi="Arial"/>
          <w:sz w:val="10"/>
          <w:szCs w:val="10"/>
          <w:color w:val="auto"/>
        </w:rPr>
        <w:t>®</w:t>
      </w:r>
      <w:r>
        <w:rPr>
          <w:rFonts w:ascii="Arial" w:cs="Arial" w:eastAsia="Arial" w:hAnsi="Arial"/>
          <w:sz w:val="16"/>
          <w:szCs w:val="16"/>
          <w:color w:val="auto"/>
        </w:rPr>
        <w:t xml:space="preserve"> and Yukon</w:t>
      </w:r>
      <w:r>
        <w:rPr>
          <w:rFonts w:ascii="Arial" w:cs="Arial" w:eastAsia="Arial" w:hAnsi="Arial"/>
          <w:sz w:val="10"/>
          <w:szCs w:val="10"/>
          <w:color w:val="auto"/>
        </w:rPr>
        <w:t>®</w:t>
      </w:r>
      <w:r>
        <w:rPr>
          <w:rFonts w:ascii="Arial" w:cs="Arial" w:eastAsia="Arial" w:hAnsi="Arial"/>
          <w:sz w:val="16"/>
          <w:szCs w:val="16"/>
          <w:color w:val="auto"/>
        </w:rPr>
        <w:t xml:space="preserve"> are registered trademarks of Marvell International Ltd. and/or its affiliates. Any other trademarks or trade names mentioned are the property of their respective owners.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-8255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230" w:right="27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740" w:type="dxa"/>
            <w:vAlign w:val="bottom"/>
            <w:gridSpan w:val="8"/>
          </w:tcPr>
          <w:p>
            <w:pPr>
              <w:ind w:left="520"/>
              <w:spacing w:after="0"/>
              <w:rPr>
                <w:sz w:val="20"/>
                <w:szCs w:val="20"/>
                <w:color w:val="auto"/>
              </w:rPr>
            </w:pPr>
            <w:r>
              <w:rPr>
                <w:rFonts w:ascii="Arial" w:cs="Arial" w:eastAsia="Arial" w:hAnsi="Arial"/>
                <w:sz w:val="18"/>
                <w:szCs w:val="18"/>
                <w:b w:val="1"/>
                <w:bCs w:val="1"/>
                <w:color w:val="auto"/>
              </w:rPr>
              <w:t>TABLE OF CONTENTS</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40" w:type="dxa"/>
            <w:vAlign w:val="bottom"/>
            <w:gridSpan w:val="6"/>
            <w:vMerge w:val="restart"/>
          </w:tcPr>
          <w:p>
            <w:pPr>
              <w:jc w:val="center"/>
              <w:ind w:right="4920"/>
              <w:spacing w:after="0"/>
              <w:rPr>
                <w:sz w:val="20"/>
                <w:szCs w:val="20"/>
                <w:color w:val="auto"/>
              </w:rPr>
            </w:pPr>
            <w:r>
              <w:rPr>
                <w:rFonts w:ascii="Arial" w:cs="Arial" w:eastAsia="Arial" w:hAnsi="Arial"/>
                <w:sz w:val="18"/>
                <w:szCs w:val="18"/>
                <w:b w:val="1"/>
                <w:bCs w:val="1"/>
                <w:color w:val="auto"/>
                <w:w w:val="98"/>
              </w:rPr>
              <w:t>PART I</w:t>
            </w: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94"/>
        </w:trPr>
        <w:tc>
          <w:tcPr>
            <w:tcW w:w="7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5740" w:type="dxa"/>
            <w:vAlign w:val="bottom"/>
            <w:gridSpan w:val="6"/>
            <w:vMerge w:val="continue"/>
          </w:tcPr>
          <w:p>
            <w:pPr>
              <w:spacing w:after="0"/>
              <w:rPr>
                <w:sz w:val="16"/>
                <w:szCs w:val="16"/>
                <w:color w:val="auto"/>
              </w:rPr>
            </w:pPr>
          </w:p>
        </w:tc>
        <w:tc>
          <w:tcPr>
            <w:tcW w:w="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45"/>
        </w:trPr>
        <w:tc>
          <w:tcPr>
            <w:tcW w:w="1000" w:type="dxa"/>
            <w:vAlign w:val="bottom"/>
            <w:gridSpan w:val="2"/>
          </w:tcPr>
          <w:p>
            <w:pPr>
              <w:spacing w:after="0"/>
              <w:rPr>
                <w:sz w:val="20"/>
                <w:szCs w:val="20"/>
                <w:color w:val="auto"/>
              </w:rPr>
            </w:pPr>
            <w:r>
              <w:rPr>
                <w:rFonts w:ascii="Arial" w:cs="Arial" w:eastAsia="Arial" w:hAnsi="Arial"/>
                <w:sz w:val="18"/>
                <w:szCs w:val="18"/>
                <w:color w:val="auto"/>
              </w:rPr>
              <w:t>Item 1.</w:t>
            </w:r>
          </w:p>
        </w:tc>
        <w:tc>
          <w:tcPr>
            <w:tcW w:w="640" w:type="dxa"/>
            <w:vAlign w:val="bottom"/>
            <w:tcBorders>
              <w:bottom w:val="single" w:sz="8" w:color="0000EE"/>
            </w:tcBorders>
          </w:tcPr>
          <w:p>
            <w:pPr>
              <w:spacing w:after="0"/>
              <w:rPr>
                <w:rFonts w:ascii="Arial" w:cs="Arial" w:eastAsia="Arial" w:hAnsi="Arial"/>
                <w:sz w:val="18"/>
                <w:szCs w:val="18"/>
                <w:color w:val="0000EE"/>
                <w:w w:val="84"/>
              </w:rPr>
            </w:pPr>
            <w:hyperlink w:anchor="page5">
              <w:r>
                <w:rPr>
                  <w:rFonts w:ascii="Arial" w:cs="Arial" w:eastAsia="Arial" w:hAnsi="Arial"/>
                  <w:sz w:val="18"/>
                  <w:szCs w:val="18"/>
                  <w:color w:val="0000EE"/>
                  <w:w w:val="84"/>
                </w:rPr>
                <w:t>Business</w:t>
              </w:r>
            </w:hyperlink>
          </w:p>
        </w:tc>
        <w:tc>
          <w:tcPr>
            <w:tcW w:w="9360" w:type="dxa"/>
            <w:vAlign w:val="bottom"/>
            <w:gridSpan w:val="18"/>
          </w:tcPr>
          <w:p>
            <w:pPr>
              <w:spacing w:after="0"/>
              <w:rPr>
                <w:sz w:val="21"/>
                <w:szCs w:val="21"/>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900" w:type="dxa"/>
            <w:vAlign w:val="bottom"/>
            <w:tcBorders>
              <w:bottom w:val="single" w:sz="8" w:color="0000EE"/>
            </w:tcBorders>
            <w:gridSpan w:val="3"/>
          </w:tcPr>
          <w:p>
            <w:pPr>
              <w:spacing w:after="0"/>
              <w:rPr>
                <w:rFonts w:ascii="Arial" w:cs="Arial" w:eastAsia="Arial" w:hAnsi="Arial"/>
                <w:sz w:val="18"/>
                <w:szCs w:val="18"/>
                <w:color w:val="0000EE"/>
                <w:w w:val="87"/>
              </w:rPr>
            </w:pPr>
            <w:hyperlink w:anchor="page18">
              <w:r>
                <w:rPr>
                  <w:rFonts w:ascii="Arial" w:cs="Arial" w:eastAsia="Arial" w:hAnsi="Arial"/>
                  <w:sz w:val="18"/>
                  <w:szCs w:val="18"/>
                  <w:color w:val="0000EE"/>
                  <w:w w:val="87"/>
                </w:rPr>
                <w:t>Risk Factors</w:t>
              </w:r>
            </w:hyperlink>
          </w:p>
        </w:tc>
        <w:tc>
          <w:tcPr>
            <w:tcW w:w="9100" w:type="dxa"/>
            <w:vAlign w:val="bottom"/>
            <w:gridSpan w:val="16"/>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1B.</w:t>
            </w:r>
          </w:p>
        </w:tc>
        <w:tc>
          <w:tcPr>
            <w:tcW w:w="10000" w:type="dxa"/>
            <w:vAlign w:val="bottom"/>
            <w:gridSpan w:val="19"/>
          </w:tcPr>
          <w:p>
            <w:pPr>
              <w:spacing w:after="0"/>
              <w:rPr>
                <w:rFonts w:ascii="Arial" w:cs="Arial" w:eastAsia="Arial" w:hAnsi="Arial"/>
                <w:sz w:val="18"/>
                <w:szCs w:val="18"/>
                <w:color w:val="0000EE"/>
              </w:rPr>
            </w:pPr>
            <w:hyperlink w:anchor="page36">
              <w:r>
                <w:rPr>
                  <w:rFonts w:ascii="Arial" w:cs="Arial" w:eastAsia="Arial" w:hAnsi="Arial"/>
                  <w:sz w:val="18"/>
                  <w:szCs w:val="18"/>
                  <w:color w:val="0000EE"/>
                </w:rPr>
                <w:t>Unresolved Staff Comments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2.</w:t>
            </w:r>
          </w:p>
        </w:tc>
        <w:tc>
          <w:tcPr>
            <w:tcW w:w="720" w:type="dxa"/>
            <w:vAlign w:val="bottom"/>
            <w:tcBorders>
              <w:top w:val="single" w:sz="8" w:color="0000EE"/>
              <w:bottom w:val="single" w:sz="8" w:color="0000EE"/>
            </w:tcBorders>
            <w:gridSpan w:val="2"/>
          </w:tcPr>
          <w:p>
            <w:pPr>
              <w:spacing w:after="0"/>
              <w:rPr>
                <w:rFonts w:ascii="Arial" w:cs="Arial" w:eastAsia="Arial" w:hAnsi="Arial"/>
                <w:sz w:val="18"/>
                <w:szCs w:val="18"/>
                <w:color w:val="0000EE"/>
                <w:w w:val="85"/>
              </w:rPr>
            </w:pPr>
            <w:hyperlink w:anchor="page36">
              <w:r>
                <w:rPr>
                  <w:rFonts w:ascii="Arial" w:cs="Arial" w:eastAsia="Arial" w:hAnsi="Arial"/>
                  <w:sz w:val="18"/>
                  <w:szCs w:val="18"/>
                  <w:color w:val="0000EE"/>
                  <w:w w:val="85"/>
                </w:rPr>
                <w:t>Properties</w:t>
              </w:r>
            </w:hyperlink>
          </w:p>
        </w:tc>
        <w:tc>
          <w:tcPr>
            <w:tcW w:w="1280" w:type="dxa"/>
            <w:vAlign w:val="bottom"/>
            <w:tcBorders>
              <w:top w:val="single" w:sz="8" w:color="0000EE"/>
            </w:tcBorders>
            <w:gridSpan w:val="6"/>
          </w:tcPr>
          <w:p>
            <w:pPr>
              <w:spacing w:after="0"/>
              <w:rPr>
                <w:sz w:val="22"/>
                <w:szCs w:val="22"/>
                <w:color w:val="auto"/>
              </w:rPr>
            </w:pPr>
          </w:p>
        </w:tc>
        <w:tc>
          <w:tcPr>
            <w:tcW w:w="8000" w:type="dxa"/>
            <w:vAlign w:val="bottom"/>
            <w:gridSpan w:val="1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3.</w:t>
            </w:r>
          </w:p>
        </w:tc>
        <w:tc>
          <w:tcPr>
            <w:tcW w:w="10000" w:type="dxa"/>
            <w:vAlign w:val="bottom"/>
            <w:gridSpan w:val="19"/>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Legal Proceedings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000" w:type="dxa"/>
            <w:vAlign w:val="bottom"/>
            <w:gridSpan w:val="19"/>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Mine Safety Disclosures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40" w:type="dxa"/>
            <w:vAlign w:val="bottom"/>
            <w:gridSpan w:val="6"/>
          </w:tcPr>
          <w:p>
            <w:pPr>
              <w:jc w:val="center"/>
              <w:ind w:right="4940"/>
              <w:spacing w:after="0"/>
              <w:rPr>
                <w:sz w:val="20"/>
                <w:szCs w:val="20"/>
                <w:color w:val="auto"/>
              </w:rPr>
            </w:pPr>
            <w:r>
              <w:rPr>
                <w:rFonts w:ascii="Arial" w:cs="Arial" w:eastAsia="Arial" w:hAnsi="Arial"/>
                <w:sz w:val="18"/>
                <w:szCs w:val="18"/>
                <w:b w:val="1"/>
                <w:bCs w:val="1"/>
                <w:color w:val="auto"/>
                <w:w w:val="99"/>
              </w:rPr>
              <w:t>PART 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00" w:type="dxa"/>
            <w:vAlign w:val="bottom"/>
            <w:gridSpan w:val="2"/>
          </w:tcPr>
          <w:p>
            <w:pPr>
              <w:spacing w:after="0"/>
              <w:rPr>
                <w:sz w:val="20"/>
                <w:szCs w:val="20"/>
                <w:color w:val="auto"/>
              </w:rPr>
            </w:pPr>
            <w:r>
              <w:rPr>
                <w:rFonts w:ascii="Arial" w:cs="Arial" w:eastAsia="Arial" w:hAnsi="Arial"/>
                <w:sz w:val="18"/>
                <w:szCs w:val="18"/>
                <w:color w:val="auto"/>
              </w:rPr>
              <w:t>Item 5.</w:t>
            </w:r>
          </w:p>
        </w:tc>
        <w:tc>
          <w:tcPr>
            <w:tcW w:w="10000" w:type="dxa"/>
            <w:vAlign w:val="bottom"/>
            <w:gridSpan w:val="19"/>
          </w:tcPr>
          <w:p>
            <w:pPr>
              <w:spacing w:after="0"/>
              <w:rPr>
                <w:rFonts w:ascii="Arial" w:cs="Arial" w:eastAsia="Arial" w:hAnsi="Arial"/>
                <w:sz w:val="18"/>
                <w:szCs w:val="18"/>
                <w:color w:val="0000EE"/>
              </w:rPr>
            </w:pPr>
            <w:hyperlink w:anchor="page38">
              <w:r>
                <w:rPr>
                  <w:rFonts w:ascii="Arial" w:cs="Arial" w:eastAsia="Arial" w:hAnsi="Arial"/>
                  <w:sz w:val="18"/>
                  <w:szCs w:val="18"/>
                  <w:color w:val="0000EE"/>
                </w:rPr>
                <w:t>Market for Registrant’s Common Equity, Related Shareholder Matters and Issuer Purchases of Equity Securities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6.</w:t>
            </w:r>
          </w:p>
        </w:tc>
        <w:tc>
          <w:tcPr>
            <w:tcW w:w="1680" w:type="dxa"/>
            <w:vAlign w:val="bottom"/>
            <w:tcBorders>
              <w:top w:val="single" w:sz="8" w:color="0000EE"/>
              <w:bottom w:val="single" w:sz="8" w:color="0000EE"/>
            </w:tcBorders>
            <w:gridSpan w:val="5"/>
          </w:tcPr>
          <w:p>
            <w:pPr>
              <w:spacing w:after="0"/>
              <w:rPr>
                <w:rFonts w:ascii="Arial" w:cs="Arial" w:eastAsia="Arial" w:hAnsi="Arial"/>
                <w:sz w:val="18"/>
                <w:szCs w:val="18"/>
                <w:color w:val="0000EE"/>
                <w:w w:val="87"/>
              </w:rPr>
            </w:pPr>
            <w:hyperlink w:anchor="page41">
              <w:r>
                <w:rPr>
                  <w:rFonts w:ascii="Arial" w:cs="Arial" w:eastAsia="Arial" w:hAnsi="Arial"/>
                  <w:sz w:val="18"/>
                  <w:szCs w:val="18"/>
                  <w:color w:val="0000EE"/>
                  <w:w w:val="87"/>
                </w:rPr>
                <w:t>Selected Financial Data</w:t>
              </w:r>
            </w:hyperlink>
          </w:p>
        </w:tc>
        <w:tc>
          <w:tcPr>
            <w:tcW w:w="6200" w:type="dxa"/>
            <w:vAlign w:val="bottom"/>
            <w:tcBorders>
              <w:top w:val="single" w:sz="8" w:color="0000EE"/>
            </w:tcBorders>
            <w:gridSpan w:val="13"/>
          </w:tcPr>
          <w:p>
            <w:pPr>
              <w:spacing w:after="0"/>
              <w:rPr>
                <w:sz w:val="22"/>
                <w:szCs w:val="22"/>
                <w:color w:val="auto"/>
              </w:rPr>
            </w:pPr>
          </w:p>
        </w:tc>
        <w:tc>
          <w:tcPr>
            <w:tcW w:w="212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7.</w:t>
            </w:r>
          </w:p>
        </w:tc>
        <w:tc>
          <w:tcPr>
            <w:tcW w:w="10000" w:type="dxa"/>
            <w:vAlign w:val="bottom"/>
            <w:gridSpan w:val="19"/>
          </w:tcPr>
          <w:p>
            <w:pPr>
              <w:spacing w:after="0"/>
              <w:rPr>
                <w:rFonts w:ascii="Arial" w:cs="Arial" w:eastAsia="Arial" w:hAnsi="Arial"/>
                <w:sz w:val="18"/>
                <w:szCs w:val="18"/>
                <w:color w:val="0000EE"/>
              </w:rPr>
            </w:pPr>
            <w:hyperlink w:anchor="page42">
              <w:r>
                <w:rPr>
                  <w:rFonts w:ascii="Arial" w:cs="Arial" w:eastAsia="Arial" w:hAnsi="Arial"/>
                  <w:sz w:val="18"/>
                  <w:szCs w:val="18"/>
                  <w:color w:val="0000EE"/>
                </w:rPr>
                <w:t>Management’s Discussion and Analysis of Financial Condition and Results of Operations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7A.</w:t>
            </w:r>
          </w:p>
        </w:tc>
        <w:tc>
          <w:tcPr>
            <w:tcW w:w="4260" w:type="dxa"/>
            <w:vAlign w:val="bottom"/>
            <w:tcBorders>
              <w:top w:val="single" w:sz="8" w:color="0000EE"/>
              <w:bottom w:val="single" w:sz="8" w:color="0000EE"/>
            </w:tcBorders>
            <w:gridSpan w:val="13"/>
          </w:tcPr>
          <w:p>
            <w:pPr>
              <w:spacing w:after="0"/>
              <w:rPr>
                <w:rFonts w:ascii="Arial" w:cs="Arial" w:eastAsia="Arial" w:hAnsi="Arial"/>
                <w:sz w:val="18"/>
                <w:szCs w:val="18"/>
                <w:color w:val="0000EE"/>
                <w:w w:val="89"/>
              </w:rPr>
            </w:pPr>
            <w:hyperlink w:anchor="page59">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2"/>
          </w:tcPr>
          <w:p>
            <w:pPr>
              <w:spacing w:after="0"/>
              <w:rPr>
                <w:sz w:val="22"/>
                <w:szCs w:val="22"/>
                <w:color w:val="auto"/>
              </w:rPr>
            </w:pPr>
          </w:p>
        </w:tc>
        <w:tc>
          <w:tcPr>
            <w:tcW w:w="3700" w:type="dxa"/>
            <w:vAlign w:val="bottom"/>
            <w:gridSpan w:val="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8.</w:t>
            </w:r>
          </w:p>
        </w:tc>
        <w:tc>
          <w:tcPr>
            <w:tcW w:w="3260" w:type="dxa"/>
            <w:vAlign w:val="bottom"/>
            <w:tcBorders>
              <w:bottom w:val="single" w:sz="8" w:color="0000EE"/>
            </w:tcBorders>
            <w:gridSpan w:val="11"/>
          </w:tcPr>
          <w:p>
            <w:pPr>
              <w:spacing w:after="0"/>
              <w:rPr>
                <w:rFonts w:ascii="Arial" w:cs="Arial" w:eastAsia="Arial" w:hAnsi="Arial"/>
                <w:sz w:val="18"/>
                <w:szCs w:val="18"/>
                <w:color w:val="0000EE"/>
                <w:w w:val="87"/>
              </w:rPr>
            </w:pPr>
            <w:hyperlink w:anchor="page61">
              <w:r>
                <w:rPr>
                  <w:rFonts w:ascii="Arial" w:cs="Arial" w:eastAsia="Arial" w:hAnsi="Arial"/>
                  <w:sz w:val="18"/>
                  <w:szCs w:val="18"/>
                  <w:color w:val="0000EE"/>
                  <w:w w:val="87"/>
                </w:rPr>
                <w:t>Financial Statements and Supplementary Data</w:t>
              </w:r>
            </w:hyperlink>
          </w:p>
        </w:tc>
        <w:tc>
          <w:tcPr>
            <w:tcW w:w="6740" w:type="dxa"/>
            <w:vAlign w:val="bottom"/>
            <w:gridSpan w:val="8"/>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9.</w:t>
            </w:r>
          </w:p>
        </w:tc>
        <w:tc>
          <w:tcPr>
            <w:tcW w:w="10000" w:type="dxa"/>
            <w:vAlign w:val="bottom"/>
            <w:gridSpan w:val="19"/>
          </w:tcPr>
          <w:p>
            <w:pPr>
              <w:spacing w:after="0"/>
              <w:rPr>
                <w:rFonts w:ascii="Arial" w:cs="Arial" w:eastAsia="Arial" w:hAnsi="Arial"/>
                <w:sz w:val="18"/>
                <w:szCs w:val="18"/>
                <w:color w:val="0000EE"/>
              </w:rPr>
            </w:pPr>
            <w:hyperlink w:anchor="page107">
              <w:r>
                <w:rPr>
                  <w:rFonts w:ascii="Arial" w:cs="Arial" w:eastAsia="Arial" w:hAnsi="Arial"/>
                  <w:sz w:val="18"/>
                  <w:szCs w:val="18"/>
                  <w:color w:val="0000EE"/>
                </w:rPr>
                <w:t>Changes in and Disagreements with Accountants on Accounting and Financial Disclosure</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105</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9A.</w:t>
            </w:r>
          </w:p>
        </w:tc>
        <w:tc>
          <w:tcPr>
            <w:tcW w:w="1740" w:type="dxa"/>
            <w:vAlign w:val="bottom"/>
            <w:tcBorders>
              <w:top w:val="single" w:sz="8" w:color="0000EE"/>
              <w:bottom w:val="single" w:sz="8" w:color="0000EE"/>
            </w:tcBorders>
            <w:gridSpan w:val="6"/>
          </w:tcPr>
          <w:p>
            <w:pPr>
              <w:spacing w:after="0"/>
              <w:rPr>
                <w:rFonts w:ascii="Arial" w:cs="Arial" w:eastAsia="Arial" w:hAnsi="Arial"/>
                <w:sz w:val="18"/>
                <w:szCs w:val="18"/>
                <w:color w:val="0000EE"/>
                <w:w w:val="86"/>
              </w:rPr>
            </w:pPr>
            <w:hyperlink w:anchor="page107">
              <w:r>
                <w:rPr>
                  <w:rFonts w:ascii="Arial" w:cs="Arial" w:eastAsia="Arial" w:hAnsi="Arial"/>
                  <w:sz w:val="18"/>
                  <w:szCs w:val="18"/>
                  <w:color w:val="0000EE"/>
                  <w:w w:val="86"/>
                </w:rPr>
                <w:t>Controls and Procedures</w:t>
              </w:r>
            </w:hyperlink>
          </w:p>
        </w:tc>
        <w:tc>
          <w:tcPr>
            <w:tcW w:w="4580" w:type="dxa"/>
            <w:vAlign w:val="bottom"/>
            <w:tcBorders>
              <w:top w:val="single" w:sz="8" w:color="0000EE"/>
            </w:tcBorders>
            <w:gridSpan w:val="10"/>
          </w:tcPr>
          <w:p>
            <w:pPr>
              <w:spacing w:after="0"/>
              <w:rPr>
                <w:sz w:val="22"/>
                <w:szCs w:val="22"/>
                <w:color w:val="auto"/>
              </w:rPr>
            </w:pPr>
          </w:p>
        </w:tc>
        <w:tc>
          <w:tcPr>
            <w:tcW w:w="3680" w:type="dxa"/>
            <w:vAlign w:val="bottom"/>
            <w:gridSpan w:val="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105</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9B.</w:t>
            </w:r>
          </w:p>
        </w:tc>
        <w:tc>
          <w:tcPr>
            <w:tcW w:w="10000" w:type="dxa"/>
            <w:vAlign w:val="bottom"/>
            <w:gridSpan w:val="19"/>
          </w:tcPr>
          <w:p>
            <w:pPr>
              <w:spacing w:after="0"/>
              <w:rPr>
                <w:rFonts w:ascii="Arial" w:cs="Arial" w:eastAsia="Arial" w:hAnsi="Arial"/>
                <w:sz w:val="18"/>
                <w:szCs w:val="18"/>
                <w:color w:val="0000EE"/>
              </w:rPr>
            </w:pPr>
            <w:hyperlink w:anchor="page108">
              <w:r>
                <w:rPr>
                  <w:rFonts w:ascii="Arial" w:cs="Arial" w:eastAsia="Arial" w:hAnsi="Arial"/>
                  <w:sz w:val="18"/>
                  <w:szCs w:val="18"/>
                  <w:color w:val="0000EE"/>
                </w:rPr>
                <w:t>Other Information</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106</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40" w:type="dxa"/>
            <w:vAlign w:val="bottom"/>
            <w:gridSpan w:val="6"/>
          </w:tcPr>
          <w:p>
            <w:pPr>
              <w:jc w:val="center"/>
              <w:ind w:right="4920"/>
              <w:spacing w:after="0"/>
              <w:rPr>
                <w:sz w:val="20"/>
                <w:szCs w:val="20"/>
                <w:color w:val="auto"/>
              </w:rPr>
            </w:pPr>
            <w:r>
              <w:rPr>
                <w:rFonts w:ascii="Arial" w:cs="Arial" w:eastAsia="Arial" w:hAnsi="Arial"/>
                <w:sz w:val="18"/>
                <w:szCs w:val="18"/>
                <w:b w:val="1"/>
                <w:bCs w:val="1"/>
                <w:color w:val="auto"/>
              </w:rPr>
              <w:t>PART III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00" w:type="dxa"/>
            <w:vAlign w:val="bottom"/>
            <w:gridSpan w:val="2"/>
          </w:tcPr>
          <w:p>
            <w:pPr>
              <w:spacing w:after="0"/>
              <w:rPr>
                <w:sz w:val="20"/>
                <w:szCs w:val="20"/>
                <w:color w:val="auto"/>
              </w:rPr>
            </w:pPr>
            <w:r>
              <w:rPr>
                <w:rFonts w:ascii="Arial" w:cs="Arial" w:eastAsia="Arial" w:hAnsi="Arial"/>
                <w:sz w:val="18"/>
                <w:szCs w:val="18"/>
                <w:color w:val="auto"/>
              </w:rPr>
              <w:t>Item 10.</w:t>
            </w:r>
          </w:p>
        </w:tc>
        <w:tc>
          <w:tcPr>
            <w:tcW w:w="10000" w:type="dxa"/>
            <w:vAlign w:val="bottom"/>
            <w:gridSpan w:val="19"/>
          </w:tcPr>
          <w:p>
            <w:pPr>
              <w:spacing w:after="0"/>
              <w:rPr>
                <w:rFonts w:ascii="Arial" w:cs="Arial" w:eastAsia="Arial" w:hAnsi="Arial"/>
                <w:sz w:val="18"/>
                <w:szCs w:val="18"/>
                <w:color w:val="0000EE"/>
              </w:rPr>
            </w:pPr>
            <w:hyperlink w:anchor="page109">
              <w:r>
                <w:rPr>
                  <w:rFonts w:ascii="Arial" w:cs="Arial" w:eastAsia="Arial" w:hAnsi="Arial"/>
                  <w:sz w:val="18"/>
                  <w:szCs w:val="18"/>
                  <w:color w:val="0000EE"/>
                </w:rPr>
                <w:t>Directors, Executive Officers and Corporate Governance</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107</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11.</w:t>
            </w:r>
          </w:p>
        </w:tc>
        <w:tc>
          <w:tcPr>
            <w:tcW w:w="4000" w:type="dxa"/>
            <w:vAlign w:val="bottom"/>
            <w:tcBorders>
              <w:top w:val="single" w:sz="8" w:color="0000EE"/>
            </w:tcBorders>
            <w:gridSpan w:val="12"/>
          </w:tcPr>
          <w:p>
            <w:pPr>
              <w:spacing w:after="0"/>
              <w:rPr>
                <w:rFonts w:ascii="Arial" w:cs="Arial" w:eastAsia="Arial" w:hAnsi="Arial"/>
                <w:sz w:val="18"/>
                <w:szCs w:val="18"/>
                <w:color w:val="0000EE"/>
              </w:rPr>
            </w:pPr>
            <w:hyperlink w:anchor="page109">
              <w:r>
                <w:rPr>
                  <w:rFonts w:ascii="Arial" w:cs="Arial" w:eastAsia="Arial" w:hAnsi="Arial"/>
                  <w:sz w:val="18"/>
                  <w:szCs w:val="18"/>
                  <w:color w:val="0000EE"/>
                </w:rPr>
                <w:t>Executive Compensation</w:t>
              </w:r>
            </w:hyperlink>
          </w:p>
        </w:tc>
        <w:tc>
          <w:tcPr>
            <w:tcW w:w="6000" w:type="dxa"/>
            <w:vAlign w:val="bottom"/>
            <w:gridSpan w:val="7"/>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107</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760" w:type="dxa"/>
            <w:vAlign w:val="bottom"/>
            <w:gridSpan w:val="7"/>
            <w:shd w:val="clear" w:color="auto" w:fill="0000EE"/>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80" w:type="dxa"/>
            <w:vAlign w:val="bottom"/>
            <w:gridSpan w:val="4"/>
          </w:tcPr>
          <w:p>
            <w:pPr>
              <w:spacing w:after="0" w:line="20" w:lineRule="exact"/>
              <w:rPr>
                <w:sz w:val="1"/>
                <w:szCs w:val="1"/>
                <w:color w:val="auto"/>
              </w:rPr>
            </w:pPr>
          </w:p>
        </w:tc>
        <w:tc>
          <w:tcPr>
            <w:tcW w:w="1800" w:type="dxa"/>
            <w:vAlign w:val="bottom"/>
            <w:gridSpan w:val="3"/>
          </w:tcPr>
          <w:p>
            <w:pPr>
              <w:spacing w:after="0" w:line="20" w:lineRule="exact"/>
              <w:rPr>
                <w:sz w:val="1"/>
                <w:szCs w:val="1"/>
                <w:color w:val="auto"/>
              </w:rPr>
            </w:pPr>
          </w:p>
        </w:tc>
        <w:tc>
          <w:tcPr>
            <w:tcW w:w="28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12.</w:t>
            </w:r>
          </w:p>
        </w:tc>
        <w:tc>
          <w:tcPr>
            <w:tcW w:w="10000" w:type="dxa"/>
            <w:vAlign w:val="bottom"/>
            <w:gridSpan w:val="19"/>
          </w:tcPr>
          <w:p>
            <w:pPr>
              <w:spacing w:after="0"/>
              <w:rPr>
                <w:rFonts w:ascii="Arial" w:cs="Arial" w:eastAsia="Arial" w:hAnsi="Arial"/>
                <w:sz w:val="18"/>
                <w:szCs w:val="18"/>
                <w:color w:val="0000EE"/>
              </w:rPr>
            </w:pPr>
            <w:hyperlink w:anchor="page109">
              <w:r>
                <w:rPr>
                  <w:rFonts w:ascii="Arial" w:cs="Arial" w:eastAsia="Arial" w:hAnsi="Arial"/>
                  <w:sz w:val="18"/>
                  <w:szCs w:val="18"/>
                  <w:color w:val="0000EE"/>
                </w:rPr>
                <w:t>Security Ownership of Certain Beneficial Owners and Management and Related Shareholder Matters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107</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13.</w:t>
            </w:r>
          </w:p>
        </w:tc>
        <w:tc>
          <w:tcPr>
            <w:tcW w:w="7120" w:type="dxa"/>
            <w:vAlign w:val="bottom"/>
            <w:tcBorders>
              <w:top w:val="single" w:sz="8" w:color="0000EE"/>
            </w:tcBorders>
            <w:gridSpan w:val="17"/>
          </w:tcPr>
          <w:p>
            <w:pPr>
              <w:spacing w:after="0"/>
              <w:rPr>
                <w:rFonts w:ascii="Arial" w:cs="Arial" w:eastAsia="Arial" w:hAnsi="Arial"/>
                <w:sz w:val="18"/>
                <w:szCs w:val="18"/>
                <w:color w:val="0000EE"/>
              </w:rPr>
            </w:pPr>
            <w:hyperlink w:anchor="page110">
              <w:r>
                <w:rPr>
                  <w:rFonts w:ascii="Arial" w:cs="Arial" w:eastAsia="Arial" w:hAnsi="Arial"/>
                  <w:sz w:val="18"/>
                  <w:szCs w:val="18"/>
                  <w:color w:val="0000EE"/>
                </w:rPr>
                <w:t>Certain Relationships and Related Transactions, and Director Independence</w:t>
              </w:r>
            </w:hyperlink>
          </w:p>
        </w:tc>
        <w:tc>
          <w:tcPr>
            <w:tcW w:w="2880" w:type="dxa"/>
            <w:vAlign w:val="bottom"/>
            <w:gridSpan w:val="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108</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sz w:val="20"/>
                <w:szCs w:val="20"/>
                <w:color w:val="auto"/>
              </w:rPr>
            </w:pPr>
            <w:r>
              <w:rPr>
                <w:rFonts w:ascii="Arial" w:cs="Arial" w:eastAsia="Arial" w:hAnsi="Arial"/>
                <w:sz w:val="18"/>
                <w:szCs w:val="18"/>
                <w:color w:val="auto"/>
              </w:rPr>
              <w:t>Item 14.</w:t>
            </w:r>
          </w:p>
        </w:tc>
        <w:tc>
          <w:tcPr>
            <w:tcW w:w="5320" w:type="dxa"/>
            <w:vAlign w:val="bottom"/>
            <w:tcBorders>
              <w:top w:val="single" w:sz="8" w:color="0000EE"/>
            </w:tcBorders>
            <w:gridSpan w:val="14"/>
          </w:tcPr>
          <w:p>
            <w:pPr>
              <w:spacing w:after="0"/>
              <w:rPr>
                <w:rFonts w:ascii="Arial" w:cs="Arial" w:eastAsia="Arial" w:hAnsi="Arial"/>
                <w:sz w:val="18"/>
                <w:szCs w:val="18"/>
                <w:color w:val="0000EE"/>
              </w:rPr>
            </w:pPr>
            <w:hyperlink w:anchor="page110">
              <w:r>
                <w:rPr>
                  <w:rFonts w:ascii="Arial" w:cs="Arial" w:eastAsia="Arial" w:hAnsi="Arial"/>
                  <w:sz w:val="18"/>
                  <w:szCs w:val="18"/>
                  <w:color w:val="0000EE"/>
                </w:rPr>
                <w:t>Principal Accounting Fees and Services</w:t>
              </w:r>
            </w:hyperlink>
          </w:p>
        </w:tc>
        <w:tc>
          <w:tcPr>
            <w:tcW w:w="4680" w:type="dxa"/>
            <w:vAlign w:val="bottom"/>
            <w:gridSpan w:val="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108</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80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740" w:type="dxa"/>
            <w:vAlign w:val="bottom"/>
            <w:gridSpan w:val="6"/>
          </w:tcPr>
          <w:p>
            <w:pPr>
              <w:jc w:val="center"/>
              <w:ind w:right="4920"/>
              <w:spacing w:after="0"/>
              <w:rPr>
                <w:sz w:val="20"/>
                <w:szCs w:val="20"/>
                <w:color w:val="auto"/>
              </w:rPr>
            </w:pPr>
            <w:r>
              <w:rPr>
                <w:rFonts w:ascii="Arial" w:cs="Arial" w:eastAsia="Arial" w:hAnsi="Arial"/>
                <w:sz w:val="18"/>
                <w:szCs w:val="18"/>
                <w:b w:val="1"/>
                <w:bCs w:val="1"/>
                <w:color w:val="auto"/>
                <w:w w:val="98"/>
              </w:rPr>
              <w:t>PART IV</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1000" w:type="dxa"/>
            <w:vAlign w:val="bottom"/>
            <w:gridSpan w:val="2"/>
          </w:tcPr>
          <w:p>
            <w:pPr>
              <w:spacing w:after="0"/>
              <w:rPr>
                <w:sz w:val="20"/>
                <w:szCs w:val="20"/>
                <w:color w:val="auto"/>
              </w:rPr>
            </w:pPr>
            <w:r>
              <w:rPr>
                <w:rFonts w:ascii="Arial" w:cs="Arial" w:eastAsia="Arial" w:hAnsi="Arial"/>
                <w:sz w:val="18"/>
                <w:szCs w:val="18"/>
                <w:color w:val="auto"/>
              </w:rPr>
              <w:t>Item 15.</w:t>
            </w:r>
          </w:p>
        </w:tc>
        <w:tc>
          <w:tcPr>
            <w:tcW w:w="10000" w:type="dxa"/>
            <w:vAlign w:val="bottom"/>
            <w:gridSpan w:val="19"/>
          </w:tcPr>
          <w:p>
            <w:pPr>
              <w:spacing w:after="0"/>
              <w:rPr>
                <w:rFonts w:ascii="Arial" w:cs="Arial" w:eastAsia="Arial" w:hAnsi="Arial"/>
                <w:sz w:val="18"/>
                <w:szCs w:val="18"/>
                <w:color w:val="0000EE"/>
              </w:rPr>
            </w:pPr>
            <w:hyperlink w:anchor="page111">
              <w:r>
                <w:rPr>
                  <w:rFonts w:ascii="Arial" w:cs="Arial" w:eastAsia="Arial" w:hAnsi="Arial"/>
                  <w:sz w:val="18"/>
                  <w:szCs w:val="18"/>
                  <w:color w:val="0000EE"/>
                </w:rPr>
                <w:t>Exhibits, Financial Statement Schedules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109</w:t>
            </w:r>
          </w:p>
        </w:tc>
        <w:tc>
          <w:tcPr>
            <w:tcW w:w="0" w:type="dxa"/>
            <w:vAlign w:val="bottom"/>
          </w:tcPr>
          <w:p>
            <w:pPr>
              <w:spacing w:after="0"/>
              <w:rPr>
                <w:sz w:val="1"/>
                <w:szCs w:val="1"/>
                <w:color w:val="auto"/>
              </w:rPr>
            </w:pPr>
          </w:p>
        </w:tc>
      </w:tr>
      <w:tr>
        <w:trPr>
          <w:trHeight w:val="264"/>
        </w:trPr>
        <w:tc>
          <w:tcPr>
            <w:tcW w:w="1000" w:type="dxa"/>
            <w:vAlign w:val="bottom"/>
            <w:gridSpan w:val="2"/>
          </w:tcPr>
          <w:p>
            <w:pPr>
              <w:spacing w:after="0"/>
              <w:rPr>
                <w:rFonts w:ascii="Arial" w:cs="Arial" w:eastAsia="Arial" w:hAnsi="Arial"/>
                <w:sz w:val="18"/>
                <w:szCs w:val="18"/>
                <w:color w:val="0000EE"/>
              </w:rPr>
            </w:pPr>
            <w:hyperlink w:anchor="page112">
              <w:r>
                <w:rPr>
                  <w:rFonts w:ascii="Arial" w:cs="Arial" w:eastAsia="Arial" w:hAnsi="Arial"/>
                  <w:sz w:val="18"/>
                  <w:szCs w:val="18"/>
                  <w:color w:val="0000EE"/>
                </w:rPr>
                <w:t>Signatures</w:t>
              </w:r>
            </w:hyperlink>
          </w:p>
        </w:tc>
        <w:tc>
          <w:tcPr>
            <w:tcW w:w="640" w:type="dxa"/>
            <w:vAlign w:val="bottom"/>
            <w:tcBorders>
              <w:top w:val="single" w:sz="8" w:color="0000EE"/>
            </w:tcBorders>
          </w:tcPr>
          <w:p>
            <w:pPr>
              <w:spacing w:after="0"/>
              <w:rPr>
                <w:sz w:val="22"/>
                <w:szCs w:val="22"/>
                <w:color w:val="auto"/>
              </w:rPr>
            </w:pPr>
          </w:p>
        </w:tc>
        <w:tc>
          <w:tcPr>
            <w:tcW w:w="80" w:type="dxa"/>
            <w:vAlign w:val="bottom"/>
            <w:tcBorders>
              <w:top w:val="single" w:sz="8" w:color="0000EE"/>
            </w:tcBorders>
          </w:tcPr>
          <w:p>
            <w:pPr>
              <w:spacing w:after="0"/>
              <w:rPr>
                <w:sz w:val="22"/>
                <w:szCs w:val="22"/>
                <w:color w:val="auto"/>
              </w:rPr>
            </w:pPr>
          </w:p>
        </w:tc>
        <w:tc>
          <w:tcPr>
            <w:tcW w:w="180" w:type="dxa"/>
            <w:vAlign w:val="bottom"/>
            <w:tcBorders>
              <w:top w:val="single" w:sz="8" w:color="0000EE"/>
            </w:tcBorders>
          </w:tcPr>
          <w:p>
            <w:pPr>
              <w:spacing w:after="0"/>
              <w:rPr>
                <w:sz w:val="22"/>
                <w:szCs w:val="22"/>
                <w:color w:val="auto"/>
              </w:rPr>
            </w:pPr>
          </w:p>
        </w:tc>
        <w:tc>
          <w:tcPr>
            <w:tcW w:w="400" w:type="dxa"/>
            <w:vAlign w:val="bottom"/>
            <w:tcBorders>
              <w:top w:val="single" w:sz="8" w:color="0000EE"/>
            </w:tcBorders>
          </w:tcPr>
          <w:p>
            <w:pPr>
              <w:spacing w:after="0"/>
              <w:rPr>
                <w:sz w:val="22"/>
                <w:szCs w:val="22"/>
                <w:color w:val="auto"/>
              </w:rPr>
            </w:pPr>
          </w:p>
        </w:tc>
        <w:tc>
          <w:tcPr>
            <w:tcW w:w="380" w:type="dxa"/>
            <w:vAlign w:val="bottom"/>
            <w:tcBorders>
              <w:top w:val="single" w:sz="8" w:color="0000EE"/>
            </w:tcBorders>
          </w:tcPr>
          <w:p>
            <w:pPr>
              <w:spacing w:after="0"/>
              <w:rPr>
                <w:sz w:val="22"/>
                <w:szCs w:val="22"/>
                <w:color w:val="auto"/>
              </w:rPr>
            </w:pPr>
          </w:p>
        </w:tc>
        <w:tc>
          <w:tcPr>
            <w:tcW w:w="60" w:type="dxa"/>
            <w:vAlign w:val="bottom"/>
            <w:tcBorders>
              <w:top w:val="single" w:sz="8" w:color="0000EE"/>
            </w:tcBorders>
          </w:tcPr>
          <w:p>
            <w:pPr>
              <w:spacing w:after="0"/>
              <w:rPr>
                <w:sz w:val="22"/>
                <w:szCs w:val="22"/>
                <w:color w:val="auto"/>
              </w:rPr>
            </w:pPr>
          </w:p>
        </w:tc>
        <w:tc>
          <w:tcPr>
            <w:tcW w:w="20" w:type="dxa"/>
            <w:vAlign w:val="bottom"/>
            <w:tcBorders>
              <w:top w:val="single" w:sz="8" w:color="0000EE"/>
            </w:tcBorders>
          </w:tcPr>
          <w:p>
            <w:pPr>
              <w:spacing w:after="0"/>
              <w:rPr>
                <w:sz w:val="22"/>
                <w:szCs w:val="22"/>
                <w:color w:val="auto"/>
              </w:rPr>
            </w:pPr>
          </w:p>
        </w:tc>
        <w:tc>
          <w:tcPr>
            <w:tcW w:w="240" w:type="dxa"/>
            <w:vAlign w:val="bottom"/>
            <w:tcBorders>
              <w:top w:val="single" w:sz="8" w:color="0000EE"/>
            </w:tcBorders>
          </w:tcPr>
          <w:p>
            <w:pPr>
              <w:spacing w:after="0"/>
              <w:rPr>
                <w:sz w:val="22"/>
                <w:szCs w:val="22"/>
                <w:color w:val="auto"/>
              </w:rPr>
            </w:pPr>
          </w:p>
        </w:tc>
        <w:tc>
          <w:tcPr>
            <w:tcW w:w="800" w:type="dxa"/>
            <w:vAlign w:val="bottom"/>
            <w:tcBorders>
              <w:top w:val="single" w:sz="8" w:color="0000EE"/>
            </w:tcBorders>
          </w:tcPr>
          <w:p>
            <w:pPr>
              <w:spacing w:after="0"/>
              <w:rPr>
                <w:sz w:val="22"/>
                <w:szCs w:val="22"/>
                <w:color w:val="auto"/>
              </w:rPr>
            </w:pPr>
          </w:p>
        </w:tc>
        <w:tc>
          <w:tcPr>
            <w:tcW w:w="40" w:type="dxa"/>
            <w:vAlign w:val="bottom"/>
            <w:tcBorders>
              <w:top w:val="single" w:sz="8" w:color="0000EE"/>
            </w:tcBorders>
          </w:tcPr>
          <w:p>
            <w:pPr>
              <w:spacing w:after="0"/>
              <w:rPr>
                <w:sz w:val="22"/>
                <w:szCs w:val="22"/>
                <w:color w:val="auto"/>
              </w:rPr>
            </w:pPr>
          </w:p>
        </w:tc>
        <w:tc>
          <w:tcPr>
            <w:tcW w:w="4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12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110</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Forward-Looking Statements</w:t>
      </w:r>
    </w:p>
    <w:p>
      <w:pPr>
        <w:spacing w:after="0" w:line="177"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The statements contained in this Annual Report on Form 10-K that are not purely historical are forward-looking statements and include statements regarding our expectations, beliefs, intentions or strategies regarding the future. Words such as “anticipates,” “expects,” “intends,” “plans,” “believes,” “seeks,” “estimates,” “can,” “will” and similar expressions identify such forward-looking statements. These forward-looking statements include, without limitation, statements relating to such matters as: our anticipation that the rate of new orders and shipments will vary significantly from quarter to quarter; our expectation regarding industry trends, including statements regarding the hard disk drive industry, the long-term evolution market, the market for hybrid solutions, the mobile and wireless market, the wireless connectivity market, the storage market, the networking market, our growth in the consumer space and seasonal trends in the gaming industry; our expectation that a significant percentage of our sales will continue to come from direct sales to key customers; our expectations that quarterly operating results will fluctuate from quarter to quarter; our expectation regarding the current economic environment; our expectations regarding future growth based on market acceptance of our products, costs of securing access to adequate manufacturing capacity, the timing and extent of research and development projects, operating expenses and shipments of certain products; the potential opportunities for a new generation of integrated circuit solutions in response to growing demand for products in the semiconductor industry; our expectations regarding our facilities and the sufficiency of our facilities; the anticipated features and benefits of our technology solutions; our ability to execute our business strategy; our plan to strengthen and expand our relationship with customers; our ability to anticipate the needs of our customers; our expectations that average selling prices of our products will continue to be subject to significant pricing pressures; our ability to transition our semiconductor products to increasingly smaller line width geometries; our expectations regarding competition and our ability to compete successfully in the markets for our products; our ability to reduce our customers’ overall system costs; our plan to attract new customers and retain existing customers by the introduction of new products; our continued efforts relating to the protection of our intellectual property, including claims of patent infringement; our expectations regarding the amount of customer concentration in the future; our expectations regarding the portion of our operations and sales outside of the United States, including the amount of our future sales in Asia; our expectations regarding our investment in research and development; our expected results, cash flows and expenses, including those related to sales and marketing, research and development and general and administrative; our expectations regarding acquisitions and investments; our expectations regarding net revenue, sources of revenue and make-up of revenue; our expectation regarding gross margin and events that may cause gross margin to fluctuate; our expectations regarding litigation and the impact of legal proceedings and claims; our expectations regarding the adequacy of our capital resources to meet our capital needs; our expectations regarding future impairment review of our goodwill and intangible assets; our ability to attract and retain highly skilled employees; our expectations regarding the effectiveness of our internal control over financial reporting; our plans regarding forward exchange contracts and the effect of foreign exchange rates; our expectations regarding arrangements with suppliers; our expectations regarding the demand for our products; our expectations regarding the implementation and improvement of operational and financial systems, as well as the implementation of additional procedures and other internal management systems; our expectations regarding the effect of recent accounting pronouncements and changes in taxation rules; our expectations regarding alternative information storage technologies; our expectations regarding defects in our products; and our expectations regarding our share repurchase program and dividends; and our expectations regarding the tax benefits we receive.</w:t>
      </w:r>
    </w:p>
    <w:p>
      <w:pPr>
        <w:spacing w:after="0" w:line="13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i w:val="1"/>
          <w:iCs w:val="1"/>
          <w:color w:val="auto"/>
        </w:rPr>
        <w:t>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the impact of significant competition in the mobile and wireless communications markets; our dependence on a smaller number of customers; the outcome of pending or future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00"/>
          </w:cols>
          <w:pgMar w:left="240" w:top="459" w:right="2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6" w:lineRule="auto"/>
        <w:rPr>
          <w:sz w:val="20"/>
          <w:szCs w:val="20"/>
          <w:color w:val="auto"/>
        </w:rPr>
      </w:pPr>
      <w:r>
        <w:rPr>
          <w:rFonts w:ascii="Arial" w:cs="Arial" w:eastAsia="Arial" w:hAnsi="Arial"/>
          <w:sz w:val="16"/>
          <w:szCs w:val="16"/>
          <w:i w:val="1"/>
          <w:iCs w:val="1"/>
          <w:color w:val="auto"/>
        </w:rPr>
        <w:t>litigation and legal proceedings; our ability to scale our operations in response to changes in demand for existing or new products and services; our maintenance of an effective system of internal control over financial reporting; our ability to develop new and enhanced products; the impact of our complex products on market acceptance of our new products; our reputation with current or prospective customers; defects in our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U.S. federal income tax laws and/or foreign tax laws and the loss of any beneficial tax treatment that we currently enjoy; the impact of changes in international financial and regulatory conditions; the impact of changes in management; the impact of natural disasters on our business; our ability to obtain and renew licenses from third parties; our ability to raise funds; our plans to implement and improve operational, financial and management systems; and the impact of environmental regulations. Additional factors that could cause actual results to differ materially include the risks discussed in Part I, Item 1A, “Risk Factors” and Part II,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24"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i w:val="1"/>
          <w:iCs w:val="1"/>
          <w:color w:val="auto"/>
        </w:rPr>
        <w:t>In this Annual Report on Form 10-K, references to “Marvell,” “we,” “us,” “our” or the “Company” mean Marvell Technology Group Ltd. and its subsidiaries, except where it is made clear that the term means only the parent company.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(“SoC”)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(“PHY”), mobile handsets, connectivity and other consumer electronics. We were incorporated in Bermuda in January 1995.</w:t>
      </w:r>
    </w:p>
    <w:p>
      <w:pPr>
        <w:spacing w:after="0" w:line="120" w:lineRule="exact"/>
        <w:rPr>
          <w:sz w:val="20"/>
          <w:szCs w:val="20"/>
          <w:color w:val="auto"/>
        </w:rPr>
      </w:pPr>
    </w:p>
    <w:p>
      <w:pPr>
        <w:ind w:right="80" w:firstLine="456"/>
        <w:spacing w:after="0" w:line="312" w:lineRule="auto"/>
        <w:rPr>
          <w:sz w:val="20"/>
          <w:szCs w:val="20"/>
          <w:color w:val="auto"/>
        </w:rPr>
      </w:pPr>
      <w:r>
        <w:rPr>
          <w:rFonts w:ascii="Arial" w:cs="Arial" w:eastAsia="Arial" w:hAnsi="Arial"/>
          <w:sz w:val="15"/>
          <w:szCs w:val="15"/>
          <w:color w:val="auto"/>
        </w:rPr>
        <w:t>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operations in many countries, including Canada, China, India, Israel, Italy, Japan, Malaysia, Singapore, South Korea, Spain, Sweden, Switzerland and Taiwan. Our fiscal year ends on the Saturday nearest January 31. In this Annual Report on Form 10-K, we refer to the fiscal year ended January 27, 2007 as fiscal 2007, the fiscal year ended February 2, 2008 as fiscal 2008, the fiscal year ended January 29, 2009 as fiscal 2009, the fiscal year ended January 30, 2010 as fiscal 2010, the fiscal year ended January 29, 2011 as fiscal 2011, the fiscal year ended January 28, 2012 as fiscal 2012, the fiscal year ended February 2, 2013 as fiscal 2013, the fiscal year ended February 1, 2014 as fiscal 2014 and the fiscal year ending January 31, 2015 as fiscal 2015.</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U.S. Securities and Exchange Commission (“SEC”).</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semiconductor industry has evolved over the last five decades primarily due to the rapid and systematic advancements in photolithography techniques and new materials used in the manufacture of semiconductor devices, which has enabled the fabrication of transistor devices with a greater number of features and functions at ever-smaller chip sizes and with increasing power efficiency. As transistor line widths shrink over time, transistor density increases proportionally, enabling the manufacture of ever more complex devices in a fixed area of silicon. This phenomenon, known as “Moore’s Law,” states that with the transition to each new successive process node, transistor device size will shrink by 0.7×. This can enable a 2× increase in the number of transistors, an increase in device performance, a reduction in chip size, or additional functionality. Furthermore, the transition to ever smaller process geometries results in proportionally lower power consumption of integrated circuits.</w:t>
      </w:r>
    </w:p>
    <w:p>
      <w:pPr>
        <w:spacing w:after="0" w:line="118"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The effect of Moore’s Law on the semiconductor industry has been a rapid increase in the processing speed, the device density of integrated circuits and improved power efficiency. This has enabled the integration of multiple complex functions onto a single piece of silicon, which in the past required multiple discrete integrated circuits. Concurrently, with the advances in semiconductor technology, there has been an evolutionary shift</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370" w:lineRule="auto"/>
        <w:rPr>
          <w:sz w:val="20"/>
          <w:szCs w:val="20"/>
          <w:color w:val="auto"/>
        </w:rPr>
      </w:pPr>
      <w:r>
        <w:rPr>
          <w:rFonts w:ascii="Arial" w:cs="Arial" w:eastAsia="Arial" w:hAnsi="Arial"/>
          <w:sz w:val="15"/>
          <w:szCs w:val="15"/>
          <w:color w:val="auto"/>
        </w:rPr>
        <w:t>toward standards-based communication interconnect protocols, such as Ethernet and wireless local area network (“LAN”). This has given rise to a large number of diverse electronic systems suppliers that address the simultaneous transmission of voice, video, audio and data through both wired and wireless connections.</w:t>
      </w:r>
    </w:p>
    <w:p>
      <w:pPr>
        <w:spacing w:after="0" w:line="62"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Technological innovations have increased the capability to transmit and process information, which has led to both business enterprise and consumer electronic devices sharing and communicating ever larger amounts of information for a wide array of applications. Due in part to the ongoing evolution of both semiconductor and communications technology, the bandwidth demanded by users has continued to expand at an exponential rate. Additionally, as the bandwidth demand from service providers, enterprises and consumers has risen, there has been a commensurate increase in the required amount of data storage capacity. We believe the market effects enabled by the advances in both semiconductor and communication technologies will provide a large and growing market for our products, technologies and intellectual property capabilities.</w:t>
      </w:r>
    </w:p>
    <w:p>
      <w:pPr>
        <w:spacing w:after="0" w:line="12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Within most modern electronic systems, the device interconnects and data transmission occurs within the analog signal domain. However, due to advanced technologies, modern systems approaches and new algorithms, most new products convert the analog signals into digital signals to process the information. Given the high volume and cost sensitive nature of current electronic devices, it is very beneficial to be able to integrate many of the analog and digital functions onto a single integrated circuit, which can help to increase system performance, lower costs and lower overall power consumption. As a result, these devices require a combination of both analog and digital integrated circuit technologies, more commonly known as mixed-signal technology. Historically, the ability to manufacture mixed-signal technologies required the use of expensive, non-scalable semiconductor manufacturing process technologies. However, to achieve price points that will accelerate the acceptance of these highly integrated mixed-signal devices, a small number of semiconductor suppliers, including us, have invested in the fundamental research and development capability, which allows for the use of high volume, lower cost and scalable complementary metal oxide semiconductor (“CMOS”) fabrication technology.</w:t>
      </w:r>
    </w:p>
    <w:p>
      <w:pPr>
        <w:spacing w:after="0" w:line="120" w:lineRule="exact"/>
        <w:rPr>
          <w:sz w:val="20"/>
          <w:szCs w:val="20"/>
          <w:color w:val="auto"/>
        </w:rPr>
      </w:pPr>
    </w:p>
    <w:p>
      <w:pPr>
        <w:jc w:val="both"/>
        <w:ind w:right="20" w:firstLine="456"/>
        <w:spacing w:after="0" w:line="256" w:lineRule="auto"/>
        <w:rPr>
          <w:sz w:val="20"/>
          <w:szCs w:val="20"/>
          <w:color w:val="auto"/>
        </w:rPr>
      </w:pPr>
      <w:r>
        <w:rPr>
          <w:rFonts w:ascii="Arial" w:cs="Arial" w:eastAsia="Arial" w:hAnsi="Arial"/>
          <w:sz w:val="18"/>
          <w:szCs w:val="18"/>
          <w:color w:val="auto"/>
        </w:rPr>
        <w:t>Because the processing requirements of these mixed-signal integrated circuits continue to expand with the increased performance and sophistication of the devices in which they are embedded, many of these integrated circuits are now also integrating high-performance embedded microprocessors and complex digital signal processors to handle the increased workload. With improvements in the performance of such embedded microprocessors, devices can further expand their capabilities while at the same time minimizing power requirements.</w:t>
      </w:r>
    </w:p>
    <w:p>
      <w:pPr>
        <w:spacing w:after="0" w:line="143"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Many of these new, sophisticated devices are also handheld battery-powered devices in which minimizing power consumption is critical to maximizing the life of the battery. Utilizing highly integrated circuits that are optimized for power efficiency is a critical factor for such handheld devices. Additionally, advanced digital power management solutions that regulate the power supply to the integrated circuits in an efficient and cost-effective manner are becoming increasingly important to the reduction of both the overall power consumption and the total size of the solution.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Platform Solutions</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Over the last several years, we have transitioned from a supplier of standalone semiconductor components to a supplier of fully integrated platform solutions. Our platform solutions contain multiple intellectual property components in integrated hardware along with software that incorporates digital, analog and mixed-signal computing and communication technologies, designed and configured to provide an optimized solution compared to individual components. Our solutions have become increasingly integrated, with ever more components resulting in an all-in-one solution for a given customer’s end product. The demand for such highly integrated platform solutions is generally driven by technological changes and anticipation of the future needs of the device manufacturer and end user, as well as to an increasing extent by service providers, including cellular network carriers and Internet based applications providers. For example, in order to provide a complete solution for a</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specific handheld consumer electronics device, a device manufacturer may require a solution that integrates a high-performance applications processor, along with seamless communications capability with a 3G/4G Long-Term Evolution (“LTE”) multi-band modem, Wi-Fi, Bluetooth, radio frequency (“RF”), GPS and near field communication (“NFC”). In addition, a device manufacturer may require high-definition graphics processing, high-definition video and audio, and power management. These platforms will often cross multiple end markets, integrating components and technologies traditionally associated with one end market with components and technologies from another end market. For example, we may integrate an applications processor, traditionally associated with the mobile and wireless end market, with software and other components in an end user product targeting the home cloud. Therefore, it has become critical that our products across multiple end markets work together seamlessly.</w:t>
      </w:r>
    </w:p>
    <w:p>
      <w:pPr>
        <w:spacing w:after="0" w:line="11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addition, software has become increasingly important to our business over the last several years, and we expect software to become even more important in the years to come. On-chip software, which acts as the “driver” for the functionality of the chip, has always been a critical part of our business. However, the software that we deliver with our chip has become significantly more complex as the range of uses and the needs in application-level software have increased. For example, a chip that we develop for a smartphone may need to include software that is compatible with the latest version of a specific company’s operating system that enables 3D user interface and graphics, and that works seamlessly with a variety of popular end user applications. These demands require a significant amount of up-front software development, testing, and often additional licensing.</w:t>
      </w:r>
    </w:p>
    <w:p>
      <w:pPr>
        <w:spacing w:after="0" w:line="120" w:lineRule="exact"/>
        <w:rPr>
          <w:sz w:val="20"/>
          <w:szCs w:val="20"/>
          <w:color w:val="auto"/>
        </w:rPr>
      </w:pPr>
    </w:p>
    <w:p>
      <w:pPr>
        <w:ind w:right="200" w:firstLine="456"/>
        <w:spacing w:after="0" w:line="323" w:lineRule="auto"/>
        <w:rPr>
          <w:sz w:val="20"/>
          <w:szCs w:val="20"/>
          <w:color w:val="auto"/>
        </w:rPr>
      </w:pPr>
      <w:r>
        <w:rPr>
          <w:rFonts w:ascii="Arial" w:cs="Arial" w:eastAsia="Arial" w:hAnsi="Arial"/>
          <w:sz w:val="15"/>
          <w:szCs w:val="15"/>
          <w:color w:val="auto"/>
        </w:rPr>
        <w:t>Lastly, the market for consumer electronics devices is becoming increasingly standards-based. These standards change rapidly and often several different standards may exist and overlap in a single market. Our platforms are typically designed to operate seamlessly with all relevant standards, which require us to design products in anticipation of these relevant standards. For example, we have communications processors and software designed to operate on several different cellular standards, including GSM/ enhanced data for the GSM environment (“EDGE”) (2G), WCDMA (3G), TD-SCDMA (China 3G) and 4G LTE.</w:t>
      </w:r>
    </w:p>
    <w:p>
      <w:pPr>
        <w:spacing w:after="0" w:line="9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summary, while providing the most advanced components at the lowest possible price remains critical to our business, continuing the transformation into a platform solutions provider through the integration of multiple components together with industry-leading software capability will continue to increase in importance to our overall success.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96"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During the early stages of the company, our core technologies were focused on the storage market. Today, we provide high-performance products for traditional hard disk drive (“HDD”) controllers to companies such as Seagate Technology, Toshiba Corporation and Western Digital Corporation. Over the past few years, we have expanded our core storage technologies by developing solid state flash drive (“SSD”) controllers, which are currently sold to flash providers, such as Micron, SanDisk and Toshiba and other companies who are building drives based on our SSD technologies. In addition, we have also developed unique high-performance solutions for the solid state hybrid drive (“SSHD”) market, which we expect to grow rapidly over the next few years.</w:t>
      </w:r>
    </w:p>
    <w:p>
      <w:pPr>
        <w:spacing w:after="0" w:line="11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As our business grew, we expanded into the networking market, where we developed industry-leading PHY devices and wired and wireless Ethernet-switching solutions, which enable high-speed transmission between communications systems that are sold by manufacturers of networking and wireless equipment, such as Brocade Communication Systems, Inc., Cisco Systems, Inc., FREEBOX, Hewlett Packard Company, Huawei Technologies Co., Ltd., Intel Corporation, Juniper Networks, Inc. and ZTE Corporation. We also provide complete smartphone and tablet platform solutions, including communications and applications processors, wireless connectivity, power management and other platform components, for customers such as BlackBerry, Huawei, Motorola Solutions, Samsung, Yulong and ZTE Corporation. We also provide printer SoC and system level solutions, including wireless, for both inkjet and laser jet printer systems for companies including Hewlett Packard Company. Our wireless products also are used on a standalone basis in consumer electronics devices,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including smartphones, tablets, wireless access routers and gaming devices, by companies such as Cisco Systems, Microsoft Corporation, Samsung and Sony Corporation. In addition, we also provide video and application processors combined with our connectivity and power management for new consumer devices, such as the Google Chromecast.</w:t>
      </w:r>
    </w:p>
    <w:p>
      <w:pPr>
        <w:spacing w:after="0" w:line="14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Our current product offerings are primarily in three broad end markets: mobile and wireless, storage and networking. Our net revenue by end market for the last three fiscal years are as follows: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2"/>
          </w:tcPr>
          <w:p>
            <w:pPr>
              <w:jc w:val="center"/>
              <w:ind w:left="38"/>
              <w:spacing w:after="0"/>
              <w:rPr>
                <w:sz w:val="20"/>
                <w:szCs w:val="20"/>
                <w:color w:val="auto"/>
              </w:rPr>
            </w:pPr>
            <w:r>
              <w:rPr>
                <w:rFonts w:ascii="Arial" w:cs="Arial" w:eastAsia="Arial" w:hAnsi="Arial"/>
                <w:sz w:val="14"/>
                <w:szCs w:val="14"/>
                <w:b w:val="1"/>
                <w:bCs w:val="1"/>
                <w:color w:val="auto"/>
                <w:w w:val="88"/>
              </w:rPr>
              <w:t>Year Ended</w:t>
            </w:r>
          </w:p>
        </w:tc>
        <w:tc>
          <w:tcPr>
            <w:tcW w:w="7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628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1,</w:t>
            </w: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74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28,</w:t>
            </w: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2013</w:t>
            </w:r>
          </w:p>
        </w:tc>
        <w:tc>
          <w:tcPr>
            <w:tcW w:w="3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2012</w:t>
            </w: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6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700" w:type="dxa"/>
            <w:vAlign w:val="bottom"/>
            <w:gridSpan w:val="6"/>
          </w:tcPr>
          <w:p>
            <w:pPr>
              <w:jc w:val="center"/>
              <w:ind w:left="316"/>
              <w:spacing w:after="0" w:line="142" w:lineRule="exact"/>
              <w:rPr>
                <w:sz w:val="20"/>
                <w:szCs w:val="20"/>
                <w:color w:val="auto"/>
              </w:rPr>
            </w:pPr>
            <w:r>
              <w:rPr>
                <w:rFonts w:ascii="Arial" w:cs="Arial" w:eastAsia="Arial" w:hAnsi="Arial"/>
                <w:sz w:val="14"/>
                <w:szCs w:val="14"/>
                <w:b w:val="1"/>
                <w:bCs w:val="1"/>
                <w:color w:val="auto"/>
                <w:w w:val="85"/>
              </w:rPr>
              <w:t>(in millions, except for percentages)</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Mobile and Wireless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839</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25%</w:t>
            </w: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26%</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969</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w:t>
            </w: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Storage</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1,682</w:t>
            </w: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49%</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1,495</w:t>
            </w:r>
          </w:p>
        </w:tc>
        <w:tc>
          <w:tcPr>
            <w:tcW w:w="380" w:type="dxa"/>
            <w:vAlign w:val="bottom"/>
          </w:tcPr>
          <w:p>
            <w:pPr>
              <w:spacing w:after="0"/>
              <w:rPr>
                <w:sz w:val="18"/>
                <w:szCs w:val="18"/>
                <w:color w:val="auto"/>
              </w:rPr>
            </w:pPr>
          </w:p>
        </w:tc>
        <w:tc>
          <w:tcPr>
            <w:tcW w:w="740" w:type="dxa"/>
            <w:vAlign w:val="bottom"/>
          </w:tcPr>
          <w:p>
            <w:pPr>
              <w:jc w:val="right"/>
              <w:ind w:right="252"/>
              <w:spacing w:after="0"/>
              <w:rPr>
                <w:sz w:val="20"/>
                <w:szCs w:val="20"/>
                <w:color w:val="auto"/>
              </w:rPr>
            </w:pPr>
            <w:r>
              <w:rPr>
                <w:rFonts w:ascii="Arial" w:cs="Arial" w:eastAsia="Arial" w:hAnsi="Arial"/>
                <w:sz w:val="18"/>
                <w:szCs w:val="18"/>
                <w:color w:val="auto"/>
              </w:rPr>
              <w:t>47%</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1,561</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46%</w:t>
            </w: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Networking</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670</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20%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709</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22%</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698</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w:t>
            </w:r>
          </w:p>
        </w:tc>
      </w:tr>
      <w:tr>
        <w:trPr>
          <w:trHeight w:val="223"/>
        </w:trPr>
        <w:tc>
          <w:tcPr>
            <w:tcW w:w="6280" w:type="dxa"/>
            <w:vAlign w:val="bottom"/>
          </w:tcPr>
          <w:p>
            <w:pPr>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213</w:t>
            </w:r>
          </w:p>
        </w:tc>
        <w:tc>
          <w:tcPr>
            <w:tcW w:w="220" w:type="dxa"/>
            <w:vAlign w:val="bottom"/>
          </w:tcPr>
          <w:p>
            <w:pPr>
              <w:spacing w:after="0"/>
              <w:rPr>
                <w:sz w:val="19"/>
                <w:szCs w:val="19"/>
                <w:color w:val="auto"/>
              </w:rPr>
            </w:pP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6%</w:t>
            </w:r>
          </w:p>
        </w:tc>
        <w:tc>
          <w:tcPr>
            <w:tcW w:w="1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w:t>
            </w:r>
          </w:p>
        </w:tc>
        <w:tc>
          <w:tcPr>
            <w:tcW w:w="380" w:type="dxa"/>
            <w:vAlign w:val="bottom"/>
          </w:tcPr>
          <w:p>
            <w:pPr>
              <w:spacing w:after="0"/>
              <w:rPr>
                <w:sz w:val="19"/>
                <w:szCs w:val="19"/>
                <w:color w:val="auto"/>
              </w:rPr>
            </w:pPr>
          </w:p>
        </w:tc>
        <w:tc>
          <w:tcPr>
            <w:tcW w:w="740" w:type="dxa"/>
            <w:vAlign w:val="bottom"/>
          </w:tcPr>
          <w:p>
            <w:pPr>
              <w:jc w:val="right"/>
              <w:ind w:right="252"/>
              <w:spacing w:after="0"/>
              <w:rPr>
                <w:sz w:val="20"/>
                <w:szCs w:val="20"/>
                <w:color w:val="auto"/>
              </w:rPr>
            </w:pPr>
            <w:r>
              <w:rPr>
                <w:rFonts w:ascii="Arial" w:cs="Arial" w:eastAsia="Arial" w:hAnsi="Arial"/>
                <w:sz w:val="18"/>
                <w:szCs w:val="18"/>
                <w:color w:val="auto"/>
              </w:rPr>
              <w:t>5%</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w:t>
            </w:r>
          </w:p>
        </w:tc>
        <w:tc>
          <w:tcPr>
            <w:tcW w:w="22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4%</w:t>
            </w:r>
          </w:p>
        </w:tc>
      </w:tr>
      <w:tr>
        <w:trPr>
          <w:trHeight w:val="216"/>
        </w:trPr>
        <w:tc>
          <w:tcPr>
            <w:tcW w:w="6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3,404</w:t>
            </w:r>
          </w:p>
        </w:tc>
        <w:tc>
          <w:tcPr>
            <w:tcW w:w="7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3,169</w:t>
            </w:r>
          </w:p>
        </w:tc>
        <w:tc>
          <w:tcPr>
            <w:tcW w:w="3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3,393</w:t>
            </w:r>
          </w:p>
        </w:tc>
        <w:tc>
          <w:tcPr>
            <w:tcW w:w="4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Mobile and Wireless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We offer a broad range of products for the mobile and wireless end market, including integrated communications processors, thin modems and connectivity solutions. Our solutions power the complete value chain of mobile and wireless devices that are designed to provide full-featured, media-rich experiences and robust services to everyone from the business user to the consumer.</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Communications and Applications Processors</w:t>
      </w:r>
    </w:p>
    <w:p>
      <w:pPr>
        <w:spacing w:after="0" w:line="9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Our communications processors are highly integrated cellular SoC devices that enable mobile handset developers to address GSM/EDGE (2G), WCDMA (3G), TD-SCDMA (China 3G) and 4G LTE mobile network standards. Our communication products include high-performance multi-band baseband thin modems and applications processors in highly integrated low-power SoC platforms for voice, computation and multimedia-intensive mobile applications for smartphones and tablets.</w:t>
      </w:r>
    </w:p>
    <w:p>
      <w:pPr>
        <w:spacing w:after="0" w:line="143"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PXA920 was our first generation 3G communications processor solution that targeted the TD-SCDMA smartphone market. In fiscal 2013, we introduced our unified 3G platform with the PXA986, PXA988, and PXA1088 that address the worldwide WCDMA market and China 3G market. These solutions are highly integrated 3G SoC communications processors that feature advanced modem technologies, with PXA986 integrating a WCDMA modem and PXA988 integrating a TD-SCDMA modem. The PXA1088 integrates both WCDMA and TD-SCDMA modems with a high-performance quad-core application processor that enables a world-phone design. These products combine dual-core and quad-core gigahertz class applications processing performance with advanced 3D graphics and 1080p multimedia processing capability.</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fiscal 2014, we introduced the PXA1088LTE, our 4G LTE single-chip mobile SoC that integrates our multi-mode LTE modem with a high-performance quad-core application processor and graphic processing capabilities. This advanced solution is designed to provide high-performance, low-power mobile computing and support for all global mobile standards, including LTE frequency division multiplex (“LTE FDD”), time division LTE (“TD-LTE”), high speed packet access plus (“HSPA+”), time division HSPA+ (“TD-HSPA+”) and EDGE. All of our mobile platforms are complemented by our power management, RF and wireless connectivity solutions.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Thin Modems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Our thin modems allow us to target high-end applications and are highly optimized multi-mode baseband modem devices that enable the design of a wide-array of high-performance, low-power Internet-connected devices, targeting smartphones and tablets. Our thin modems incorporate a multi-band multi-mode design, which is capable of addressing global 3G and 4G mobile standards.</w:t>
      </w:r>
    </w:p>
    <w:p>
      <w:pPr>
        <w:spacing w:after="0" w:line="14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PXA180x-series modem solutions are a series of highly integrated 4G LTE cellular thin modems supporting Release 9 category 4 (3GPP) FDD and TDD LTE, Release 8 (3GPP) WCDMA, Release 8 (3GPP) TD-SCDMA, and 2.5G (GSM/GPRS/EDGE) cellular standards. These devices target multiple applications, including smartphone, tablet, mobile hotspot, automotive and fixed data access points for enterprise and consumer use. The PXA180x-series modem platform is complimented by our power management, RF and in many instances wireless connectivity components. Our newest solutions are designed to support next-generation LTE standards with category 4 speeds, which can achieve up to 150 megabits-per-second downlink throughput. We are also investing in and designing next generation advanced LTE solutions for the smartphone, tablet and other high-volume markets.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Connectivity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Avastar family of wireless products include standalone Wi-Fi products, as well as multi-function SoCs which incorporate multiple wireless communications protocols, including Wi-Fi, Bluetooth, NFC and FM, delivered on a single chip. Historically, these products have been incorporated primarily in gaming systems, digital cameras, printers, and wireless access points and routers. In today’s increasingly connected and mobile lifestyle, the number and variety of products that require wireless communications have expanded significantly to include mobile phones, tablets, digital TV, set-top boxes, video dongles, in-car infotainment and smart appliances. Our products are well positioned for these devices by delivering low-power and high-performance functionality with the latest technologies, such as Wi-Fi Certified Passpoint, Wi-Fi Certified Miracast , IEEE 802.11ac, and Bluetooth Smart Ready. We have a broad wireless product portfolio that includes single stream 1x1, 2x2 MIMO and 4x4 MIMO devices, as well as Global Navigation Satellite System hybrid location products. In addition, the Avastar family of products are designed to provide a high degree of integration of radios, RF components, power management and memory.</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Mobile Computing Products</w:t>
      </w:r>
    </w:p>
    <w:p>
      <w:pPr>
        <w:spacing w:after="0" w:line="90"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Our ARMADA 100, 500, 600 and 2100 products are SoCs that are designed to deliver advanced integration, excellent multimedia performance and superior power consumption savings for mobile computing products. These products have been incorporated into tablets, notebooks, eReaders, gaming devices, scanners and educational devices. We have also introduced thin client products designed to operate on Linux-based devices, offering a low-power and cost-efficient alternative to existing desktop computers. Our ARMADA line of chips are also used in a large variety of embedded devices, ranging from point-of-sale devices, vending machines, connected displays, wireless speakers and other entertainment devices.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Storage</w:t>
      </w:r>
    </w:p>
    <w:p>
      <w:pPr>
        <w:spacing w:after="0" w:line="9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offer a broad range of integrated data storage products across all major technologies, including HDD, SSD, and SSHD controllers. In addition, we offer storage system products for complex storage area network solutions. These products provide increased performance and reduced power consumption for enterprise, desktop and mobile storage systems. These integrated SoCs feature ultra-fast read channels, high-performance processors, transceivers, DDR RAM controllers and cryptographic engines.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Hard Disk Drive Controllers</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HDD controllers provide high-performance input/output (“I/O”) interface control between the HDD and the host system. We support a variety of host system interfaces, including SATA, SAS, PCIe and USB, which can support the complete range of enterprise, desktop and mobile HDDs. We are the leading HDD controller supplier and currently supply products to all of the major hard drive manufacturers. Our HDD controllers with advanced 500-gigabyte-per-platter technology for mobile HDDs provide a technological advantage that enables a higher level of data storage on a smaller form factor.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Solid-State Drive Controllers</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Our SSD controller SoCs are targeted at the growing market for flash-based storage systems, for the enterprise, consumer and mobile markets. Our SSD controllers leverage significant portions of intellectual property and software developed for the HDD market. Additionally, we incorporate unique intellectual property and development required to ensure stable device operation. We have also leveraged our technology in consumer SSD controllers and have developed a family of SSD controller-based solutions designed for the smartphone and tablet markets. We support a variety of host system interfaces, including PCIe, SATA, SAS and emerging mobile standards for a complete range of enterprise, desktop and mobile SSD applications.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Solid State Hybrid Drive Controllers</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A SSHD is a HDD that also contains flash memory, thereby leveraging the low cost of a HDD with the performance of a SSD. Our SSHD controller SoCs include the technology required for HDD operation as well as a high-speed interface for the on-drive flash memory.</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Networking</w:t>
      </w:r>
    </w:p>
    <w:p>
      <w:pPr>
        <w:spacing w:after="0" w:line="90"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Residential, enterprise, and service provider networks are experiencing rapid change. To meet these challenges, our Networking business is evolving by investing and adding technologies required for the build-out of new network architectures. We are focusing on cloud infrastructure and service provider infrastructure.</w:t>
      </w:r>
    </w:p>
    <w:p>
      <w:pPr>
        <w:spacing w:after="0" w:line="59" w:lineRule="exact"/>
        <w:rPr>
          <w:sz w:val="20"/>
          <w:szCs w:val="20"/>
          <w:color w:val="auto"/>
        </w:rPr>
      </w:pPr>
    </w:p>
    <w:p>
      <w:pPr>
        <w:ind w:left="900" w:right="500" w:hanging="325"/>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 xml:space="preserve">Residential networks </w:t>
      </w:r>
      <w:r>
        <w:rPr>
          <w:rFonts w:ascii="Arial" w:cs="Arial" w:eastAsia="Arial" w:hAnsi="Arial"/>
          <w:sz w:val="18"/>
          <w:szCs w:val="18"/>
          <w:color w:val="auto"/>
        </w:rPr>
        <w:t>are where personal applications and data reside within the privacy and control of a residential network. Our products are</w:t>
      </w:r>
      <w:r>
        <w:rPr>
          <w:rFonts w:ascii="Arial" w:cs="Arial" w:eastAsia="Arial" w:hAnsi="Arial"/>
          <w:sz w:val="18"/>
          <w:szCs w:val="18"/>
          <w:i w:val="1"/>
          <w:iCs w:val="1"/>
          <w:color w:val="auto"/>
        </w:rPr>
        <w:t xml:space="preserve"> </w:t>
      </w:r>
      <w:r>
        <w:rPr>
          <w:rFonts w:ascii="Arial" w:cs="Arial" w:eastAsia="Arial" w:hAnsi="Arial"/>
          <w:sz w:val="18"/>
          <w:szCs w:val="18"/>
          <w:color w:val="auto"/>
        </w:rPr>
        <w:t>designed to allow a multitude of smart devices to share content and manage home services.</w:t>
      </w:r>
    </w:p>
    <w:p>
      <w:pPr>
        <w:spacing w:after="0" w:line="50" w:lineRule="exact"/>
        <w:rPr>
          <w:rFonts w:ascii="Arial" w:cs="Arial" w:eastAsia="Arial" w:hAnsi="Arial"/>
          <w:sz w:val="18"/>
          <w:szCs w:val="18"/>
          <w:color w:val="auto"/>
        </w:rPr>
      </w:pPr>
    </w:p>
    <w:p>
      <w:pPr>
        <w:ind w:left="900" w:right="100" w:hanging="325"/>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 xml:space="preserve">Enterprise networks </w:t>
      </w:r>
      <w:r>
        <w:rPr>
          <w:rFonts w:ascii="Arial" w:cs="Arial" w:eastAsia="Arial" w:hAnsi="Arial"/>
          <w:sz w:val="18"/>
          <w:szCs w:val="18"/>
          <w:color w:val="auto"/>
        </w:rPr>
        <w:t>represents the next generation of the network that enables a more mobile workforce, global collaboration, increased bandwidth</w:t>
      </w:r>
      <w:r>
        <w:rPr>
          <w:rFonts w:ascii="Arial" w:cs="Arial" w:eastAsia="Arial" w:hAnsi="Arial"/>
          <w:sz w:val="18"/>
          <w:szCs w:val="18"/>
          <w:i w:val="1"/>
          <w:iCs w:val="1"/>
          <w:color w:val="auto"/>
        </w:rPr>
        <w:t xml:space="preserve"> </w:t>
      </w:r>
      <w:r>
        <w:rPr>
          <w:rFonts w:ascii="Arial" w:cs="Arial" w:eastAsia="Arial" w:hAnsi="Arial"/>
          <w:sz w:val="18"/>
          <w:szCs w:val="18"/>
          <w:color w:val="auto"/>
        </w:rPr>
        <w:t>and enhanced security.</w:t>
      </w:r>
    </w:p>
    <w:p>
      <w:pPr>
        <w:spacing w:after="0" w:line="5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 xml:space="preserve">Service Provider networks </w:t>
      </w:r>
      <w:r>
        <w:rPr>
          <w:rFonts w:ascii="Arial" w:cs="Arial" w:eastAsia="Arial" w:hAnsi="Arial"/>
          <w:sz w:val="18"/>
          <w:szCs w:val="18"/>
          <w:color w:val="auto"/>
        </w:rPr>
        <w:t>encompass the converged wireless and wireline public infrastructure and low-power commercial data centers, where we</w:t>
      </w:r>
      <w:r>
        <w:rPr>
          <w:rFonts w:ascii="Arial" w:cs="Arial" w:eastAsia="Arial" w:hAnsi="Arial"/>
          <w:sz w:val="18"/>
          <w:szCs w:val="18"/>
          <w:i w:val="1"/>
          <w:iCs w:val="1"/>
          <w:color w:val="auto"/>
        </w:rPr>
        <w:t xml:space="preserve"> </w:t>
      </w:r>
      <w:r>
        <w:rPr>
          <w:rFonts w:ascii="Arial" w:cs="Arial" w:eastAsia="Arial" w:hAnsi="Arial"/>
          <w:sz w:val="18"/>
          <w:szCs w:val="18"/>
          <w:color w:val="auto"/>
        </w:rPr>
        <w:t>are focused on the convergence of networking, computing and storage technologies.</w:t>
      </w:r>
    </w:p>
    <w:p>
      <w:pPr>
        <w:spacing w:after="0" w:line="132"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Our ARMADA XP family of products is a quad-core processing, enterprise-class cloud computing platform. This platform integrates four ARM-based 1.6Hz CPU cores along with a host of I/O peripherals and is optimized to consume low power while simultaneously delivering high-performance per-watt.</w:t>
      </w:r>
    </w:p>
    <w:p>
      <w:pPr>
        <w:spacing w:after="0" w:line="85"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Our Kirkwood family of products is based on our embedded CPU technology and has been designed to maximize overall performance while minimizing power consumption. Designed for network-connected consumer electronics equipment, this family of products is used in home gateways, set-top boxes, network storage, printers, media players and point-of-service terminals.</w:t>
      </w:r>
    </w:p>
    <w:p>
      <w:pPr>
        <w:spacing w:after="0" w:line="140"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Our Discovery Innovation family of products provides a complete SoC solution based on our embedded CPU technology. These high performance, low-power, highly integrated processors are ideally suited to a wide range of applications, ranging from sophisticated routers, switches and wireless base stations to high volume laser printer applications.</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60"/>
          </w:cols>
          <w:pgMar w:left="240" w:top="459" w:right="29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The Xelerated product family provides programmable network processing solutions designed for carrier Ethernet, access, aggregation, mobile backhaul, transport and data-center (mobile cloud) platforms, where high-performance-per-watt, enhanced quality of service is an essential metric.</w:t>
      </w:r>
    </w:p>
    <w:p>
      <w:pPr>
        <w:spacing w:after="0" w:line="85"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Our Link Street family of 10/100 Fast Ethernet and Gigabit switches is targeted to the small office and home office market, where cost, ease-of-use and flexibility are critical. These devices are targeted at applications, such as standalone switches, media converters, Internet protocol phones, firewall appliances, wireless and wired gateway routers, and wireless access points. When integrated with a high-performance ARM-based embedded microprocessor, a media access controller and PHY interface, our Link Street family of products provides an integrated single-chip solution for small and medium-size business applications, as well as residential applications.</w:t>
      </w:r>
    </w:p>
    <w:p>
      <w:pPr>
        <w:spacing w:after="0" w:line="14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Prestera DX family of Gigabit Ethernet (“GbE”) switches offer integration and performance for small and medium-size business networks, and mobile access and backhaul infrastructure networks. These products are designed to enable system vendors to design affordable, plug-and-play, high-density and standalone switches, which address the cost-sensitive desktop switching market. The Prestera EX family of enterprise switches is designed to deliver exceptional price and performance. The Prestera EX family delivers a complete line of Fast Ethernet, GbE and 10GbE switching solutions.</w:t>
      </w:r>
    </w:p>
    <w:p>
      <w:pPr>
        <w:spacing w:after="0" w:line="113"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Prestera CX family of 10GbE and 40GbE switches is designed for the new generation of high density data centers and optical broadband, as well as the convergence of data and storage networks. Using standards-based congestion management capabilities and dynamic power management, these products enable virtualization, cloud computing and “software as a service.”</w:t>
      </w:r>
    </w:p>
    <w:p>
      <w:pPr>
        <w:spacing w:after="0" w:line="140"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Our Alaska family of Ethernet transceiver products includes high-performance and low-power Gigabit and 10/40 Gigabit PHY devices. These physical layer transceivers compliment Marvell’s switch and SoC products and address enterprise switching, server and telecom applications. The Alaska family of products enables the accelerated deployment of 10/40GbE capable systems for the LAN, metropolitan area network (“MAN”) and wide area network (“WAN”) markets over both fiber and copper media. Our low-power, low-cost solutions are designed to address network connectivity for client systems, such as PCs, gaming systems and digital TVs.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Yukon family of connectivity products includes integrated, single-chip solutions, based on our proven enterprise-class Alaska family of products.</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These products are offered in an ultra-small form factor with low-power consumption and are targeted for client and server network interface cards.</w:t>
      </w:r>
    </w:p>
    <w:p>
      <w:pPr>
        <w:spacing w:after="0" w:line="188" w:lineRule="exact"/>
        <w:rPr>
          <w:sz w:val="20"/>
          <w:szCs w:val="20"/>
          <w:color w:val="auto"/>
        </w:rPr>
      </w:pPr>
    </w:p>
    <w:p>
      <w:pPr>
        <w:ind w:right="300" w:firstLine="456"/>
        <w:spacing w:after="0" w:line="298" w:lineRule="auto"/>
        <w:rPr>
          <w:sz w:val="20"/>
          <w:szCs w:val="20"/>
          <w:color w:val="auto"/>
        </w:rPr>
      </w:pPr>
      <w:r>
        <w:rPr>
          <w:rFonts w:ascii="Arial" w:cs="Arial" w:eastAsia="Arial" w:hAnsi="Arial"/>
          <w:sz w:val="16"/>
          <w:szCs w:val="16"/>
          <w:color w:val="auto"/>
        </w:rPr>
        <w:t>Our Avanta product family provides solutions for next generation broadband, based on Ethernet passive optical network (“EPON”) and Gigabit passive optical network (“GPON”) architectures. These products consist of a highly integrated Gateway-on-a-Chip solution, Ethernet and packet processing, voice processing, power management and applications processors. The Avanta product is designed to meet the needs of next generation networks and the significant increases in required bandwidth, including high-quality video, online gaming and conferencing.</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Products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Printing Solutions</w:t>
      </w:r>
    </w:p>
    <w:p>
      <w:pPr>
        <w:spacing w:after="0" w:line="90" w:lineRule="exact"/>
        <w:rPr>
          <w:sz w:val="20"/>
          <w:szCs w:val="20"/>
          <w:color w:val="auto"/>
        </w:rPr>
      </w:pPr>
    </w:p>
    <w:p>
      <w:pPr>
        <w:ind w:right="400" w:firstLine="456"/>
        <w:spacing w:after="0" w:line="332" w:lineRule="auto"/>
        <w:rPr>
          <w:sz w:val="20"/>
          <w:szCs w:val="20"/>
          <w:color w:val="auto"/>
        </w:rPr>
      </w:pPr>
      <w:r>
        <w:rPr>
          <w:rFonts w:ascii="Arial" w:cs="Arial" w:eastAsia="Arial" w:hAnsi="Arial"/>
          <w:sz w:val="16"/>
          <w:szCs w:val="16"/>
          <w:color w:val="auto"/>
        </w:rPr>
        <w:t>Our printer SoC products power many of today’s laser and ink printers and multi-function peripherals. These SoCs include a family of printer-specific standard products as well as full-custom printer ASICs. We continue to pioneer and lead printing technologies including 3D printing and mobile printing.</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Smart Home Products</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Our smart home product portfolio includes the ARMADA 1500 family SoC and other products that are designed to enable the next generation of connected consumer platforms, and to enhance the eco-friendly “Connected Lifestyle” throughout the home, ranging from broadband access, home networking, home entertainment and home automation. Focused on complete solutions for service providers and OEMs, products from Smart Home are found in smart TVs, set-top boxes, multi-screen dongles such as Google Chromecast, smart lighting and smart appliances.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Financial Information about Segments and Geographic Areas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We have determined that we operate in one reportable business segment: the design, development and sale of integrated circuits. For further information, please see “Note 13 — Segment and Geographic Information” in our Notes to the Consolidated Financial Statements set forth in Part II, Item 8 of this Annual Report on Form 10-K.</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Due to the increased importance of being able to offer fully integrated platforms to our customers, which combine multiple products, including products generally associated with multiple end markets, our sales force is strategically aligned along key customer lines. In this way, we believe we can more effectively offer a broader set of content into our key customer’s end products, without having multiple product groups separately engage the same customer. We complement and support our direct sales force with manufacturers’ representatives for our products in North America, Europe and Asia. In addition, we have distributors who support our sales and marketing activities in the United States, Europe and Asia. We also use third party logistics providers, who maintain warehouses in close proximity to our customer’s facilities. We expect a significant percentage of our sales will continue to come from direct sales to key customers. 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23"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Our marketing team works in conjunction with our field sales and application engineering force and is organized around our product applications and end markets. Due to the complexity of our products, we believe that individual meetings between our customers and our marketing, sales and engineering teams provide the most effective and rapid means of communicating the capabilities, benefits and extremely technical specifications of each significant new product.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target customers for our storage products are manufacturers of HDDs, SSDs and SSHDs for the enterprise, desktop and mobile computing markets.</w:t>
      </w:r>
    </w:p>
    <w:p>
      <w:pPr>
        <w:spacing w:after="0" w:line="194"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The target customers for our switching, transceiver and connectivity products are manufacturers of high-speed networking equipment targeted at LANs, MANs and WANs, in addition to PC-client OEMs. The target customers for our communications controller and embedded processor products are the manufacturers and vendors of wireless communications equipment and handsets for the Internet voice communications market.</w:t>
      </w:r>
    </w:p>
    <w:p>
      <w:pPr>
        <w:spacing w:after="0" w:line="107"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target customers for our communications and applications processor products are manufacturers of mobile handsets, tablets, ultrabooks and a large variety of other handheld, portable consumer applications. Our target customers for our wireless and personal area networking products include manufacturers of wireless LAN solutions for small-and-medium size businesses, small office/home office and residential gateway solutions as well as manufacturers of a variety of new consumer applications such as mobile handsets, tablets, gaming devices and home entertainment multimedia client devices.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target customers for our digital video processing products include manufacturers of consumer electronic devices, such as digital TVs, HD-based media players, HD-based set-top-boxes, media clients and audio-visual receivers. The target customers for our power management and green technology products are very diverse and include manufacturers of many different electronic devices.</w:t>
      </w:r>
    </w:p>
    <w:p>
      <w:pPr>
        <w:spacing w:after="0" w:line="14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Net revenue attributable to significant end customers is presented in the following table as a percentage of net revenue:</w:t>
      </w:r>
    </w:p>
    <w:p>
      <w:pPr>
        <w:spacing w:after="0" w:line="26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2"/>
          </w:tcPr>
          <w:p>
            <w:pPr>
              <w:jc w:val="center"/>
              <w:ind w:right="98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6520" w:type="dxa"/>
            <w:vAlign w:val="bottom"/>
            <w:vMerge w:val="restart"/>
          </w:tcPr>
          <w:p>
            <w:pPr>
              <w:spacing w:after="0"/>
              <w:rPr>
                <w:sz w:val="11"/>
                <w:szCs w:val="11"/>
                <w:color w:val="auto"/>
              </w:rPr>
            </w:pPr>
          </w:p>
        </w:tc>
        <w:tc>
          <w:tcPr>
            <w:tcW w:w="1700" w:type="dxa"/>
            <w:vAlign w:val="bottom"/>
            <w:gridSpan w:val="2"/>
          </w:tcPr>
          <w:p>
            <w:pPr>
              <w:jc w:val="center"/>
              <w:ind w:right="1000"/>
              <w:spacing w:after="0" w:line="129" w:lineRule="exact"/>
              <w:rPr>
                <w:sz w:val="20"/>
                <w:szCs w:val="20"/>
                <w:color w:val="auto"/>
              </w:rPr>
            </w:pPr>
            <w:r>
              <w:rPr>
                <w:rFonts w:ascii="Arial" w:cs="Arial" w:eastAsia="Arial" w:hAnsi="Arial"/>
                <w:sz w:val="14"/>
                <w:szCs w:val="14"/>
                <w:b w:val="1"/>
                <w:bCs w:val="1"/>
                <w:color w:val="auto"/>
                <w:w w:val="92"/>
              </w:rPr>
              <w:t>February 1,</w:t>
            </w:r>
          </w:p>
        </w:tc>
        <w:tc>
          <w:tcPr>
            <w:tcW w:w="1700" w:type="dxa"/>
            <w:vAlign w:val="bottom"/>
            <w:gridSpan w:val="2"/>
          </w:tcPr>
          <w:p>
            <w:pPr>
              <w:jc w:val="center"/>
              <w:ind w:right="980"/>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28,</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6520" w:type="dxa"/>
            <w:vAlign w:val="bottom"/>
            <w:vMerge w:val="continue"/>
          </w:tcPr>
          <w:p>
            <w:pPr>
              <w:spacing w:after="0"/>
              <w:rPr>
                <w:sz w:val="12"/>
                <w:szCs w:val="12"/>
                <w:color w:val="auto"/>
              </w:rPr>
            </w:pPr>
          </w:p>
        </w:tc>
        <w:tc>
          <w:tcPr>
            <w:tcW w:w="700" w:type="dxa"/>
            <w:vAlign w:val="bottom"/>
          </w:tcPr>
          <w:p>
            <w:pPr>
              <w:jc w:val="right"/>
              <w:ind w:right="140"/>
              <w:spacing w:after="0" w:line="148" w:lineRule="exact"/>
              <w:rPr>
                <w:sz w:val="20"/>
                <w:szCs w:val="20"/>
                <w:color w:val="auto"/>
              </w:rPr>
            </w:pPr>
            <w:r>
              <w:rPr>
                <w:rFonts w:ascii="Arial" w:cs="Arial" w:eastAsia="Arial" w:hAnsi="Arial"/>
                <w:sz w:val="14"/>
                <w:szCs w:val="14"/>
                <w:b w:val="1"/>
                <w:bCs w:val="1"/>
                <w:color w:val="auto"/>
              </w:rPr>
              <w:t>2014</w:t>
            </w:r>
          </w:p>
        </w:tc>
        <w:tc>
          <w:tcPr>
            <w:tcW w:w="1000" w:type="dxa"/>
            <w:vAlign w:val="bottom"/>
          </w:tcPr>
          <w:p>
            <w:pPr>
              <w:spacing w:after="0"/>
              <w:rPr>
                <w:sz w:val="12"/>
                <w:szCs w:val="12"/>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3"/>
              </w:rPr>
              <w:t>2013</w:t>
            </w:r>
          </w:p>
        </w:tc>
        <w:tc>
          <w:tcPr>
            <w:tcW w:w="1000" w:type="dxa"/>
            <w:vAlign w:val="bottom"/>
          </w:tcPr>
          <w:p>
            <w:pPr>
              <w:spacing w:after="0"/>
              <w:rPr>
                <w:sz w:val="12"/>
                <w:szCs w:val="12"/>
                <w:color w:val="auto"/>
              </w:rPr>
            </w:pPr>
          </w:p>
        </w:tc>
        <w:tc>
          <w:tcPr>
            <w:tcW w:w="700" w:type="dxa"/>
            <w:vAlign w:val="bottom"/>
          </w:tcPr>
          <w:p>
            <w:pPr>
              <w:jc w:val="right"/>
              <w:ind w:right="140"/>
              <w:spacing w:after="0" w:line="148" w:lineRule="exact"/>
              <w:rPr>
                <w:sz w:val="20"/>
                <w:szCs w:val="20"/>
                <w:color w:val="auto"/>
              </w:rPr>
            </w:pPr>
            <w:r>
              <w:rPr>
                <w:rFonts w:ascii="Arial" w:cs="Arial" w:eastAsia="Arial" w:hAnsi="Arial"/>
                <w:sz w:val="14"/>
                <w:szCs w:val="14"/>
                <w:b w:val="1"/>
                <w:bCs w:val="1"/>
                <w:color w:val="auto"/>
              </w:rPr>
              <w:t>2012</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71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120" w:type="dxa"/>
            <w:vAlign w:val="bottom"/>
            <w:gridSpan w:val="2"/>
            <w:vMerge w:val="continue"/>
            <w:shd w:val="clear" w:color="auto" w:fill="CCEEFF"/>
          </w:tcPr>
          <w:p>
            <w:pPr>
              <w:spacing w:after="0"/>
              <w:rPr>
                <w:sz w:val="17"/>
                <w:szCs w:val="17"/>
                <w:color w:val="auto"/>
              </w:rPr>
            </w:pP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24%</w:t>
            </w:r>
          </w:p>
        </w:tc>
        <w:tc>
          <w:tcPr>
            <w:tcW w:w="1700" w:type="dxa"/>
            <w:vAlign w:val="bottom"/>
            <w:gridSpan w:val="2"/>
            <w:shd w:val="clear" w:color="auto" w:fill="CCEEFF"/>
          </w:tcPr>
          <w:p>
            <w:pPr>
              <w:jc w:val="right"/>
              <w:ind w:right="860"/>
              <w:spacing w:after="0" w:line="203" w:lineRule="exact"/>
              <w:rPr>
                <w:sz w:val="20"/>
                <w:szCs w:val="20"/>
                <w:color w:val="auto"/>
              </w:rPr>
            </w:pPr>
            <w:r>
              <w:rPr>
                <w:rFonts w:ascii="Arial" w:cs="Arial" w:eastAsia="Arial" w:hAnsi="Arial"/>
                <w:sz w:val="18"/>
                <w:szCs w:val="18"/>
                <w:color w:val="auto"/>
              </w:rPr>
              <w:t>24%</w:t>
            </w:r>
          </w:p>
        </w:tc>
        <w:tc>
          <w:tcPr>
            <w:tcW w:w="90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7120" w:type="dxa"/>
            <w:vAlign w:val="bottom"/>
            <w:gridSpan w:val="2"/>
          </w:tcPr>
          <w:p>
            <w:pPr>
              <w:spacing w:after="0"/>
              <w:rPr>
                <w:sz w:val="20"/>
                <w:szCs w:val="20"/>
                <w:color w:val="auto"/>
              </w:rPr>
            </w:pPr>
            <w:r>
              <w:rPr>
                <w:rFonts w:ascii="Arial" w:cs="Arial" w:eastAsia="Arial" w:hAnsi="Arial"/>
                <w:sz w:val="18"/>
                <w:szCs w:val="18"/>
                <w:color w:val="auto"/>
              </w:rPr>
              <w:t>Seagate</w:t>
            </w:r>
          </w:p>
        </w:tc>
        <w:tc>
          <w:tcPr>
            <w:tcW w:w="1700" w:type="dxa"/>
            <w:vAlign w:val="bottom"/>
            <w:gridSpan w:val="2"/>
          </w:tcPr>
          <w:p>
            <w:pPr>
              <w:jc w:val="right"/>
              <w:ind w:right="860"/>
              <w:spacing w:after="0"/>
              <w:rPr>
                <w:sz w:val="20"/>
                <w:szCs w:val="20"/>
                <w:color w:val="auto"/>
              </w:rPr>
            </w:pPr>
            <w:r>
              <w:rPr>
                <w:rFonts w:ascii="Arial" w:cs="Arial" w:eastAsia="Arial" w:hAnsi="Arial"/>
                <w:sz w:val="18"/>
                <w:szCs w:val="18"/>
                <w:color w:val="auto"/>
              </w:rPr>
              <w:t>12%</w:t>
            </w:r>
          </w:p>
        </w:tc>
        <w:tc>
          <w:tcPr>
            <w:tcW w:w="1700" w:type="dxa"/>
            <w:vAlign w:val="bottom"/>
            <w:gridSpan w:val="2"/>
          </w:tcPr>
          <w:p>
            <w:pPr>
              <w:jc w:val="right"/>
              <w:ind w:right="860"/>
              <w:spacing w:after="0"/>
              <w:rPr>
                <w:sz w:val="20"/>
                <w:szCs w:val="20"/>
                <w:color w:val="auto"/>
              </w:rPr>
            </w:pPr>
            <w:r>
              <w:rPr>
                <w:rFonts w:ascii="Arial" w:cs="Arial" w:eastAsia="Arial" w:hAnsi="Arial"/>
                <w:sz w:val="18"/>
                <w:szCs w:val="18"/>
                <w:color w:val="auto"/>
              </w:rPr>
              <w:t>10%</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Toshiba</w:t>
            </w:r>
          </w:p>
        </w:tc>
        <w:tc>
          <w:tcPr>
            <w:tcW w:w="1700" w:type="dxa"/>
            <w:vAlign w:val="bottom"/>
            <w:gridSpan w:val="2"/>
            <w:shd w:val="clear" w:color="auto" w:fill="CCEEFF"/>
          </w:tcPr>
          <w:p>
            <w:pPr>
              <w:jc w:val="right"/>
              <w:ind w:right="920"/>
              <w:spacing w:after="0"/>
              <w:rPr>
                <w:sz w:val="20"/>
                <w:szCs w:val="20"/>
                <w:color w:val="auto"/>
              </w:rPr>
            </w:pPr>
            <w:r>
              <w:rPr>
                <w:rFonts w:ascii="Arial" w:cs="Arial" w:eastAsia="Arial" w:hAnsi="Arial"/>
                <w:sz w:val="18"/>
                <w:szCs w:val="18"/>
                <w:color w:val="auto"/>
              </w:rPr>
              <w:t>*</w:t>
            </w:r>
          </w:p>
        </w:tc>
        <w:tc>
          <w:tcPr>
            <w:tcW w:w="17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10%</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71"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In fiscal 2013, Western Digital acquired Hitachi’s HDD unit and in fiscal 2012, Seagate acquired the HDD operations of Samsung.</w:t>
      </w:r>
    </w:p>
    <w:p>
      <w:pPr>
        <w:spacing w:after="0" w:line="171"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Our sales are made under purchase orders typically received between two and four months prior to the scheduled delivery date. These purchase orders can be cancelled without charge if notice is given within an agreed upon period. Because of the scheduling requirements of our foundries, we generally place firm orders for products with our suppliers generally up to 16 weeks prior to the anticipated delivery date and typically prior to an order for the product. These lead times typically change based on the current capacity at the foundries.</w:t>
      </w:r>
    </w:p>
    <w:p>
      <w:pPr>
        <w:spacing w:after="0" w:line="143" w:lineRule="exact"/>
        <w:rPr>
          <w:sz w:val="20"/>
          <w:szCs w:val="20"/>
          <w:color w:val="auto"/>
        </w:rPr>
      </w:pPr>
    </w:p>
    <w:p>
      <w:pPr>
        <w:jc w:val="both"/>
        <w:ind w:right="80" w:firstLine="456"/>
        <w:spacing w:after="0" w:line="298"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the timing of new product introductions by our customers may cause variations in our quarterly revenues, which may not be indicative of future trends.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96"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Our sales are made primarily pursuant to standard purchase orders for delivery of products. The quantities actually purchased by the customer, as well as the shipment schedules, are frequently revised during the agreement term to reflect changes in the customer’s needs. Due to an industry practice that allows customers to cancel or change purchase orders with limited notice prior to the scheduled shipment dates, we believe that backlog is not a reliable indicator of future revenue. In addition, an increasing portion of our revenue is related to inventory pulled by customers from third-party logistics providers. As such, this revenue would not be included in the backlog. Our backlog also includes orders from distributors for which revenue is not recognized until the products are sold to end customers.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broad intellectual property portfolio with designs that enable high-performance, reliable communications over a variety of physical transmission media. We are also focused on incorporating functions currently provided by stand alone integrated circuits into our integrated platform solutions to reduce our customers’ overall system costs.</w:t>
      </w:r>
    </w:p>
    <w:p>
      <w:pPr>
        <w:spacing w:after="0" w:line="140"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We have assembled a core team of engineers who have extensive experience in the areas of mixed-signal circuit design, digital signal processing, embedded microprocessors, CMOS technology and system-level architectures. We have invested and will continue to invest significant funds for research and development. Our research and development expense was $1.2 billion, $1.1 billion and $1.0 billion in fiscal 2014, 2013 and 2012, respectively.</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vast majority of our integrated circuits are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To a lesser extent, we also utilize United Microelectronics Corporation, with the remaining manufacturing outsourced to other foundries primarily in Asia. We work closely with our foundry partners to forecast on a monthly basis our manufacturing capacity requirements. Our integrated circuits are currently fabricated in several advanced manufacturing processes up to and including 28 nanometer.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We outsource all product packaging and testing requirements for our production products to several assembly and test subcontractors, including STATS ChipPAC Ltd. in China, Singapore and Taiwan; Global Testing Corporation in Taiwan; Siliconware Precision Industries in China and Taiwan; ASE Electronics in China, Malaysia, Singapore and Taiwan; and Amkor in Philippines, South Korea and Taiwan.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are certified to the International Organization for Standardization Quality Management Systems Standard ISO 9001:2008. 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assembly-test subcontractors have been awarded ISO 9001 certification.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We believe that our products are compliant with the current Restriction of Hazardous Substances Directive, the European legislation that restricts the use of a number of substances, including lead, and the REACH (Regulation, Evaluation and Authorization of Chemicals) SVHC Substances Directive. In addition, each of our manufacturing subcontractors complies with ISO 14001:2004, the international standard related to environmental management. We are also working to establish a “conflict-free” supply chain, including ethical sourcing of certain minerals for our products.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96"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independently develop similar technology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As of February 1, 2014, we have been issued and/or have acquired over 4,200 U.S. patents and over 1,200 foreign patents with expiration dates ranging from 2014 to 2034. We also have more than 2,700 U.S. and foreign pending patent applications on various aspects of our technology; however, we cannot be certain whether we will be issued patents as a result of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This litigation could result in substantial costs and diversion of our resources and could materially and adversely affect our business, financial condition and results of operations.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43"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85"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 See “Risk Factors” under Item 1A of this Report on Form 10-K and “Note 10 — Commitments and Contingencies” in our Notes to the Consolidated Financial Statements set forth in Part II, Item 8, of this Annual Report on Form 10-K for further discussion of the risks associated with patent litigation matters.</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80"/>
          </w:cols>
          <w:pgMar w:left="240" w:top="459" w:right="27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9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markets for our products, particularly in the mobile and wireless end market, are intensely competitive, characterized by rapid technological change, evolving industry standards, frequent new product introductions, short product life cycles and pricing pressures imposed by high-volume customers. Competition has intensified as a result of the increasing demand for higher levels of integration and smaller process geometries, and we expect competition to intensify as current competitors continue to strengthen their product offerings and new competitors enter our markets.</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 the:</w:t>
      </w:r>
    </w:p>
    <w:p>
      <w:pPr>
        <w:spacing w:after="0" w:line="113"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timing and success of new product introductions by us, our customers and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emergence, and rate of adoption and acceptance of new industry standards;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ability to obtain adequate foundry capacity;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number and nature of our competitors in a given market.</w:t>
      </w:r>
    </w:p>
    <w:p>
      <w:pPr>
        <w:spacing w:after="0" w:line="171" w:lineRule="exact"/>
        <w:rPr>
          <w:sz w:val="20"/>
          <w:szCs w:val="20"/>
          <w:color w:val="auto"/>
        </w:rPr>
      </w:pPr>
    </w:p>
    <w:p>
      <w:pPr>
        <w:ind w:left="580"/>
        <w:spacing w:after="0"/>
        <w:rPr>
          <w:sz w:val="20"/>
          <w:szCs w:val="20"/>
          <w:color w:val="auto"/>
        </w:rPr>
      </w:pPr>
      <w:r>
        <w:rPr>
          <w:rFonts w:ascii="Arial" w:cs="Arial" w:eastAsia="Arial" w:hAnsi="Arial"/>
          <w:sz w:val="18"/>
          <w:szCs w:val="18"/>
          <w:color w:val="auto"/>
        </w:rPr>
        <w:t>By end market our major competitors are as follows:</w:t>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0" w:type="dxa"/>
            <w:vAlign w:val="bottom"/>
          </w:tcPr>
          <w:p>
            <w:pPr>
              <w:spacing w:after="0"/>
              <w:rPr>
                <w:sz w:val="15"/>
                <w:szCs w:val="15"/>
                <w:color w:val="auto"/>
              </w:rPr>
            </w:pPr>
          </w:p>
        </w:tc>
        <w:tc>
          <w:tcPr>
            <w:tcW w:w="3760" w:type="dxa"/>
            <w:vAlign w:val="bottom"/>
            <w:gridSpan w:val="2"/>
          </w:tcPr>
          <w:p>
            <w:pPr>
              <w:ind w:left="1180"/>
              <w:spacing w:after="0"/>
              <w:rPr>
                <w:sz w:val="20"/>
                <w:szCs w:val="20"/>
                <w:color w:val="auto"/>
              </w:rPr>
            </w:pPr>
            <w:r>
              <w:rPr>
                <w:rFonts w:ascii="Arial" w:cs="Arial" w:eastAsia="Arial" w:hAnsi="Arial"/>
                <w:sz w:val="14"/>
                <w:szCs w:val="14"/>
                <w:b w:val="1"/>
                <w:bCs w:val="1"/>
                <w:i w:val="1"/>
                <w:iCs w:val="1"/>
                <w:color w:val="auto"/>
              </w:rPr>
              <w:t>Mobile and Wireless</w:t>
            </w:r>
          </w:p>
        </w:tc>
        <w:tc>
          <w:tcPr>
            <w:tcW w:w="3540" w:type="dxa"/>
            <w:vAlign w:val="bottom"/>
            <w:gridSpan w:val="2"/>
          </w:tcPr>
          <w:p>
            <w:pPr>
              <w:ind w:left="1440"/>
              <w:spacing w:after="0"/>
              <w:rPr>
                <w:sz w:val="20"/>
                <w:szCs w:val="20"/>
                <w:color w:val="auto"/>
              </w:rPr>
            </w:pPr>
            <w:r>
              <w:rPr>
                <w:rFonts w:ascii="Arial" w:cs="Arial" w:eastAsia="Arial" w:hAnsi="Arial"/>
                <w:sz w:val="14"/>
                <w:szCs w:val="14"/>
                <w:b w:val="1"/>
                <w:bCs w:val="1"/>
                <w:i w:val="1"/>
                <w:iCs w:val="1"/>
                <w:color w:val="auto"/>
              </w:rPr>
              <w:t>Storage</w:t>
            </w:r>
          </w:p>
        </w:tc>
        <w:tc>
          <w:tcPr>
            <w:tcW w:w="4100" w:type="dxa"/>
            <w:vAlign w:val="bottom"/>
          </w:tcPr>
          <w:p>
            <w:pPr>
              <w:ind w:left="1720"/>
              <w:spacing w:after="0"/>
              <w:rPr>
                <w:sz w:val="20"/>
                <w:szCs w:val="20"/>
                <w:color w:val="auto"/>
              </w:rPr>
            </w:pPr>
            <w:r>
              <w:rPr>
                <w:rFonts w:ascii="Arial" w:cs="Arial" w:eastAsia="Arial" w:hAnsi="Arial"/>
                <w:sz w:val="14"/>
                <w:szCs w:val="14"/>
                <w:b w:val="1"/>
                <w:bCs w:val="1"/>
                <w:i w:val="1"/>
                <w:iCs w:val="1"/>
                <w:color w:val="auto"/>
              </w:rPr>
              <w:t>Networking</w:t>
            </w:r>
          </w:p>
        </w:tc>
        <w:tc>
          <w:tcPr>
            <w:tcW w:w="0" w:type="dxa"/>
            <w:vAlign w:val="bottom"/>
          </w:tcPr>
          <w:p>
            <w:pPr>
              <w:spacing w:after="0"/>
              <w:rPr>
                <w:sz w:val="1"/>
                <w:szCs w:val="1"/>
                <w:color w:val="auto"/>
              </w:rPr>
            </w:pPr>
          </w:p>
        </w:tc>
      </w:tr>
      <w:tr>
        <w:trPr>
          <w:trHeight w:val="88"/>
        </w:trPr>
        <w:tc>
          <w:tcPr>
            <w:tcW w:w="20" w:type="dxa"/>
            <w:vAlign w:val="bottom"/>
            <w:vMerge w:val="restart"/>
          </w:tcPr>
          <w:p>
            <w:pPr>
              <w:spacing w:after="0"/>
              <w:rPr>
                <w:sz w:val="7"/>
                <w:szCs w:val="7"/>
                <w:color w:val="auto"/>
              </w:rPr>
            </w:pPr>
          </w:p>
        </w:tc>
        <w:tc>
          <w:tcPr>
            <w:tcW w:w="3520" w:type="dxa"/>
            <w:vAlign w:val="bottom"/>
            <w:tcBorders>
              <w:top w:val="single" w:sz="8" w:color="auto"/>
            </w:tcBorders>
          </w:tcPr>
          <w:p>
            <w:pPr>
              <w:spacing w:after="0"/>
              <w:rPr>
                <w:sz w:val="7"/>
                <w:szCs w:val="7"/>
                <w:color w:val="auto"/>
              </w:rPr>
            </w:pPr>
          </w:p>
        </w:tc>
        <w:tc>
          <w:tcPr>
            <w:tcW w:w="240" w:type="dxa"/>
            <w:vAlign w:val="bottom"/>
          </w:tcPr>
          <w:p>
            <w:pPr>
              <w:spacing w:after="0"/>
              <w:rPr>
                <w:sz w:val="7"/>
                <w:szCs w:val="7"/>
                <w:color w:val="auto"/>
              </w:rPr>
            </w:pPr>
          </w:p>
        </w:tc>
        <w:tc>
          <w:tcPr>
            <w:tcW w:w="3320" w:type="dxa"/>
            <w:vAlign w:val="bottom"/>
            <w:tcBorders>
              <w:top w:val="single" w:sz="8" w:color="auto"/>
            </w:tcBorders>
          </w:tcPr>
          <w:p>
            <w:pPr>
              <w:spacing w:after="0"/>
              <w:rPr>
                <w:sz w:val="7"/>
                <w:szCs w:val="7"/>
                <w:color w:val="auto"/>
              </w:rPr>
            </w:pPr>
          </w:p>
        </w:tc>
        <w:tc>
          <w:tcPr>
            <w:tcW w:w="220" w:type="dxa"/>
            <w:vAlign w:val="bottom"/>
          </w:tcPr>
          <w:p>
            <w:pPr>
              <w:spacing w:after="0"/>
              <w:rPr>
                <w:sz w:val="7"/>
                <w:szCs w:val="7"/>
                <w:color w:val="auto"/>
              </w:rPr>
            </w:pPr>
          </w:p>
        </w:tc>
        <w:tc>
          <w:tcPr>
            <w:tcW w:w="41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Broadcom Corporation</w:t>
            </w:r>
          </w:p>
        </w:tc>
        <w:tc>
          <w:tcPr>
            <w:tcW w:w="3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LSI Corporation</w:t>
            </w: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Broadcom Corporation</w:t>
            </w:r>
          </w:p>
        </w:tc>
        <w:tc>
          <w:tcPr>
            <w:tcW w:w="0" w:type="dxa"/>
            <w:vAlign w:val="bottom"/>
          </w:tcPr>
          <w:p>
            <w:pPr>
              <w:spacing w:after="0"/>
              <w:rPr>
                <w:sz w:val="1"/>
                <w:szCs w:val="1"/>
                <w:color w:val="auto"/>
              </w:rPr>
            </w:pPr>
          </w:p>
        </w:tc>
      </w:tr>
      <w:tr>
        <w:trPr>
          <w:trHeight w:val="322"/>
        </w:trPr>
        <w:tc>
          <w:tcPr>
            <w:tcW w:w="3780" w:type="dxa"/>
            <w:vAlign w:val="bottom"/>
            <w:gridSpan w:val="3"/>
          </w:tcPr>
          <w:p>
            <w:pPr>
              <w:spacing w:after="0"/>
              <w:rPr>
                <w:sz w:val="20"/>
                <w:szCs w:val="20"/>
                <w:color w:val="auto"/>
              </w:rPr>
            </w:pPr>
            <w:r>
              <w:rPr>
                <w:rFonts w:ascii="Arial" w:cs="Arial" w:eastAsia="Arial" w:hAnsi="Arial"/>
                <w:sz w:val="18"/>
                <w:szCs w:val="18"/>
                <w:color w:val="auto"/>
              </w:rPr>
              <w:t>MediaTek, Inc.</w:t>
            </w:r>
          </w:p>
        </w:tc>
        <w:tc>
          <w:tcPr>
            <w:tcW w:w="3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Freescale Semiconductor Holdings I, Ltd.</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5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4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QUALCOMM Incorporated</w:t>
            </w:r>
          </w:p>
        </w:tc>
        <w:tc>
          <w:tcPr>
            <w:tcW w:w="3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LSI Corporation</w:t>
            </w:r>
          </w:p>
        </w:tc>
        <w:tc>
          <w:tcPr>
            <w:tcW w:w="0" w:type="dxa"/>
            <w:vAlign w:val="bottom"/>
          </w:tcPr>
          <w:p>
            <w:pPr>
              <w:spacing w:after="0"/>
              <w:rPr>
                <w:sz w:val="1"/>
                <w:szCs w:val="1"/>
                <w:color w:val="auto"/>
              </w:rPr>
            </w:pPr>
          </w:p>
        </w:tc>
      </w:tr>
      <w:tr>
        <w:trPr>
          <w:trHeight w:val="322"/>
        </w:trPr>
        <w:tc>
          <w:tcPr>
            <w:tcW w:w="3780" w:type="dxa"/>
            <w:vAlign w:val="bottom"/>
            <w:gridSpan w:val="3"/>
          </w:tcPr>
          <w:p>
            <w:pPr>
              <w:spacing w:after="0"/>
              <w:rPr>
                <w:sz w:val="20"/>
                <w:szCs w:val="20"/>
                <w:color w:val="auto"/>
              </w:rPr>
            </w:pPr>
            <w:r>
              <w:rPr>
                <w:rFonts w:ascii="Arial" w:cs="Arial" w:eastAsia="Arial" w:hAnsi="Arial"/>
                <w:sz w:val="18"/>
                <w:szCs w:val="18"/>
                <w:color w:val="auto"/>
              </w:rPr>
              <w:t>Spreadtrum Communications, Inc.</w:t>
            </w:r>
          </w:p>
        </w:tc>
        <w:tc>
          <w:tcPr>
            <w:tcW w:w="3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56" w:lineRule="exact"/>
        <w:rPr>
          <w:sz w:val="20"/>
          <w:szCs w:val="20"/>
          <w:color w:val="auto"/>
        </w:rPr>
      </w:pPr>
    </w:p>
    <w:p>
      <w:pPr>
        <w:ind w:right="220" w:firstLine="456"/>
        <w:spacing w:after="0" w:line="290" w:lineRule="auto"/>
        <w:rPr>
          <w:sz w:val="20"/>
          <w:szCs w:val="20"/>
          <w:color w:val="auto"/>
        </w:rPr>
      </w:pPr>
      <w:r>
        <w:rPr>
          <w:rFonts w:ascii="Arial" w:cs="Arial" w:eastAsia="Arial" w:hAnsi="Arial"/>
          <w:sz w:val="16"/>
          <w:szCs w:val="16"/>
          <w:color w:val="auto"/>
        </w:rPr>
        <w:t>In addition, we expect increased competition in the future from other emerging and established companies. Although we believe we will be able to successfully compete with existing and potential competitors, some of these current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could develop and introduce new products that will be priced lower, provide superior performance or achieve greater market acceptance than our products. In addition, in the event of a manufacturing capacity shortage, these competitors may be able to manufacture products when our ability to do so may be limited.</w:t>
      </w:r>
    </w:p>
    <w:p>
      <w:pPr>
        <w:spacing w:after="0" w:line="118"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could harm our business.</w:t>
      </w:r>
    </w:p>
    <w:p>
      <w:pPr>
        <w:spacing w:after="0" w:line="107"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In addition, many of our current and potential customers have substantial technological capabilities and financial resources. Some customers have already developed, or in the future may develop, technologies that could compete directly with our products. We may also face competition from suppliers of products based on new or emerging technologies.</w:t>
      </w:r>
    </w:p>
    <w:p>
      <w:pPr>
        <w:spacing w:after="0" w:line="140"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Historically, average unit selling prices in the integrated circuit industry in general, and for our products in particular, have decreased over the life of a particular product. We expect that the average unit selling prices of</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89" w:lineRule="auto"/>
        <w:rPr>
          <w:sz w:val="20"/>
          <w:szCs w:val="20"/>
          <w:color w:val="auto"/>
        </w:rPr>
      </w:pPr>
      <w:r>
        <w:rPr>
          <w:rFonts w:ascii="Arial" w:cs="Arial" w:eastAsia="Arial" w:hAnsi="Arial"/>
          <w:sz w:val="16"/>
          <w:szCs w:val="16"/>
          <w:color w:val="auto"/>
        </w:rPr>
        <w:t>our products will continue to be subject to significant pricing pressures. In order to offset expected declines in the selling prices of our products, we will need to continue to introduce innovative new products. In addition, we need to continue to reduce the cost of our products. To accomplish this, we intend to continue to implement design changes that lower the cost of manufacturing and assembling and testing our products. We may also enter into long-term, strategic arrangements with our foundry partners to secure wafer capacity at reduced prices, by negotiating reduced charges from our foundries. In addition, we plan to work with multiple foundry partners to ensure that our products are qualified and can be manufactured in multiple locations, which we believe will ensure favorable wafer pricing.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could be adversely impacted.</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February 1, 2014, we had a total of 7,355 employees.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 of the Registrant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information about our executive officers as of March 20, 2014:</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2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38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w w:val="75"/>
              </w:rPr>
              <w:t>Age</w:t>
            </w:r>
          </w:p>
        </w:tc>
        <w:tc>
          <w:tcPr>
            <w:tcW w:w="6620" w:type="dxa"/>
            <w:vAlign w:val="bottom"/>
            <w:gridSpan w:val="3"/>
          </w:tcPr>
          <w:p>
            <w:pPr>
              <w:ind w:left="160"/>
              <w:spacing w:after="0"/>
              <w:rPr>
                <w:sz w:val="20"/>
                <w:szCs w:val="20"/>
                <w:color w:val="auto"/>
              </w:rPr>
            </w:pPr>
            <w:r>
              <w:rPr>
                <w:rFonts w:ascii="Arial" w:cs="Arial" w:eastAsia="Arial" w:hAnsi="Arial"/>
                <w:sz w:val="14"/>
                <w:szCs w:val="14"/>
                <w:b w:val="1"/>
                <w:bCs w:val="1"/>
                <w:color w:val="auto"/>
              </w:rPr>
              <w:t>Position(s)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04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58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52</w:t>
            </w:r>
          </w:p>
        </w:tc>
        <w:tc>
          <w:tcPr>
            <w:tcW w:w="662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Chief Executive Officer and Chairman of the Board</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380" w:type="dxa"/>
            <w:vAlign w:val="bottom"/>
            <w:gridSpan w:val="2"/>
          </w:tcPr>
          <w:p>
            <w:pPr>
              <w:jc w:val="right"/>
              <w:ind w:right="140"/>
              <w:spacing w:after="0"/>
              <w:rPr>
                <w:sz w:val="20"/>
                <w:szCs w:val="20"/>
                <w:color w:val="auto"/>
              </w:rPr>
            </w:pPr>
            <w:r>
              <w:rPr>
                <w:rFonts w:ascii="Arial" w:cs="Arial" w:eastAsia="Arial" w:hAnsi="Arial"/>
                <w:sz w:val="18"/>
                <w:szCs w:val="18"/>
                <w:color w:val="auto"/>
              </w:rPr>
              <w:t>52</w:t>
            </w:r>
          </w:p>
        </w:tc>
        <w:tc>
          <w:tcPr>
            <w:tcW w:w="6620" w:type="dxa"/>
            <w:vAlign w:val="bottom"/>
            <w:gridSpan w:val="3"/>
          </w:tcPr>
          <w:p>
            <w:pPr>
              <w:ind w:left="160"/>
              <w:spacing w:after="0"/>
              <w:rPr>
                <w:sz w:val="20"/>
                <w:szCs w:val="20"/>
                <w:color w:val="auto"/>
              </w:rPr>
            </w:pPr>
            <w:r>
              <w:rPr>
                <w:rFonts w:ascii="Arial" w:cs="Arial" w:eastAsia="Arial" w:hAnsi="Arial"/>
                <w:sz w:val="18"/>
                <w:szCs w:val="18"/>
                <w:color w:val="auto"/>
              </w:rPr>
              <w:t>President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Rashkin</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68</w:t>
            </w:r>
          </w:p>
        </w:tc>
        <w:tc>
          <w:tcPr>
            <w:tcW w:w="6620" w:type="dxa"/>
            <w:vAlign w:val="bottom"/>
            <w:gridSpan w:val="3"/>
            <w:shd w:val="clear" w:color="auto" w:fill="CCEEFF"/>
          </w:tcPr>
          <w:p>
            <w:pPr>
              <w:ind w:left="160"/>
              <w:spacing w:after="0"/>
              <w:rPr>
                <w:sz w:val="20"/>
                <w:szCs w:val="20"/>
                <w:color w:val="auto"/>
              </w:rPr>
            </w:pPr>
            <w:r>
              <w:rPr>
                <w:rFonts w:ascii="Arial" w:cs="Arial" w:eastAsia="Arial" w:hAnsi="Arial"/>
                <w:sz w:val="18"/>
                <w:szCs w:val="18"/>
                <w:color w:val="auto"/>
              </w:rPr>
              <w:t>Chief Financial Officer</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Dr. Zining Wu</w:t>
            </w:r>
          </w:p>
        </w:tc>
        <w:tc>
          <w:tcPr>
            <w:tcW w:w="380" w:type="dxa"/>
            <w:vAlign w:val="bottom"/>
            <w:gridSpan w:val="2"/>
          </w:tcPr>
          <w:p>
            <w:pPr>
              <w:jc w:val="right"/>
              <w:ind w:right="140"/>
              <w:spacing w:after="0"/>
              <w:rPr>
                <w:sz w:val="20"/>
                <w:szCs w:val="20"/>
                <w:color w:val="auto"/>
              </w:rPr>
            </w:pPr>
            <w:r>
              <w:rPr>
                <w:rFonts w:ascii="Arial" w:cs="Arial" w:eastAsia="Arial" w:hAnsi="Arial"/>
                <w:sz w:val="18"/>
                <w:szCs w:val="18"/>
                <w:color w:val="auto"/>
              </w:rPr>
              <w:t>41</w:t>
            </w:r>
          </w:p>
        </w:tc>
        <w:tc>
          <w:tcPr>
            <w:tcW w:w="6620" w:type="dxa"/>
            <w:vAlign w:val="bottom"/>
            <w:gridSpan w:val="3"/>
          </w:tcPr>
          <w:p>
            <w:pPr>
              <w:ind w:left="160"/>
              <w:spacing w:after="0"/>
              <w:rPr>
                <w:sz w:val="20"/>
                <w:szCs w:val="20"/>
                <w:color w:val="auto"/>
              </w:rPr>
            </w:pPr>
            <w:r>
              <w:rPr>
                <w:rFonts w:ascii="Arial" w:cs="Arial" w:eastAsia="Arial" w:hAnsi="Arial"/>
                <w:sz w:val="18"/>
                <w:szCs w:val="18"/>
                <w:color w:val="auto"/>
              </w:rPr>
              <w:t>Chief Technology Officer</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Dr. Sehat Sutardja</w:t>
      </w:r>
      <w:r>
        <w:rPr>
          <w:rFonts w:ascii="Arial" w:cs="Arial" w:eastAsia="Arial" w:hAnsi="Arial"/>
          <w:sz w:val="16"/>
          <w:szCs w:val="16"/>
          <w:color w:val="auto"/>
        </w:rPr>
        <w:t>, one of our co-founders, has served as the Chief Executive Officer and Chairman of our Board of Directors since 1995 (from 1995 to</w:t>
      </w:r>
      <w:r>
        <w:rPr>
          <w:rFonts w:ascii="Arial" w:cs="Arial" w:eastAsia="Arial" w:hAnsi="Arial"/>
          <w:sz w:val="16"/>
          <w:szCs w:val="16"/>
          <w:i w:val="1"/>
          <w:iCs w:val="1"/>
          <w:color w:val="auto"/>
        </w:rPr>
        <w:t xml:space="preserve"> </w:t>
      </w:r>
      <w:r>
        <w:rPr>
          <w:rFonts w:ascii="Arial" w:cs="Arial" w:eastAsia="Arial" w:hAnsi="Arial"/>
          <w:sz w:val="16"/>
          <w:szCs w:val="16"/>
          <w:color w:val="auto"/>
        </w:rPr>
        <w:t>2003 he was Co-Chairman of the Board of Directors). While remaining deeply involved in the daily challenges of running a global growth company, Dr. Sutardja participates heavily in our engineering and marketing efforts across analog, video processor, and microprocessor design while offering input across all of our other product lines. Dr. Sutardja is widely regarded as one of the pioneers of the modern semiconductor age. His breakthrough designs and guiding vision have revolutionized numerous industry segments, from data storage to the high-performance, low-power chips now driving the growing global markets for mobile computing and telephony. For his relentless innovation, he has been awarded more than 360 patents and has been named a Fellow of IEEE. In 2006, Dr. Sutardja was recognized as the Inventor of the Year by the Silicon Valley Intellectual Property Law Association. Dr. Sutardja also served as President from 2003 to June 2013. Dr. Sutardja holds an M.S. and Ph.D. in Electrical Engineering and Computer Science from the University of California at Berkeley. Dr. Sutardja received a B.S. in Electrical Engineering from Iowa State University. Dr. Sutardja is the husband of Ms. Dai.</w:t>
      </w:r>
    </w:p>
    <w:p>
      <w:pPr>
        <w:spacing w:after="0" w:line="12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i w:val="1"/>
          <w:iCs w:val="1"/>
          <w:color w:val="auto"/>
        </w:rPr>
        <w:t>Ms. Weili Dai</w:t>
      </w:r>
      <w:r>
        <w:rPr>
          <w:rFonts w:ascii="Arial" w:cs="Arial" w:eastAsia="Arial" w:hAnsi="Arial"/>
          <w:sz w:val="16"/>
          <w:szCs w:val="16"/>
          <w:color w:val="auto"/>
        </w:rPr>
        <w:t>, one of our co-founders, has served as President of the Company since July 2013. Widely considered a technology visionary, Ms. Dai is the</w:t>
      </w:r>
      <w:r>
        <w:rPr>
          <w:rFonts w:ascii="Arial" w:cs="Arial" w:eastAsia="Arial" w:hAnsi="Arial"/>
          <w:sz w:val="16"/>
          <w:szCs w:val="16"/>
          <w:i w:val="1"/>
          <w:iCs w:val="1"/>
          <w:color w:val="auto"/>
        </w:rPr>
        <w:t xml:space="preserve"> </w:t>
      </w:r>
      <w:r>
        <w:rPr>
          <w:rFonts w:ascii="Arial" w:cs="Arial" w:eastAsia="Arial" w:hAnsi="Arial"/>
          <w:sz w:val="16"/>
          <w:szCs w:val="16"/>
          <w:color w:val="auto"/>
        </w:rPr>
        <w:t>only woman co-founder of a global semiconductor company. Her business acumen, strategic thinking, product leadership, endless passion and personal network have contributed greatly to Marvell’s success. Her close relationship with Marvell’s customers and the foundation of the trust shared with them have given her a strong reputation for professionalism and integrity throughout the technology industry. Prior to her appointment as President, Ms. Dai served as a Vice President of MSI from 2008 to July 2013, including the position of General Manager of the Communications &amp; Consumer Business of MSI since September 2011 and General Manager of the Communications and Computing Business Unit of MSI from March 2009 to September 2011. From 1995 to May 2007, Ms. Dai served as Chief Operating Officer, Executive Vice President and a member of the Board of Directors of the Company. Ms. Dai holds a B.S. degree in Computer Science from the University of California at Berkeley. Ms. Dai is the wife of Dr. Sutardja.</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86" w:lineRule="auto"/>
        <w:rPr>
          <w:sz w:val="20"/>
          <w:szCs w:val="20"/>
          <w:color w:val="auto"/>
        </w:rPr>
      </w:pPr>
      <w:r>
        <w:rPr>
          <w:rFonts w:ascii="Arial" w:cs="Arial" w:eastAsia="Arial" w:hAnsi="Arial"/>
          <w:sz w:val="16"/>
          <w:szCs w:val="16"/>
          <w:i w:val="1"/>
          <w:iCs w:val="1"/>
          <w:color w:val="auto"/>
        </w:rPr>
        <w:t xml:space="preserve">Michael Rashkin </w:t>
      </w:r>
      <w:r>
        <w:rPr>
          <w:rFonts w:ascii="Arial" w:cs="Arial" w:eastAsia="Arial" w:hAnsi="Arial"/>
          <w:sz w:val="16"/>
          <w:szCs w:val="16"/>
          <w:color w:val="auto"/>
        </w:rPr>
        <w:t>has served as our Chief Financial Officer since February 2014 and served as our Interim Chief Financial Officer from December 2013 to</w:t>
      </w:r>
      <w:r>
        <w:rPr>
          <w:rFonts w:ascii="Arial" w:cs="Arial" w:eastAsia="Arial" w:hAnsi="Arial"/>
          <w:sz w:val="16"/>
          <w:szCs w:val="16"/>
          <w:i w:val="1"/>
          <w:iCs w:val="1"/>
          <w:color w:val="auto"/>
        </w:rPr>
        <w:t xml:space="preserve"> </w:t>
      </w:r>
      <w:r>
        <w:rPr>
          <w:rFonts w:ascii="Arial" w:cs="Arial" w:eastAsia="Arial" w:hAnsi="Arial"/>
          <w:sz w:val="16"/>
          <w:szCs w:val="16"/>
          <w:color w:val="auto"/>
        </w:rPr>
        <w:t>February 2014. Mr. Rashkin served as President of the Marvell Charitable Fund from March 2011 to November 2013. From January 2008 to March 2011,</w:t>
      </w:r>
    </w:p>
    <w:p>
      <w:pPr>
        <w:ind w:right="80"/>
        <w:spacing w:after="0" w:line="252" w:lineRule="auto"/>
        <w:rPr>
          <w:sz w:val="20"/>
          <w:szCs w:val="20"/>
          <w:color w:val="auto"/>
        </w:rPr>
      </w:pPr>
      <w:r>
        <w:rPr>
          <w:rFonts w:ascii="Arial" w:cs="Arial" w:eastAsia="Arial" w:hAnsi="Arial"/>
          <w:sz w:val="18"/>
          <w:szCs w:val="18"/>
          <w:color w:val="auto"/>
        </w:rPr>
        <w:t>Mr. Rashkin served as Vice President of Taxes and General Tax Counsel of MSI. From July 2007 to January 2008, Mr. Rashkin served as Interim Chief Financial Officer of the Company. In 2007, Mr. Rashkin was appointed Special Assistant to the CEO and Vice President of Strategic Development of MSI. Prior to 2007, Mr. Rashkin was Vice President and General Tax Counsel of MSI from 2005 to 2007. From 2000 to 2005, Mr. Rashkin served as Director of Taxes and General Tax Counsel of MSI and Director of Taxes and Tax Counsel of MSI from 1999 to 2000. Mr. Rashkin holds an LL.M. from the New York University Graduate School of Law, a J.D. from St. John’s University School of Law and a B.S. from Brooklyn College, City University of New York. Mr. Rashkin is a member of both the California and New York bars.</w:t>
      </w:r>
    </w:p>
    <w:p>
      <w:pPr>
        <w:spacing w:after="0" w:line="148"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i w:val="1"/>
          <w:iCs w:val="1"/>
          <w:color w:val="auto"/>
        </w:rPr>
        <w:t xml:space="preserve">Dr. Zining Wu </w:t>
      </w:r>
      <w:r>
        <w:rPr>
          <w:rFonts w:ascii="Arial" w:cs="Arial" w:eastAsia="Arial" w:hAnsi="Arial"/>
          <w:sz w:val="16"/>
          <w:szCs w:val="16"/>
          <w:color w:val="auto"/>
        </w:rPr>
        <w:t>has served as our Chief Technology Officer since January 2014. From August 2008 to January 2014, Dr. Wu served as MSI’s Vice President,</w:t>
      </w:r>
      <w:r>
        <w:rPr>
          <w:rFonts w:ascii="Arial" w:cs="Arial" w:eastAsia="Arial" w:hAnsi="Arial"/>
          <w:sz w:val="16"/>
          <w:szCs w:val="16"/>
          <w:i w:val="1"/>
          <w:iCs w:val="1"/>
          <w:color w:val="auto"/>
        </w:rPr>
        <w:t xml:space="preserve"> </w:t>
      </w:r>
      <w:r>
        <w:rPr>
          <w:rFonts w:ascii="Arial" w:cs="Arial" w:eastAsia="Arial" w:hAnsi="Arial"/>
          <w:sz w:val="16"/>
          <w:szCs w:val="16"/>
          <w:color w:val="auto"/>
        </w:rPr>
        <w:t>Data Storage Technology. Prior to August 2008, Dr. Wu worked as an engineer and in various managerial roles in MSI’s Storage group since July 1999. Dr. Wu holds a BS in Electronic Engineering from Tsinghua University in Beijing, China, and a M.S. and Ph.D. in Electrical Engineering from Stanford University. Dr. Wu holds over 230 U.S. patents and has published eight technical papers and a book related to data storage technology.</w:t>
      </w:r>
    </w:p>
    <w:p>
      <w:pPr>
        <w:spacing w:after="0" w:line="22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6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2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30, 2011 through February 1, 2014, our common shares have traded as low as $6.98 and as high as $20.42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expect we will face significant competition in the transition into the LTE market. We expect competition to continue to increase as industry standards continue to evolve and become better known, and others realize the market potential of this trend to platform integration.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6"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In addition, semiconductor providers have recently experienced consolidation. For example, Broadcom Corporation acquired NetLogic Microsystems in February 2011 and Texas Instruments Incorporated acquired National Semiconductor in September 2011. Other pending transactions may further consolidate competition in our industry. Consolidation among our competitors could lead to a changing competitive landscape, capabilities and market share, which could harm our results of operations.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80"/>
          </w:cols>
          <w:pgMar w:left="240" w:top="459" w:right="2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We are currently involved in a patent litigation action involving Carnegie Mellon University, and, if we do not prevail on post-trial motions or appeal of the verdict, we could be liable for substantial damages.</w:t>
      </w:r>
    </w:p>
    <w:p>
      <w:pPr>
        <w:spacing w:after="0" w:line="51"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On March 6, 2009, Carnegie Mellon University (“CMU”) filed a complaint in the U.S. District Court for the Western District of Pennsylvania naming Marvel Semiconductor, Inc. and us as defendants, and alleging patent infringement. CMU has asserted U.S. Patent Nos. 6,201,839 and 6,438,180 (collectively, the “CMU patents in suit”), which relate to read-channel integrated circuit devices and the HDD products incorporating such devices. A jury trial began on November 26, 2012. On December 26, 2012, a jury delivered a verdict that found the CMU patents in suit were literally and willfully infringed and valid, and awarded past damages in the amount of $1.17 billion. Due to the finding of willfulness during post-trial proceedings, the judge could enhance the damages by an amount up to triple the damages awarded by the jury at trial. In addition, CMU has disclosed in its post-trial motions that it is seeking pre-judgment interest up to $322 million, post-judgment interest, supplemental damages, attorneys’ fees, and an injunction and/or ongoing royalties. Post-trial motions were heard on May 1 and 2, 2013. On June 26, 2013, the District Court denied CMU’s post-trial motion for attorney fees without prejudice. On August 23, 2013, the District Court denied our motion for mistrial. On September 23, 2013, the District Court denied our motion for judgment as a matter of law or a new trial on non-infringement, invalidity and other non-damages issues as well as our motion for reduced damages. On the same day, the District Court granted-in-part CMU’s motion for a finding of willful infringement and enhanced damages, reserving its further rulings on any enhancement of the verdict for a forthcoming opinion. On January 14, 2014, the District Court denied our post-trial motion on laches. We believe that there are strong grounds for appeal and we intend to vigorously challenge the District Court’s judgment via an appeal to the U.S. Court of Appeals for the Federal Circuit in Washington, D.C., but there is no guarantee that we will be successful on appeal. Please see “Note 10 — Commitments and Contingencies” of our Notes to the Consolidated Financial Statements set forth in Part II, Item 8 of this Annual Report on Form 10-K for a more detailed description of a number of litigation matters we are currently engaged in. Should the District Court in the CMU case grant an injunction or if we are required to pay most or all of the damages awarded by the jury after all appeals have been exhausted, this could have a material adverse effect on our business, financial condition, results of operations and cash flows.</w:t>
      </w:r>
    </w:p>
    <w:p>
      <w:pPr>
        <w:spacing w:after="0" w:line="12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plan to appeal the final judgment issued by the District Court in the CMU litigation, regardless of the dollar amount of the final judgment. The parties are currently engaged in discussions before a Special Master concerning the bonding of the judgment pending appeal. During October 2013, we entered into indemnity agreements with a consortium of insurers that would potentially provide financial assurance that each of the insurers will be indemnified by us should a loss occur under a surety bond. As of February 1, 2014 and as of the date of this filing, no final judgment has been issued and no surety bond has been issued. Therefore, these indemnity agreements have had no impact to our Consolidated Balance Sheets as of February 1, 2014. We expect that under a surety bond, the surety companies would agree to guarantee to the District Court our payment of a specific amount, to be determined. However, the terms of any surety bond arrangements have not been finalized, and we cannot be certain that a surety bond will be available to us in sufficient amount to cover the full amount of a final judgment or on commercially reasonable terms. If we cannot obtain a surety bond in sufficient amount or on commercially reasonable terms, or if the District Court in the CMU litigation does not approve alternative arrangements to stay execution of the judgment pending our appeal, our business could be harmed. For example, if, under a surety bond, we must post our cash, cash equivalents and short term investments as collateral, we may be restricted from using such assets in the operation of our business and such assets would be classified as restricted cash in future filings.</w:t>
      </w:r>
    </w:p>
    <w:p>
      <w:pPr>
        <w:spacing w:after="0" w:line="208"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solid-state flash drives and other storage technologies could become a source of competition to manufacturers of HDDs. Although we offer SSD controllers, leveraging our technology in hard drives, we cannot ensure we will be able to maintain significant market share if demand for traditional HDDs decreases.</w:t>
      </w:r>
    </w:p>
    <w:p>
      <w:pPr>
        <w:spacing w:after="0" w:line="224"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a jury has awarded past damages in the amount of $1.17 billion in our litigation with CMU. If we receive a significant adverse judgment in any litigation matter that is ultimately upheld after all appeals, our results of operations, financial position and cash flows will be adversely affected.</w:t>
      </w:r>
    </w:p>
    <w:p>
      <w:pPr>
        <w:spacing w:after="0" w:line="143"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notices that allege claims of infringement, misappropriation or misuse of the intellectual property rights of third parties.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66" w:lineRule="exact"/>
        <w:rPr>
          <w:sz w:val="20"/>
          <w:szCs w:val="20"/>
          <w:color w:val="auto"/>
        </w:rPr>
      </w:pPr>
    </w:p>
    <w:p>
      <w:pPr>
        <w:ind w:left="900" w:right="42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94"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36% of our net revenue for the year ended February 1, 2014.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0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252"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0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Substantially all of our products are manufactured by third-party foundries located in Taiwan. Our other sources for manufacturing are located in China and Singapore. In addition, substantially all of our third-party assembly and testing facilities are located in Singapore, Taiwan, Malaysia and the Philippines. Because of the geographic concentration of these third-party foundries, as well as our assembly and test subcontractors, we are exposed to the risk that their operations may be disrupted by regional disasters including earthquakes, tsunamis or typhoons, or by political changes. For example, the risk of an earthquake in Taiwan and elsewhere in the Pacific Rim region is significant due to the proximity of major earthquake fault lines to the facilities of our</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98" w:lineRule="auto"/>
        <w:rPr>
          <w:sz w:val="20"/>
          <w:szCs w:val="20"/>
          <w:color w:val="auto"/>
        </w:rPr>
      </w:pPr>
      <w:r>
        <w:rPr>
          <w:rFonts w:ascii="Arial" w:cs="Arial" w:eastAsia="Arial" w:hAnsi="Arial"/>
          <w:sz w:val="16"/>
          <w:szCs w:val="16"/>
          <w:color w:val="auto"/>
        </w:rPr>
        <w:t>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309" w:lineRule="auto"/>
        <w:rPr>
          <w:sz w:val="20"/>
          <w:szCs w:val="20"/>
          <w:color w:val="auto"/>
        </w:rPr>
      </w:pPr>
      <w:r>
        <w:rPr>
          <w:rFonts w:ascii="Arial" w:cs="Arial" w:eastAsia="Arial" w:hAnsi="Arial"/>
          <w:sz w:val="15"/>
          <w:szCs w:val="15"/>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08" w:lineRule="exact"/>
        <w:rPr>
          <w:sz w:val="20"/>
          <w:szCs w:val="20"/>
          <w:color w:val="auto"/>
        </w:rPr>
      </w:pPr>
    </w:p>
    <w:p>
      <w:pPr>
        <w:jc w:val="both"/>
        <w:ind w:right="260" w:firstLine="456"/>
        <w:spacing w:after="0" w:line="298" w:lineRule="auto"/>
        <w:rPr>
          <w:sz w:val="20"/>
          <w:szCs w:val="20"/>
          <w:color w:val="auto"/>
        </w:rPr>
      </w:pPr>
      <w:r>
        <w:rPr>
          <w:rFonts w:ascii="Arial" w:cs="Arial" w:eastAsia="Arial" w:hAnsi="Arial"/>
          <w:sz w:val="16"/>
          <w:szCs w:val="16"/>
          <w:color w:val="auto"/>
        </w:rPr>
        <w:t>Despite our strategy to move to a dual source,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1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 to time become restricted, or general market factors and 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in a timely manner. Even if new and enhanced products are introduced to the market, we and our customers may not be able to achieve market acceptance of them.</w:t>
      </w:r>
    </w:p>
    <w:p>
      <w:pPr>
        <w:spacing w:after="0" w:line="121"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In addition, more recently introduced products tend to have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4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continue to have to reduce prices in the future.</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3"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8"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5"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8" w:lineRule="auto"/>
        <w:rPr>
          <w:sz w:val="20"/>
          <w:szCs w:val="20"/>
          <w:color w:val="auto"/>
        </w:rPr>
      </w:pPr>
      <w:r>
        <w:rPr>
          <w:rFonts w:ascii="Arial" w:cs="Arial" w:eastAsia="Arial" w:hAnsi="Arial"/>
          <w:sz w:val="16"/>
          <w:szCs w:val="16"/>
          <w:color w:val="auto"/>
        </w:rPr>
        <w:t>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1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We had approximately $2.0 billion of goodwill and $49.0 million of acquired intangible assets, net on our balance sheet as of February 1, 2014. Under generally accepted accounting principles in the United States (“GAAP”),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w:t>
      </w:r>
    </w:p>
    <w:p>
      <w:pPr>
        <w:spacing w:after="0" w:line="14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Our stock price has steadily improved throughout fiscal 2014. However, we experienced a decline in our stock price during fiscal 2013, which caused a substantial reduction in the reporting unit’s excess fair value over its net book value. Although we determined the fair value of our company was in excess of our carrying value,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380"/>
          </w:cols>
          <w:pgMar w:left="240" w:top="459" w:right="2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and therefore there was no impairment of goodwill at that time, if at some point our stock price were to decline and erode our total market capitalization, we may be required to record an impairment charge in the future that could be material to our operating results.</w:t>
      </w:r>
    </w:p>
    <w:p>
      <w:pPr>
        <w:spacing w:after="0" w:line="132" w:lineRule="exact"/>
        <w:rPr>
          <w:sz w:val="20"/>
          <w:szCs w:val="20"/>
          <w:color w:val="auto"/>
        </w:rPr>
      </w:pPr>
    </w:p>
    <w:p>
      <w:pPr>
        <w:ind w:right="4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88" w:lineRule="exact"/>
        <w:rPr>
          <w:sz w:val="20"/>
          <w:szCs w:val="20"/>
          <w:color w:val="auto"/>
        </w:rPr>
      </w:pPr>
    </w:p>
    <w:p>
      <w:pPr>
        <w:ind w:right="68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95% of our net revenue in fiscal 2014, 90% of our net revenue in fiscal 2013 and 88% of our net revenue in fiscal 2012.</w:t>
      </w:r>
    </w:p>
    <w:p>
      <w:pPr>
        <w:spacing w:after="0" w:line="116"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360"/>
          </w:cols>
          <w:pgMar w:left="240" w:top="459" w:right="29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38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In prior years, we have entered into agreements in certain foreign jurisdictions that if certain criteria are met, the foreign jurisdiction will provide a more favorable tax rate than their current statutory rate.</w:t>
      </w:r>
    </w:p>
    <w:p>
      <w:pPr>
        <w:spacing w:after="0" w:line="132"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obtained an undertaking from the Minister of Finance of Bermuda in fiscal 2013 under the Exempt Undertakings Tax Protection Act 1966, as amended, that in the event Bermuda enacts legislation imposing tax</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computed on profits, income, or capital asset, gain or appreciation, then the imposition of any such taxes will not apply to us until March 31, 2035. We cannot assure that any future elected Government of Bermuda would not amend the Exempted Undertaking Tax Protection Act 1966 such that tax would be imposed in Bermuda.</w:t>
      </w:r>
    </w:p>
    <w:p>
      <w:pPr>
        <w:spacing w:after="0" w:line="14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Singapore Economic Development Board (“EDB”) initially granted a 10-year Pioneer Status in July 1999 to our subsidiary in Singapore if we met several requirements as to investments, headcount and activities. In October 2004, our subsidiary in Singapore was granted a second incentive known as the Development and Expansion Incentive (“DEI”), which was retroactively effective to July 2004 and is renewable every 5 years. The DEI was to benefit the non-Pioneer income. In June 2006, the EDB agreed to extend the Pioneer status for 15 years to June 2014. In 2009, the EDB renewed the DEI to June 2014. The maximum period for the Pioneer Incentive is 15 years; therefore, our subsidiary is no longer eligible to apply for this incentive. We are currently in discussion with the EDB to extend the DEI through June 2019. DEI can be enjoyed up to 40 years. Renewals and extensions of such tax incentives are at the discretion of the Singapore government. An extension of this tax incentive arrangement has not yet been granted by the Singapore government beyond its expiration in June 2014. Absent these tax incentives, the corporate income tax rate in Singapore would otherwise be 17%.</w:t>
      </w:r>
    </w:p>
    <w:p>
      <w:pPr>
        <w:spacing w:after="0" w:line="118" w:lineRule="exact"/>
        <w:rPr>
          <w:sz w:val="20"/>
          <w:szCs w:val="20"/>
          <w:color w:val="auto"/>
        </w:rPr>
      </w:pPr>
    </w:p>
    <w:p>
      <w:pPr>
        <w:jc w:val="both"/>
        <w:ind w:right="40" w:firstLine="456"/>
        <w:spacing w:after="0" w:line="302" w:lineRule="auto"/>
        <w:rPr>
          <w:sz w:val="20"/>
          <w:szCs w:val="20"/>
          <w:color w:val="auto"/>
        </w:rPr>
      </w:pPr>
      <w:r>
        <w:rPr>
          <w:rFonts w:ascii="Arial" w:cs="Arial" w:eastAsia="Arial" w:hAnsi="Arial"/>
          <w:sz w:val="15"/>
          <w:szCs w:val="15"/>
          <w:color w:val="auto"/>
        </w:rPr>
        <w:t>Under the Israeli Encouragement law of “approved or benefited enterprise,” two branches of Marvell Israel (M.I.S.L.) Ltd. (“MISL”), the GTL branch and the cellular branch (formerly Marvell DSPC), are entitled to approved and benefited tax programs that include reduced tax rates and exemption of certain income. The first program was approved for MISL in fiscal 1996 and the most recent was started in fiscal 2013. The cellular branch has five approved programs and three benefited programs, with the first approved in fiscal 1991 and the most recent benefited enterprise started in fiscal 2011. The benefit period is generally 10 to</w:t>
      </w:r>
    </w:p>
    <w:p>
      <w:pPr>
        <w:spacing w:after="0" w:line="3" w:lineRule="exact"/>
        <w:rPr>
          <w:sz w:val="20"/>
          <w:szCs w:val="20"/>
          <w:color w:val="auto"/>
        </w:rPr>
      </w:pPr>
    </w:p>
    <w:p>
      <w:pPr>
        <w:jc w:val="both"/>
        <w:ind w:right="60"/>
        <w:spacing w:after="0" w:line="255" w:lineRule="auto"/>
        <w:rPr>
          <w:sz w:val="20"/>
          <w:szCs w:val="20"/>
          <w:color w:val="auto"/>
        </w:rPr>
      </w:pPr>
      <w:r>
        <w:rPr>
          <w:rFonts w:ascii="Arial" w:cs="Arial" w:eastAsia="Arial" w:hAnsi="Arial"/>
          <w:sz w:val="18"/>
          <w:szCs w:val="18"/>
          <w:color w:val="auto"/>
        </w:rPr>
        <w:t>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fiscal 2027.</w:t>
      </w:r>
    </w:p>
    <w:p>
      <w:pPr>
        <w:spacing w:after="0" w:line="144"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During fiscal 2007, each of the Swiss Federal Department of Economy and the Vaud Cantonal Tax Administration granted our subsidiary in Switzerland a 10 year tax holiday on revenues from research and design and wafer supply trading activities that will expire in 2016. In fiscal 2011, we met the requirements of the initial five year period and we will receive the ongoing tax holiday benefits provided that we continue to meet the ongoing requirements.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5"/>
          <w:szCs w:val="15"/>
          <w:color w:val="auto"/>
        </w:rPr>
        <w:t>another company or its products and technologies may also require us to enter into a geographic or business market in which we have little or no prior experience.</w:t>
      </w:r>
    </w:p>
    <w:p>
      <w:pPr>
        <w:spacing w:after="0" w:line="287"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201"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5"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jc w:val="both"/>
        <w:ind w:right="28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40" w:firstLine="456"/>
        <w:spacing w:after="0" w:line="253" w:lineRule="auto"/>
        <w:rPr>
          <w:sz w:val="20"/>
          <w:szCs w:val="20"/>
          <w:color w:val="auto"/>
        </w:rPr>
      </w:pPr>
      <w:r>
        <w:rPr>
          <w:rFonts w:ascii="Arial" w:cs="Arial" w:eastAsia="Arial" w:hAnsi="Arial"/>
          <w:sz w:val="18"/>
          <w:szCs w:val="18"/>
          <w:color w:val="auto"/>
        </w:rPr>
        <w:t>We have been named as a party to several lawsuits and we may be named in additional litigation in the future. Please see “Note 10 — Commitments and Contingencies” of our Notes to the Consolidated Financial Statements set forth in Part II, Item 8 of this Annual Report on Form 10-K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45"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color w:val="auto"/>
        </w:rPr>
        <w:t>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13"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There is also a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and availability of minerals used in the manufacture of semiconductor devices. As a result, there may only be a limited pool of suppliers who provide conflict-free metals, and we cannot assure you that we will be able to obtain products in sufficient quantities or at competitive prices.</w:t>
      </w:r>
    </w:p>
    <w:p>
      <w:pPr>
        <w:spacing w:after="0" w:line="144"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costs of complying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13"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In May 2012, we announced the declaration of our first quarterly cash dividend. Future payment of a regular quarterly cash dividend on our common shares will be subject to, among other things, the best interests of our company, our results of operations, cash balances and future cash requirements, financial condition, statutory requirements under Bermuda law, developments in our ongoing litigation with CMU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40" w:firstLine="456"/>
        <w:spacing w:after="0" w:line="323" w:lineRule="auto"/>
        <w:rPr>
          <w:sz w:val="20"/>
          <w:szCs w:val="20"/>
          <w:color w:val="auto"/>
        </w:rPr>
      </w:pPr>
      <w:r>
        <w:rPr>
          <w:rFonts w:ascii="Arial" w:cs="Arial" w:eastAsia="Arial" w:hAnsi="Arial"/>
          <w:sz w:val="15"/>
          <w:szCs w:val="15"/>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assessing the effectiveness of internal control over financial reporting included in each Annual Report on Form 10-K.</w:t>
      </w:r>
    </w:p>
    <w:p>
      <w:pPr>
        <w:spacing w:after="0" w:line="98"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b w:val="1"/>
          <w:bCs w:val="1"/>
          <w:i w:val="1"/>
          <w:iCs w:val="1"/>
          <w:color w:val="auto"/>
        </w:rPr>
        <w:t>Two of our officers own a large percentage of our voting stock and, together with another significant shareholder, are related by blood or marriage. These factors may allow the officers and directors as a group or the related individuals to influence the election of directors and the approval or disapproval of significant corporate actions.</w:t>
      </w:r>
    </w:p>
    <w:p>
      <w:pPr>
        <w:spacing w:after="0" w:line="59"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Dr. Sehat Sutardja, our Chairman and Chief Executive Officer, and Weili Dai, who serves as our President, are husband and wife. Together, these two officers, along with a third related shareholder, held approximately 20% of our outstanding common shares as of March 1, 2014.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16"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although there is some suggestion that their use may be gaining favor. Bermuda law permits, in exceptional circumstances, the bringing of derivative actions, i.e., for a shareholder to bring an action in our name, when it would otherwise be an action that the company would bring itself. In order to bring a derivative action, a</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shareholder would have to show (i) “fraud on the minority,” that is acts which amount to an unconscionable use of majority power resulting or likely to result in loss or unfair discriminatory treatment of the minority; and (ii) that the alleged wrongdoers have control of the company. In addition, a shareholder may be able to bring a claim when the shareholder alleges that the wrong has been done to the shareholder personally in his or her capacity as shareholder. Typically, shareholders’ personal claims arise from a breach or threatened breach of the bye-laws.</w:t>
      </w:r>
    </w:p>
    <w:p>
      <w:pPr>
        <w:spacing w:after="0" w:line="143" w:lineRule="exact"/>
        <w:rPr>
          <w:sz w:val="20"/>
          <w:szCs w:val="20"/>
          <w:color w:val="auto"/>
        </w:rPr>
      </w:pPr>
    </w:p>
    <w:p>
      <w:pPr>
        <w:ind w:right="40" w:firstLine="456"/>
        <w:spacing w:after="0" w:line="323" w:lineRule="auto"/>
        <w:rPr>
          <w:sz w:val="20"/>
          <w:szCs w:val="20"/>
          <w:color w:val="auto"/>
        </w:rPr>
      </w:pPr>
      <w:r>
        <w:rPr>
          <w:rFonts w:ascii="Arial" w:cs="Arial" w:eastAsia="Arial" w:hAnsi="Arial"/>
          <w:sz w:val="15"/>
          <w:szCs w:val="15"/>
          <w:color w:val="auto"/>
        </w:rPr>
        <w:t>The Companies Act 1981 of Bermuda, as amended, provides that when one or more shareholders believe the affairs of a company are being conducted in a manner which is oppressive or prejudicial to the interest of some of such shareholders and others,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further shareholder approval; and</w:t>
      </w:r>
    </w:p>
    <w:p>
      <w:pPr>
        <w:spacing w:after="0" w:line="90" w:lineRule="exact"/>
        <w:rPr>
          <w:rFonts w:ascii="Arial" w:cs="Arial" w:eastAsia="Arial" w:hAnsi="Arial"/>
          <w:sz w:val="18"/>
          <w:szCs w:val="18"/>
          <w:color w:val="auto"/>
        </w:rPr>
      </w:pPr>
    </w:p>
    <w:p>
      <w:pPr>
        <w:ind w:left="900" w:right="420" w:hanging="325"/>
        <w:spacing w:after="0" w:line="332" w:lineRule="auto"/>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 shareholder vote requiring the approval of two-thirds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These foregoing provisions could make it more difficult for a third party to acquire us, even if doing so would be a benefit to our shareholders.</w:t>
      </w:r>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Our U.S. headquarters, housing the majority of our research and design function as well as elements of sales, marketing, administration and operations, is located in Santa Clara, California. We own the Santa Clara facility, which consists of approximately 993,000 square feet on 33.8 acres of land. We also own buildings in China (approximately 115,000 square feet), Singapore (approximately 340,000 square feet) and Switzerland (approximately 26,000 square feet) which are used for operations, research and design, sales, marketing and</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administrative functions. In addition to these properties, we lease approximately 351,000 square feet in Israel and 217,000 square feet in China for research and design, administration and operations, for which the lease terms expire in various years from 2014 through 2025. We also lease smaller facilities in Bermuda, Canada, China, India, Italy, Japan, Malaysia, South Korea, Spain, Sweden, Taiwan, and the United States which are occupied by administrative, sales, design and field application personnel. Based upon our estimates of future hiring, we believe that our current facilities in most locations will be adequate to meet our requirements at least through the next fiscal year.</w:t>
      </w:r>
    </w:p>
    <w:p>
      <w:pPr>
        <w:spacing w:after="0" w:line="25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set forth under “Note 10 — Commitments and Contingencies” in our Notes to the Consolidated Financial Statements set forth in Part II, Item 8 of this Annual Report on Form 10-K is incorporated herein by reference. For additional discussion of certain risks associated with legal proceedings, please see Part I, Item 1A, “Risk Factors” above.</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Mine Safety Disclosures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40"/>
          </w:cols>
          <w:pgMar w:left="240" w:top="459" w:right="31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12" w:lineRule="exact"/>
        <w:rPr>
          <w:sz w:val="20"/>
          <w:szCs w:val="20"/>
          <w:color w:val="auto"/>
        </w:rPr>
      </w:pPr>
    </w:p>
    <w:p>
      <w:pPr>
        <w:ind w:right="2220"/>
        <w:spacing w:after="0" w:line="347" w:lineRule="auto"/>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Shareholder Matters and Issuer Purchases of Equity Securities</w:t>
      </w:r>
      <w:r>
        <w:rPr>
          <w:rFonts w:ascii="Arial" w:cs="Arial" w:eastAsia="Arial" w:hAnsi="Arial"/>
          <w:sz w:val="18"/>
          <w:szCs w:val="18"/>
          <w:b w:val="1"/>
          <w:bCs w:val="1"/>
          <w:color w:val="auto"/>
        </w:rPr>
        <w:t xml:space="preserve"> Market Information</w:t>
      </w:r>
    </w:p>
    <w:p>
      <w:pPr>
        <w:spacing w:after="0" w:line="2"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 For fiscal 2014 and fiscal 2013, the following table shows for the periods indicated the high and low sales prices for our common shares on the NASDAQ Global Select Market.</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1820" w:type="dxa"/>
            <w:vAlign w:val="bottom"/>
            <w:gridSpan w:val="6"/>
          </w:tcPr>
          <w:p>
            <w:pPr>
              <w:jc w:val="right"/>
              <w:ind w:right="800"/>
              <w:spacing w:after="0"/>
              <w:rPr>
                <w:sz w:val="20"/>
                <w:szCs w:val="20"/>
                <w:color w:val="auto"/>
              </w:rPr>
            </w:pPr>
            <w:r>
              <w:rPr>
                <w:rFonts w:ascii="Arial" w:cs="Arial" w:eastAsia="Arial" w:hAnsi="Arial"/>
                <w:sz w:val="14"/>
                <w:szCs w:val="14"/>
                <w:b w:val="1"/>
                <w:bCs w:val="1"/>
                <w:color w:val="auto"/>
              </w:rPr>
              <w:t>Fiscal 2014</w:t>
            </w:r>
          </w:p>
        </w:tc>
        <w:tc>
          <w:tcPr>
            <w:tcW w:w="100" w:type="dxa"/>
            <w:vAlign w:val="bottom"/>
          </w:tcPr>
          <w:p>
            <w:pPr>
              <w:spacing w:after="0"/>
              <w:rPr>
                <w:sz w:val="14"/>
                <w:szCs w:val="14"/>
                <w:color w:val="auto"/>
              </w:rPr>
            </w:pPr>
          </w:p>
        </w:tc>
        <w:tc>
          <w:tcPr>
            <w:tcW w:w="1420" w:type="dxa"/>
            <w:vAlign w:val="bottom"/>
            <w:gridSpan w:val="5"/>
          </w:tcPr>
          <w:p>
            <w:pPr>
              <w:ind w:left="300"/>
              <w:spacing w:after="0"/>
              <w:rPr>
                <w:sz w:val="20"/>
                <w:szCs w:val="20"/>
                <w:color w:val="auto"/>
              </w:rPr>
            </w:pPr>
            <w:r>
              <w:rPr>
                <w:rFonts w:ascii="Arial" w:cs="Arial" w:eastAsia="Arial" w:hAnsi="Arial"/>
                <w:sz w:val="14"/>
                <w:szCs w:val="14"/>
                <w:b w:val="1"/>
                <w:bCs w:val="1"/>
                <w:color w:val="auto"/>
              </w:rPr>
              <w:t>Fiscal 2013</w:t>
            </w:r>
          </w:p>
        </w:tc>
      </w:tr>
      <w:tr>
        <w:trPr>
          <w:trHeight w:val="142"/>
        </w:trPr>
        <w:tc>
          <w:tcPr>
            <w:tcW w:w="458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700" w:type="dxa"/>
            <w:vAlign w:val="bottom"/>
            <w:tcBorders>
              <w:top w:val="single" w:sz="8" w:color="auto"/>
            </w:tcBorders>
            <w:gridSpan w:val="2"/>
          </w:tcPr>
          <w:p>
            <w:pPr>
              <w:ind w:left="100"/>
              <w:spacing w:after="0" w:line="142" w:lineRule="exact"/>
              <w:rPr>
                <w:sz w:val="20"/>
                <w:szCs w:val="20"/>
                <w:color w:val="auto"/>
              </w:rPr>
            </w:pPr>
            <w:r>
              <w:rPr>
                <w:rFonts w:ascii="Arial" w:cs="Arial" w:eastAsia="Arial" w:hAnsi="Arial"/>
                <w:sz w:val="14"/>
                <w:szCs w:val="14"/>
                <w:b w:val="1"/>
                <w:bCs w:val="1"/>
                <w:color w:val="auto"/>
              </w:rPr>
              <w:t>High</w:t>
            </w:r>
          </w:p>
        </w:tc>
        <w:tc>
          <w:tcPr>
            <w:tcW w:w="2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00" w:type="dxa"/>
            <w:vAlign w:val="bottom"/>
            <w:tcBorders>
              <w:top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92"/>
              </w:rPr>
              <w:t>Low</w:t>
            </w:r>
          </w:p>
        </w:tc>
        <w:tc>
          <w:tcPr>
            <w:tcW w:w="4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rPr>
              <w:t>High</w:t>
            </w:r>
          </w:p>
        </w:tc>
        <w:tc>
          <w:tcPr>
            <w:tcW w:w="100" w:type="dxa"/>
            <w:vAlign w:val="bottom"/>
            <w:tcBorders>
              <w:top w:val="single" w:sz="8" w:color="auto"/>
            </w:tcBorders>
          </w:tcPr>
          <w:p>
            <w:pPr>
              <w:spacing w:after="0"/>
              <w:rPr>
                <w:sz w:val="12"/>
                <w:szCs w:val="12"/>
                <w:color w:val="auto"/>
              </w:rPr>
            </w:pPr>
          </w:p>
        </w:tc>
        <w:tc>
          <w:tcPr>
            <w:tcW w:w="400" w:type="dxa"/>
            <w:vAlign w:val="bottom"/>
            <w:tcBorders>
              <w:top w:val="single" w:sz="8" w:color="auto"/>
            </w:tcBorders>
          </w:tcPr>
          <w:p>
            <w:pPr>
              <w:jc w:val="right"/>
              <w:ind w:right="36"/>
              <w:spacing w:after="0" w:line="142" w:lineRule="exact"/>
              <w:rPr>
                <w:sz w:val="20"/>
                <w:szCs w:val="20"/>
                <w:color w:val="auto"/>
              </w:rPr>
            </w:pPr>
            <w:r>
              <w:rPr>
                <w:rFonts w:ascii="Arial" w:cs="Arial" w:eastAsia="Arial" w:hAnsi="Arial"/>
                <w:sz w:val="14"/>
                <w:szCs w:val="14"/>
                <w:b w:val="1"/>
                <w:bCs w:val="1"/>
                <w:color w:val="auto"/>
                <w:w w:val="92"/>
              </w:rPr>
              <w:t>Low</w:t>
            </w:r>
          </w:p>
        </w:tc>
        <w:tc>
          <w:tcPr>
            <w:tcW w:w="100" w:type="dxa"/>
            <w:vAlign w:val="bottom"/>
          </w:tcPr>
          <w:p>
            <w:pPr>
              <w:spacing w:after="0"/>
              <w:rPr>
                <w:sz w:val="12"/>
                <w:szCs w:val="12"/>
                <w:color w:val="auto"/>
              </w:rPr>
            </w:pPr>
          </w:p>
        </w:tc>
      </w:tr>
      <w:tr>
        <w:trPr>
          <w:trHeight w:val="210"/>
        </w:trPr>
        <w:tc>
          <w:tcPr>
            <w:tcW w:w="45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First Quarter</w:t>
            </w:r>
          </w:p>
        </w:tc>
        <w:tc>
          <w:tcPr>
            <w:tcW w:w="350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$10.99</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9.16</w:t>
            </w: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16.86</w:t>
            </w:r>
          </w:p>
        </w:tc>
        <w:tc>
          <w:tcPr>
            <w:tcW w:w="4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14.47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Second Quarter</w:t>
            </w:r>
          </w:p>
        </w:tc>
        <w:tc>
          <w:tcPr>
            <w:tcW w:w="4200" w:type="dxa"/>
            <w:vAlign w:val="bottom"/>
            <w:gridSpan w:val="3"/>
          </w:tcPr>
          <w:p>
            <w:pPr>
              <w:jc w:val="right"/>
              <w:ind w:right="200"/>
              <w:spacing w:after="0"/>
              <w:rPr>
                <w:sz w:val="20"/>
                <w:szCs w:val="20"/>
                <w:color w:val="auto"/>
              </w:rPr>
            </w:pPr>
            <w:r>
              <w:rPr>
                <w:rFonts w:ascii="Arial" w:cs="Arial" w:eastAsia="Arial" w:hAnsi="Arial"/>
                <w:sz w:val="18"/>
                <w:szCs w:val="18"/>
                <w:color w:val="auto"/>
              </w:rPr>
              <w:t>$13.18</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420"/>
              <w:spacing w:after="0"/>
              <w:rPr>
                <w:sz w:val="20"/>
                <w:szCs w:val="20"/>
                <w:color w:val="auto"/>
              </w:rPr>
            </w:pPr>
            <w:r>
              <w:rPr>
                <w:rFonts w:ascii="Arial" w:cs="Arial" w:eastAsia="Arial" w:hAnsi="Arial"/>
                <w:sz w:val="18"/>
                <w:szCs w:val="18"/>
                <w:color w:val="auto"/>
                <w:w w:val="84"/>
              </w:rPr>
              <w:t>10.46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15.26</w:t>
            </w:r>
          </w:p>
        </w:tc>
        <w:tc>
          <w:tcPr>
            <w:tcW w:w="4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10.27</w:t>
            </w:r>
          </w:p>
        </w:tc>
        <w:tc>
          <w:tcPr>
            <w:tcW w:w="100" w:type="dxa"/>
            <w:vAlign w:val="bottom"/>
          </w:tcPr>
          <w:p>
            <w:pPr>
              <w:spacing w:after="0"/>
              <w:rPr>
                <w:sz w:val="18"/>
                <w:szCs w:val="18"/>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42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$13.51</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4"/>
              </w:rPr>
              <w:t>10.87</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12.33</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100" w:type="dxa"/>
            <w:vAlign w:val="bottom"/>
            <w:shd w:val="clear" w:color="auto" w:fill="CCEEFF"/>
          </w:tcPr>
          <w:p>
            <w:pPr>
              <w:spacing w:after="0"/>
              <w:rPr>
                <w:sz w:val="18"/>
                <w:szCs w:val="18"/>
                <w:color w:val="auto"/>
              </w:rPr>
            </w:pPr>
          </w:p>
        </w:tc>
      </w:tr>
      <w:tr>
        <w:trPr>
          <w:trHeight w:val="222"/>
        </w:trPr>
        <w:tc>
          <w:tcPr>
            <w:tcW w:w="4580" w:type="dxa"/>
            <w:vAlign w:val="bottom"/>
          </w:tcPr>
          <w:p>
            <w:pPr>
              <w:spacing w:after="0"/>
              <w:rPr>
                <w:sz w:val="20"/>
                <w:szCs w:val="20"/>
                <w:color w:val="auto"/>
              </w:rPr>
            </w:pPr>
            <w:r>
              <w:rPr>
                <w:rFonts w:ascii="Arial" w:cs="Arial" w:eastAsia="Arial" w:hAnsi="Arial"/>
                <w:sz w:val="18"/>
                <w:szCs w:val="18"/>
                <w:color w:val="auto"/>
              </w:rPr>
              <w:t>Fourth Quarter</w:t>
            </w:r>
          </w:p>
        </w:tc>
        <w:tc>
          <w:tcPr>
            <w:tcW w:w="4200" w:type="dxa"/>
            <w:vAlign w:val="bottom"/>
            <w:gridSpan w:val="3"/>
          </w:tcPr>
          <w:p>
            <w:pPr>
              <w:jc w:val="right"/>
              <w:ind w:right="200"/>
              <w:spacing w:after="0"/>
              <w:rPr>
                <w:sz w:val="20"/>
                <w:szCs w:val="20"/>
                <w:color w:val="auto"/>
              </w:rPr>
            </w:pPr>
            <w:r>
              <w:rPr>
                <w:rFonts w:ascii="Arial" w:cs="Arial" w:eastAsia="Arial" w:hAnsi="Arial"/>
                <w:sz w:val="18"/>
                <w:szCs w:val="18"/>
                <w:color w:val="auto"/>
              </w:rPr>
              <w:t>$15.82</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420"/>
              <w:spacing w:after="0"/>
              <w:rPr>
                <w:sz w:val="20"/>
                <w:szCs w:val="20"/>
                <w:color w:val="auto"/>
              </w:rPr>
            </w:pPr>
            <w:r>
              <w:rPr>
                <w:rFonts w:ascii="Arial" w:cs="Arial" w:eastAsia="Arial" w:hAnsi="Arial"/>
                <w:sz w:val="18"/>
                <w:szCs w:val="18"/>
                <w:color w:val="auto"/>
                <w:w w:val="84"/>
              </w:rPr>
              <w:t>11.78</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9.60</w:t>
            </w:r>
          </w:p>
        </w:tc>
        <w:tc>
          <w:tcPr>
            <w:tcW w:w="4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6.98</w:t>
            </w:r>
          </w:p>
        </w:tc>
        <w:tc>
          <w:tcPr>
            <w:tcW w:w="100" w:type="dxa"/>
            <w:vAlign w:val="bottom"/>
          </w:tcPr>
          <w:p>
            <w:pPr>
              <w:spacing w:after="0"/>
              <w:rPr>
                <w:sz w:val="19"/>
                <w:szCs w:val="19"/>
                <w:color w:val="auto"/>
              </w:rPr>
            </w:pPr>
          </w:p>
        </w:tc>
      </w:tr>
    </w:tbl>
    <w:p>
      <w:pPr>
        <w:spacing w:after="0" w:line="147"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As of March 20, 2014, the approximate number of record holders of our common shares was 142 (not including beneficial owners of stock held in street name).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132"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January 31, 2009 through February 1, 2014. The graph compares a $100 investment on January 31, 2009 in our common share with a $100 investment on January 31, 2009 in each index and assumes that any dividends were reinvested.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1248410</wp:posOffset>
            </wp:positionH>
            <wp:positionV relativeFrom="paragraph">
              <wp:posOffset>121920</wp:posOffset>
            </wp:positionV>
            <wp:extent cx="4768215" cy="40646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4768215" cy="40646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3300" w:type="dxa"/>
            <w:vAlign w:val="bottom"/>
            <w:gridSpan w:val="2"/>
          </w:tcPr>
          <w:p>
            <w:pPr>
              <w:ind w:left="2800"/>
              <w:spacing w:after="0"/>
              <w:rPr>
                <w:sz w:val="20"/>
                <w:szCs w:val="20"/>
                <w:color w:val="auto"/>
              </w:rPr>
            </w:pPr>
            <w:r>
              <w:rPr>
                <w:rFonts w:ascii="Arial" w:cs="Arial" w:eastAsia="Arial" w:hAnsi="Arial"/>
                <w:sz w:val="14"/>
                <w:szCs w:val="14"/>
                <w:b w:val="1"/>
                <w:bCs w:val="1"/>
                <w:color w:val="auto"/>
              </w:rPr>
              <w:t>1/31/09</w:t>
            </w:r>
          </w:p>
        </w:tc>
        <w:tc>
          <w:tcPr>
            <w:tcW w:w="200" w:type="dxa"/>
            <w:vAlign w:val="bottom"/>
          </w:tcPr>
          <w:p>
            <w:pPr>
              <w:spacing w:after="0"/>
              <w:rPr>
                <w:sz w:val="14"/>
                <w:szCs w:val="14"/>
                <w:color w:val="auto"/>
              </w:rPr>
            </w:pPr>
          </w:p>
        </w:tc>
        <w:tc>
          <w:tcPr>
            <w:tcW w:w="580" w:type="dxa"/>
            <w:vAlign w:val="bottom"/>
          </w:tcPr>
          <w:p>
            <w:pPr>
              <w:ind w:left="80"/>
              <w:spacing w:after="0"/>
              <w:rPr>
                <w:sz w:val="20"/>
                <w:szCs w:val="20"/>
                <w:color w:val="auto"/>
              </w:rPr>
            </w:pPr>
            <w:r>
              <w:rPr>
                <w:rFonts w:ascii="Arial" w:cs="Arial" w:eastAsia="Arial" w:hAnsi="Arial"/>
                <w:sz w:val="14"/>
                <w:szCs w:val="14"/>
                <w:b w:val="1"/>
                <w:bCs w:val="1"/>
                <w:color w:val="auto"/>
              </w:rPr>
              <w:t>1/30/10</w:t>
            </w:r>
          </w:p>
        </w:tc>
        <w:tc>
          <w:tcPr>
            <w:tcW w:w="200" w:type="dxa"/>
            <w:vAlign w:val="bottom"/>
          </w:tcPr>
          <w:p>
            <w:pPr>
              <w:spacing w:after="0"/>
              <w:rPr>
                <w:sz w:val="14"/>
                <w:szCs w:val="14"/>
                <w:color w:val="auto"/>
              </w:rPr>
            </w:pPr>
          </w:p>
        </w:tc>
        <w:tc>
          <w:tcPr>
            <w:tcW w:w="580" w:type="dxa"/>
            <w:vAlign w:val="bottom"/>
          </w:tcPr>
          <w:p>
            <w:pPr>
              <w:ind w:left="80"/>
              <w:spacing w:after="0"/>
              <w:rPr>
                <w:sz w:val="20"/>
                <w:szCs w:val="20"/>
                <w:color w:val="auto"/>
              </w:rPr>
            </w:pPr>
            <w:r>
              <w:rPr>
                <w:rFonts w:ascii="Arial" w:cs="Arial" w:eastAsia="Arial" w:hAnsi="Arial"/>
                <w:sz w:val="14"/>
                <w:szCs w:val="14"/>
                <w:b w:val="1"/>
                <w:bCs w:val="1"/>
                <w:color w:val="auto"/>
              </w:rPr>
              <w:t>1/29/11</w:t>
            </w:r>
          </w:p>
        </w:tc>
        <w:tc>
          <w:tcPr>
            <w:tcW w:w="200" w:type="dxa"/>
            <w:vAlign w:val="bottom"/>
          </w:tcPr>
          <w:p>
            <w:pPr>
              <w:spacing w:after="0"/>
              <w:rPr>
                <w:sz w:val="14"/>
                <w:szCs w:val="14"/>
                <w:color w:val="auto"/>
              </w:rPr>
            </w:pPr>
          </w:p>
        </w:tc>
        <w:tc>
          <w:tcPr>
            <w:tcW w:w="600" w:type="dxa"/>
            <w:vAlign w:val="bottom"/>
          </w:tcPr>
          <w:p>
            <w:pPr>
              <w:ind w:left="100"/>
              <w:spacing w:after="0"/>
              <w:rPr>
                <w:sz w:val="20"/>
                <w:szCs w:val="20"/>
                <w:color w:val="auto"/>
              </w:rPr>
            </w:pPr>
            <w:r>
              <w:rPr>
                <w:rFonts w:ascii="Arial" w:cs="Arial" w:eastAsia="Arial" w:hAnsi="Arial"/>
                <w:sz w:val="14"/>
                <w:szCs w:val="14"/>
                <w:b w:val="1"/>
                <w:bCs w:val="1"/>
                <w:color w:val="auto"/>
              </w:rPr>
              <w:t>1/28/12</w:t>
            </w:r>
          </w:p>
        </w:tc>
        <w:tc>
          <w:tcPr>
            <w:tcW w:w="200" w:type="dxa"/>
            <w:vAlign w:val="bottom"/>
          </w:tcPr>
          <w:p>
            <w:pPr>
              <w:spacing w:after="0"/>
              <w:rPr>
                <w:sz w:val="14"/>
                <w:szCs w:val="14"/>
                <w:color w:val="auto"/>
              </w:rPr>
            </w:pPr>
          </w:p>
        </w:tc>
        <w:tc>
          <w:tcPr>
            <w:tcW w:w="600" w:type="dxa"/>
            <w:vAlign w:val="bottom"/>
          </w:tcPr>
          <w:p>
            <w:pPr>
              <w:ind w:left="120"/>
              <w:spacing w:after="0"/>
              <w:rPr>
                <w:sz w:val="20"/>
                <w:szCs w:val="20"/>
                <w:color w:val="auto"/>
              </w:rPr>
            </w:pPr>
            <w:r>
              <w:rPr>
                <w:rFonts w:ascii="Arial" w:cs="Arial" w:eastAsia="Arial" w:hAnsi="Arial"/>
                <w:sz w:val="14"/>
                <w:szCs w:val="14"/>
                <w:b w:val="1"/>
                <w:bCs w:val="1"/>
                <w:color w:val="auto"/>
              </w:rPr>
              <w:t>2/2/13</w:t>
            </w:r>
          </w:p>
        </w:tc>
        <w:tc>
          <w:tcPr>
            <w:tcW w:w="220" w:type="dxa"/>
            <w:vAlign w:val="bottom"/>
          </w:tcPr>
          <w:p>
            <w:pPr>
              <w:spacing w:after="0"/>
              <w:rPr>
                <w:sz w:val="14"/>
                <w:szCs w:val="14"/>
                <w:color w:val="auto"/>
              </w:rPr>
            </w:pPr>
          </w:p>
        </w:tc>
        <w:tc>
          <w:tcPr>
            <w:tcW w:w="600" w:type="dxa"/>
            <w:vAlign w:val="bottom"/>
          </w:tcPr>
          <w:p>
            <w:pPr>
              <w:ind w:left="120"/>
              <w:spacing w:after="0"/>
              <w:rPr>
                <w:sz w:val="20"/>
                <w:szCs w:val="20"/>
                <w:color w:val="auto"/>
              </w:rPr>
            </w:pPr>
            <w:r>
              <w:rPr>
                <w:rFonts w:ascii="Arial" w:cs="Arial" w:eastAsia="Arial" w:hAnsi="Arial"/>
                <w:sz w:val="14"/>
                <w:szCs w:val="14"/>
                <w:b w:val="1"/>
                <w:bCs w:val="1"/>
                <w:color w:val="auto"/>
              </w:rPr>
              <w:t>2/1/14</w:t>
            </w:r>
          </w:p>
        </w:tc>
        <w:tc>
          <w:tcPr>
            <w:tcW w:w="120" w:type="dxa"/>
            <w:vAlign w:val="bottom"/>
          </w:tcPr>
          <w:p>
            <w:pPr>
              <w:spacing w:after="0"/>
              <w:rPr>
                <w:sz w:val="14"/>
                <w:szCs w:val="14"/>
                <w:color w:val="auto"/>
              </w:rPr>
            </w:pPr>
          </w:p>
        </w:tc>
      </w:tr>
      <w:tr>
        <w:trPr>
          <w:trHeight w:val="210"/>
        </w:trPr>
        <w:tc>
          <w:tcPr>
            <w:tcW w:w="4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Marvell Technology Group Ltd.</w:t>
            </w:r>
          </w:p>
        </w:tc>
        <w:tc>
          <w:tcPr>
            <w:tcW w:w="27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ind w:left="100"/>
              <w:spacing w:after="0"/>
              <w:rPr>
                <w:sz w:val="20"/>
                <w:szCs w:val="20"/>
                <w:color w:val="auto"/>
              </w:rPr>
            </w:pPr>
            <w:r>
              <w:rPr>
                <w:rFonts w:ascii="Arial" w:cs="Arial" w:eastAsia="Arial" w:hAnsi="Arial"/>
                <w:sz w:val="18"/>
                <w:szCs w:val="18"/>
                <w:b w:val="1"/>
                <w:bCs w:val="1"/>
                <w:color w:val="auto"/>
                <w:w w:val="83"/>
              </w:rPr>
              <w:t>100.00</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ind w:left="100"/>
              <w:spacing w:after="0"/>
              <w:rPr>
                <w:sz w:val="20"/>
                <w:szCs w:val="20"/>
                <w:color w:val="auto"/>
              </w:rPr>
            </w:pPr>
            <w:r>
              <w:rPr>
                <w:rFonts w:ascii="Arial" w:cs="Arial" w:eastAsia="Arial" w:hAnsi="Arial"/>
                <w:sz w:val="18"/>
                <w:szCs w:val="18"/>
                <w:b w:val="1"/>
                <w:bCs w:val="1"/>
                <w:color w:val="auto"/>
                <w:w w:val="83"/>
              </w:rPr>
              <w:t>239.09</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ind w:left="100"/>
              <w:spacing w:after="0"/>
              <w:rPr>
                <w:sz w:val="20"/>
                <w:szCs w:val="20"/>
                <w:color w:val="auto"/>
              </w:rPr>
            </w:pPr>
            <w:r>
              <w:rPr>
                <w:rFonts w:ascii="Arial" w:cs="Arial" w:eastAsia="Arial" w:hAnsi="Arial"/>
                <w:sz w:val="18"/>
                <w:szCs w:val="18"/>
                <w:b w:val="1"/>
                <w:bCs w:val="1"/>
                <w:color w:val="auto"/>
                <w:w w:val="83"/>
              </w:rPr>
              <w:t>262.83</w:t>
            </w:r>
          </w:p>
        </w:tc>
        <w:tc>
          <w:tcPr>
            <w:tcW w:w="20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ind w:left="120"/>
              <w:spacing w:after="0"/>
              <w:rPr>
                <w:sz w:val="20"/>
                <w:szCs w:val="20"/>
                <w:color w:val="auto"/>
              </w:rPr>
            </w:pPr>
            <w:r>
              <w:rPr>
                <w:rFonts w:ascii="Arial" w:cs="Arial" w:eastAsia="Arial" w:hAnsi="Arial"/>
                <w:sz w:val="18"/>
                <w:szCs w:val="18"/>
                <w:b w:val="1"/>
                <w:bCs w:val="1"/>
                <w:color w:val="auto"/>
                <w:w w:val="83"/>
              </w:rPr>
              <w:t>216.60</w:t>
            </w:r>
          </w:p>
        </w:tc>
        <w:tc>
          <w:tcPr>
            <w:tcW w:w="20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ind w:left="120"/>
              <w:spacing w:after="0"/>
              <w:rPr>
                <w:sz w:val="20"/>
                <w:szCs w:val="20"/>
                <w:color w:val="auto"/>
              </w:rPr>
            </w:pPr>
            <w:r>
              <w:rPr>
                <w:rFonts w:ascii="Arial" w:cs="Arial" w:eastAsia="Arial" w:hAnsi="Arial"/>
                <w:sz w:val="18"/>
                <w:szCs w:val="18"/>
                <w:b w:val="1"/>
                <w:bCs w:val="1"/>
                <w:color w:val="auto"/>
                <w:w w:val="83"/>
              </w:rPr>
              <w:t>132.71</w:t>
            </w:r>
          </w:p>
        </w:tc>
        <w:tc>
          <w:tcPr>
            <w:tcW w:w="22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ind w:left="120"/>
              <w:spacing w:after="0"/>
              <w:rPr>
                <w:sz w:val="20"/>
                <w:szCs w:val="20"/>
                <w:color w:val="auto"/>
              </w:rPr>
            </w:pPr>
            <w:r>
              <w:rPr>
                <w:rFonts w:ascii="Arial" w:cs="Arial" w:eastAsia="Arial" w:hAnsi="Arial"/>
                <w:sz w:val="18"/>
                <w:szCs w:val="18"/>
                <w:b w:val="1"/>
                <w:bCs w:val="1"/>
                <w:color w:val="auto"/>
                <w:w w:val="83"/>
              </w:rPr>
              <w:t>212.72</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4020" w:type="dxa"/>
            <w:vAlign w:val="bottom"/>
          </w:tcPr>
          <w:p>
            <w:pPr>
              <w:spacing w:after="0"/>
              <w:rPr>
                <w:sz w:val="20"/>
                <w:szCs w:val="20"/>
                <w:color w:val="auto"/>
              </w:rPr>
            </w:pPr>
            <w:r>
              <w:rPr>
                <w:rFonts w:ascii="Arial" w:cs="Arial" w:eastAsia="Arial" w:hAnsi="Arial"/>
                <w:sz w:val="18"/>
                <w:szCs w:val="18"/>
                <w:b w:val="1"/>
                <w:bCs w:val="1"/>
                <w:color w:val="auto"/>
              </w:rPr>
              <w:t>S&amp;P 500</w:t>
            </w:r>
          </w:p>
        </w:tc>
        <w:tc>
          <w:tcPr>
            <w:tcW w:w="3500" w:type="dxa"/>
            <w:vAlign w:val="bottom"/>
            <w:gridSpan w:val="3"/>
          </w:tcPr>
          <w:p>
            <w:pPr>
              <w:ind w:left="2820"/>
              <w:spacing w:after="0"/>
              <w:rPr>
                <w:sz w:val="20"/>
                <w:szCs w:val="20"/>
                <w:color w:val="auto"/>
              </w:rPr>
            </w:pPr>
            <w:r>
              <w:rPr>
                <w:rFonts w:ascii="Arial" w:cs="Arial" w:eastAsia="Arial" w:hAnsi="Arial"/>
                <w:sz w:val="18"/>
                <w:szCs w:val="18"/>
                <w:b w:val="1"/>
                <w:bCs w:val="1"/>
                <w:color w:val="auto"/>
              </w:rPr>
              <w:t>100.00</w:t>
            </w:r>
          </w:p>
        </w:tc>
        <w:tc>
          <w:tcPr>
            <w:tcW w:w="580" w:type="dxa"/>
            <w:vAlign w:val="bottom"/>
          </w:tcPr>
          <w:p>
            <w:pPr>
              <w:ind w:left="100"/>
              <w:spacing w:after="0"/>
              <w:rPr>
                <w:sz w:val="20"/>
                <w:szCs w:val="20"/>
                <w:color w:val="auto"/>
              </w:rPr>
            </w:pPr>
            <w:r>
              <w:rPr>
                <w:rFonts w:ascii="Arial" w:cs="Arial" w:eastAsia="Arial" w:hAnsi="Arial"/>
                <w:sz w:val="18"/>
                <w:szCs w:val="18"/>
                <w:b w:val="1"/>
                <w:bCs w:val="1"/>
                <w:color w:val="auto"/>
                <w:w w:val="83"/>
              </w:rPr>
              <w:t>133.14</w:t>
            </w:r>
          </w:p>
        </w:tc>
        <w:tc>
          <w:tcPr>
            <w:tcW w:w="200" w:type="dxa"/>
            <w:vAlign w:val="bottom"/>
          </w:tcPr>
          <w:p>
            <w:pPr>
              <w:spacing w:after="0"/>
              <w:rPr>
                <w:sz w:val="18"/>
                <w:szCs w:val="18"/>
                <w:color w:val="auto"/>
              </w:rPr>
            </w:pPr>
          </w:p>
        </w:tc>
        <w:tc>
          <w:tcPr>
            <w:tcW w:w="780" w:type="dxa"/>
            <w:vAlign w:val="bottom"/>
            <w:gridSpan w:val="2"/>
          </w:tcPr>
          <w:p>
            <w:pPr>
              <w:ind w:left="100"/>
              <w:spacing w:after="0"/>
              <w:rPr>
                <w:sz w:val="20"/>
                <w:szCs w:val="20"/>
                <w:color w:val="auto"/>
              </w:rPr>
            </w:pPr>
            <w:r>
              <w:rPr>
                <w:rFonts w:ascii="Arial" w:cs="Arial" w:eastAsia="Arial" w:hAnsi="Arial"/>
                <w:sz w:val="18"/>
                <w:szCs w:val="18"/>
                <w:b w:val="1"/>
                <w:bCs w:val="1"/>
                <w:color w:val="auto"/>
              </w:rPr>
              <w:t>162.67</w:t>
            </w:r>
          </w:p>
        </w:tc>
        <w:tc>
          <w:tcPr>
            <w:tcW w:w="800" w:type="dxa"/>
            <w:vAlign w:val="bottom"/>
            <w:gridSpan w:val="2"/>
          </w:tcPr>
          <w:p>
            <w:pPr>
              <w:ind w:left="120"/>
              <w:spacing w:after="0"/>
              <w:rPr>
                <w:sz w:val="20"/>
                <w:szCs w:val="20"/>
                <w:color w:val="auto"/>
              </w:rPr>
            </w:pPr>
            <w:r>
              <w:rPr>
                <w:rFonts w:ascii="Arial" w:cs="Arial" w:eastAsia="Arial" w:hAnsi="Arial"/>
                <w:sz w:val="18"/>
                <w:szCs w:val="18"/>
                <w:b w:val="1"/>
                <w:bCs w:val="1"/>
                <w:color w:val="auto"/>
              </w:rPr>
              <w:t>169.54</w:t>
            </w:r>
          </w:p>
        </w:tc>
        <w:tc>
          <w:tcPr>
            <w:tcW w:w="820" w:type="dxa"/>
            <w:vAlign w:val="bottom"/>
            <w:gridSpan w:val="2"/>
          </w:tcPr>
          <w:p>
            <w:pPr>
              <w:ind w:left="120"/>
              <w:spacing w:after="0"/>
              <w:rPr>
                <w:sz w:val="20"/>
                <w:szCs w:val="20"/>
                <w:color w:val="auto"/>
              </w:rPr>
            </w:pPr>
            <w:r>
              <w:rPr>
                <w:rFonts w:ascii="Arial" w:cs="Arial" w:eastAsia="Arial" w:hAnsi="Arial"/>
                <w:sz w:val="18"/>
                <w:szCs w:val="18"/>
                <w:b w:val="1"/>
                <w:bCs w:val="1"/>
                <w:color w:val="auto"/>
              </w:rPr>
              <w:t>197.98</w:t>
            </w:r>
          </w:p>
        </w:tc>
        <w:tc>
          <w:tcPr>
            <w:tcW w:w="600" w:type="dxa"/>
            <w:vAlign w:val="bottom"/>
          </w:tcPr>
          <w:p>
            <w:pPr>
              <w:ind w:left="120"/>
              <w:spacing w:after="0"/>
              <w:rPr>
                <w:sz w:val="20"/>
                <w:szCs w:val="20"/>
                <w:color w:val="auto"/>
              </w:rPr>
            </w:pPr>
            <w:r>
              <w:rPr>
                <w:rFonts w:ascii="Arial" w:cs="Arial" w:eastAsia="Arial" w:hAnsi="Arial"/>
                <w:sz w:val="18"/>
                <w:szCs w:val="18"/>
                <w:b w:val="1"/>
                <w:bCs w:val="1"/>
                <w:color w:val="auto"/>
                <w:w w:val="83"/>
              </w:rPr>
              <w:t>240.58</w:t>
            </w:r>
          </w:p>
        </w:tc>
        <w:tc>
          <w:tcPr>
            <w:tcW w:w="120" w:type="dxa"/>
            <w:vAlign w:val="bottom"/>
          </w:tcPr>
          <w:p>
            <w:pPr>
              <w:spacing w:after="0"/>
              <w:rPr>
                <w:sz w:val="18"/>
                <w:szCs w:val="18"/>
                <w:color w:val="auto"/>
              </w:rPr>
            </w:pP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PHLX Semiconductor</w:t>
            </w:r>
          </w:p>
        </w:tc>
        <w:tc>
          <w:tcPr>
            <w:tcW w:w="3500" w:type="dxa"/>
            <w:vAlign w:val="bottom"/>
            <w:gridSpan w:val="3"/>
            <w:shd w:val="clear" w:color="auto" w:fill="CCEEFF"/>
          </w:tcPr>
          <w:p>
            <w:pPr>
              <w:ind w:left="2820"/>
              <w:spacing w:after="0"/>
              <w:rPr>
                <w:sz w:val="20"/>
                <w:szCs w:val="20"/>
                <w:color w:val="auto"/>
              </w:rPr>
            </w:pPr>
            <w:r>
              <w:rPr>
                <w:rFonts w:ascii="Arial" w:cs="Arial" w:eastAsia="Arial" w:hAnsi="Arial"/>
                <w:sz w:val="18"/>
                <w:szCs w:val="18"/>
                <w:b w:val="1"/>
                <w:bCs w:val="1"/>
                <w:color w:val="auto"/>
              </w:rPr>
              <w:t>100.00</w:t>
            </w:r>
          </w:p>
        </w:tc>
        <w:tc>
          <w:tcPr>
            <w:tcW w:w="580" w:type="dxa"/>
            <w:vAlign w:val="bottom"/>
            <w:shd w:val="clear" w:color="auto" w:fill="CCEEFF"/>
          </w:tcPr>
          <w:p>
            <w:pPr>
              <w:ind w:left="100"/>
              <w:spacing w:after="0"/>
              <w:rPr>
                <w:sz w:val="20"/>
                <w:szCs w:val="20"/>
                <w:color w:val="auto"/>
              </w:rPr>
            </w:pPr>
            <w:r>
              <w:rPr>
                <w:rFonts w:ascii="Arial" w:cs="Arial" w:eastAsia="Arial" w:hAnsi="Arial"/>
                <w:sz w:val="18"/>
                <w:szCs w:val="18"/>
                <w:b w:val="1"/>
                <w:bCs w:val="1"/>
                <w:color w:val="auto"/>
                <w:w w:val="83"/>
              </w:rPr>
              <w:t>149.43</w:t>
            </w: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100"/>
              <w:spacing w:after="0"/>
              <w:rPr>
                <w:sz w:val="20"/>
                <w:szCs w:val="20"/>
                <w:color w:val="auto"/>
              </w:rPr>
            </w:pPr>
            <w:r>
              <w:rPr>
                <w:rFonts w:ascii="Arial" w:cs="Arial" w:eastAsia="Arial" w:hAnsi="Arial"/>
                <w:sz w:val="18"/>
                <w:szCs w:val="18"/>
                <w:b w:val="1"/>
                <w:bCs w:val="1"/>
                <w:color w:val="auto"/>
              </w:rPr>
              <w:t>205.06</w:t>
            </w:r>
          </w:p>
        </w:tc>
        <w:tc>
          <w:tcPr>
            <w:tcW w:w="800" w:type="dxa"/>
            <w:vAlign w:val="bottom"/>
            <w:gridSpan w:val="2"/>
            <w:shd w:val="clear" w:color="auto" w:fill="CCEEFF"/>
          </w:tcPr>
          <w:p>
            <w:pPr>
              <w:ind w:left="120"/>
              <w:spacing w:after="0"/>
              <w:rPr>
                <w:sz w:val="20"/>
                <w:szCs w:val="20"/>
                <w:color w:val="auto"/>
              </w:rPr>
            </w:pPr>
            <w:r>
              <w:rPr>
                <w:rFonts w:ascii="Arial" w:cs="Arial" w:eastAsia="Arial" w:hAnsi="Arial"/>
                <w:sz w:val="18"/>
                <w:szCs w:val="18"/>
                <w:b w:val="1"/>
                <w:bCs w:val="1"/>
                <w:color w:val="auto"/>
              </w:rPr>
              <w:t>214.60</w:t>
            </w:r>
          </w:p>
        </w:tc>
        <w:tc>
          <w:tcPr>
            <w:tcW w:w="820" w:type="dxa"/>
            <w:vAlign w:val="bottom"/>
            <w:gridSpan w:val="2"/>
            <w:shd w:val="clear" w:color="auto" w:fill="CCEEFF"/>
          </w:tcPr>
          <w:p>
            <w:pPr>
              <w:ind w:left="120"/>
              <w:spacing w:after="0"/>
              <w:rPr>
                <w:sz w:val="20"/>
                <w:szCs w:val="20"/>
                <w:color w:val="auto"/>
              </w:rPr>
            </w:pPr>
            <w:r>
              <w:rPr>
                <w:rFonts w:ascii="Arial" w:cs="Arial" w:eastAsia="Arial" w:hAnsi="Arial"/>
                <w:sz w:val="18"/>
                <w:szCs w:val="18"/>
                <w:b w:val="1"/>
                <w:bCs w:val="1"/>
                <w:color w:val="auto"/>
              </w:rPr>
              <w:t>229.42</w:t>
            </w:r>
          </w:p>
        </w:tc>
        <w:tc>
          <w:tcPr>
            <w:tcW w:w="600" w:type="dxa"/>
            <w:vAlign w:val="bottom"/>
            <w:shd w:val="clear" w:color="auto" w:fill="CCEEFF"/>
          </w:tcPr>
          <w:p>
            <w:pPr>
              <w:ind w:left="120"/>
              <w:spacing w:after="0"/>
              <w:rPr>
                <w:sz w:val="20"/>
                <w:szCs w:val="20"/>
                <w:color w:val="auto"/>
              </w:rPr>
            </w:pPr>
            <w:r>
              <w:rPr>
                <w:rFonts w:ascii="Arial" w:cs="Arial" w:eastAsia="Arial" w:hAnsi="Arial"/>
                <w:sz w:val="18"/>
                <w:szCs w:val="18"/>
                <w:b w:val="1"/>
                <w:bCs w:val="1"/>
                <w:color w:val="auto"/>
                <w:w w:val="83"/>
              </w:rPr>
              <w:t>275.29</w:t>
            </w:r>
          </w:p>
        </w:tc>
        <w:tc>
          <w:tcPr>
            <w:tcW w:w="120" w:type="dxa"/>
            <w:vAlign w:val="bottom"/>
            <w:shd w:val="clear" w:color="auto" w:fill="CCEEFF"/>
          </w:tcPr>
          <w:p>
            <w:pPr>
              <w:spacing w:after="0"/>
              <w:rPr>
                <w:sz w:val="18"/>
                <w:szCs w:val="18"/>
                <w:color w:val="auto"/>
              </w:rPr>
            </w:pPr>
          </w:p>
        </w:tc>
      </w:tr>
      <w:tr>
        <w:trPr>
          <w:trHeight w:val="363"/>
        </w:trPr>
        <w:tc>
          <w:tcPr>
            <w:tcW w:w="4020" w:type="dxa"/>
            <w:vAlign w:val="bottom"/>
          </w:tcPr>
          <w:p>
            <w:pPr>
              <w:spacing w:after="0"/>
              <w:rPr>
                <w:sz w:val="24"/>
                <w:szCs w:val="24"/>
                <w:color w:val="auto"/>
              </w:rPr>
            </w:pPr>
          </w:p>
        </w:tc>
        <w:tc>
          <w:tcPr>
            <w:tcW w:w="2720" w:type="dxa"/>
            <w:vAlign w:val="bottom"/>
          </w:tcPr>
          <w:p>
            <w:pPr>
              <w:jc w:val="right"/>
              <w:ind w:right="857"/>
              <w:spacing w:after="0"/>
              <w:rPr>
                <w:sz w:val="20"/>
                <w:szCs w:val="20"/>
                <w:color w:val="auto"/>
              </w:rPr>
            </w:pPr>
            <w:r>
              <w:rPr>
                <w:rFonts w:ascii="Arial" w:cs="Arial" w:eastAsia="Arial" w:hAnsi="Arial"/>
                <w:sz w:val="18"/>
                <w:szCs w:val="18"/>
                <w:color w:val="auto"/>
              </w:rPr>
              <w:t>37</w:t>
            </w: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96"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color w:val="auto"/>
        </w:rPr>
        <w:t>In May 2012, we announced the initiation of paying our first quarterly dividend of $0.06 per share. Our board of directors declared quarterly cash dividends of $0.06 per share payable to holders of our common shares in each quarter of fiscal 2014 and in each of the last three quarters of fiscal 2013. As a result, we paid cash dividends of $29.9 million in the three months ended February 1, 2014, and during fiscal 2014 and 2013, we paid a total of $119.4 million and $98.8 million, respectively.</w:t>
      </w:r>
    </w:p>
    <w:p>
      <w:pPr>
        <w:spacing w:after="0" w:line="143"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Future payment of a regular quarterly cash dividend on our common shares will be subject to, among other things, the best interests of the Company, our results of operations, cash balances and future cash requirements, financial condition, statutory requirements under Bermuda law, developments in our ongoing litigation with CMU and other factors that our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common shares repurchased during the three months ended February 1, 2014.</w:t>
      </w:r>
    </w:p>
    <w:p>
      <w:pPr>
        <w:spacing w:after="0" w:line="171" w:lineRule="exact"/>
        <w:rPr>
          <w:sz w:val="20"/>
          <w:szCs w:val="20"/>
          <w:color w:val="auto"/>
        </w:rPr>
      </w:pPr>
    </w:p>
    <w:p>
      <w:pPr>
        <w:ind w:right="240" w:firstLine="456"/>
        <w:spacing w:after="0" w:line="291" w:lineRule="auto"/>
        <w:rPr>
          <w:sz w:val="20"/>
          <w:szCs w:val="20"/>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Our board of directors authorized an additional $1.5 billion in fiscal 2012 and $1.0 billion in fiscal 2013 to be used to repurchase our common shares under the share repurchase program for a total available under the program of $3.0 billion.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96"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14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7"/>
              </w:rPr>
              <w:t>February 1,</w:t>
            </w:r>
          </w:p>
        </w:tc>
        <w:tc>
          <w:tcPr>
            <w:tcW w:w="98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7"/>
              </w:rPr>
              <w:t>February 2,</w:t>
            </w:r>
          </w:p>
        </w:tc>
        <w:tc>
          <w:tcPr>
            <w:tcW w:w="16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3"/>
              </w:rPr>
              <w:t>January 28,</w:t>
            </w:r>
          </w:p>
        </w:tc>
        <w:tc>
          <w:tcPr>
            <w:tcW w:w="300" w:type="dxa"/>
            <w:vAlign w:val="bottom"/>
          </w:tcPr>
          <w:p>
            <w:pPr>
              <w:spacing w:after="0"/>
              <w:rPr>
                <w:sz w:val="14"/>
                <w:szCs w:val="14"/>
                <w:color w:val="auto"/>
              </w:rPr>
            </w:pPr>
          </w:p>
        </w:tc>
        <w:tc>
          <w:tcPr>
            <w:tcW w:w="840" w:type="dxa"/>
            <w:vAlign w:val="bottom"/>
            <w:gridSpan w:val="2"/>
          </w:tcPr>
          <w:p>
            <w:pPr>
              <w:jc w:val="right"/>
              <w:spacing w:after="0"/>
              <w:rPr>
                <w:sz w:val="20"/>
                <w:szCs w:val="20"/>
                <w:color w:val="auto"/>
              </w:rPr>
            </w:pPr>
            <w:r>
              <w:rPr>
                <w:rFonts w:ascii="Arial" w:cs="Arial" w:eastAsia="Arial" w:hAnsi="Arial"/>
                <w:sz w:val="14"/>
                <w:szCs w:val="14"/>
                <w:b w:val="1"/>
                <w:bCs w:val="1"/>
                <w:color w:val="auto"/>
                <w:w w:val="95"/>
              </w:rPr>
              <w:t>January 29,</w:t>
            </w:r>
          </w:p>
        </w:tc>
        <w:tc>
          <w:tcPr>
            <w:tcW w:w="300" w:type="dxa"/>
            <w:vAlign w:val="bottom"/>
          </w:tcPr>
          <w:p>
            <w:pPr>
              <w:spacing w:after="0"/>
              <w:rPr>
                <w:sz w:val="14"/>
                <w:szCs w:val="14"/>
                <w:color w:val="auto"/>
              </w:rPr>
            </w:pPr>
          </w:p>
        </w:tc>
        <w:tc>
          <w:tcPr>
            <w:tcW w:w="9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5"/>
              </w:rPr>
              <w:t>January 30,</w:t>
            </w: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w w:val="99"/>
              </w:rPr>
              <w:t>2014 (1)</w:t>
            </w: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2013 (2)</w:t>
            </w:r>
          </w:p>
        </w:tc>
        <w:tc>
          <w:tcPr>
            <w:tcW w:w="1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2012 (3)</w:t>
            </w: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w w:val="95"/>
              </w:rPr>
              <w:t>2011 (4)</w:t>
            </w: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w w:val="99"/>
              </w:rPr>
              <w:t>2010 (5)</w:t>
            </w:r>
          </w:p>
        </w:tc>
        <w:tc>
          <w:tcPr>
            <w:tcW w:w="10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560" w:type="dxa"/>
            <w:vAlign w:val="bottom"/>
            <w:gridSpan w:val="13"/>
          </w:tcPr>
          <w:p>
            <w:pPr>
              <w:jc w:val="right"/>
              <w:spacing w:after="0" w:line="142" w:lineRule="exact"/>
              <w:rPr>
                <w:sz w:val="20"/>
                <w:szCs w:val="20"/>
                <w:color w:val="auto"/>
              </w:rPr>
            </w:pPr>
            <w:r>
              <w:rPr>
                <w:rFonts w:ascii="Arial" w:cs="Arial" w:eastAsia="Arial" w:hAnsi="Arial"/>
                <w:sz w:val="14"/>
                <w:szCs w:val="14"/>
                <w:b w:val="1"/>
                <w:bCs w:val="1"/>
                <w:color w:val="auto"/>
                <w:w w:val="99"/>
              </w:rPr>
              <w:t>(in thousands, except per share amounts and number of employees)</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Statements of Operations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revenue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3,404,400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3,168,630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3,393,040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3,611,893</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2,807,687</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1,663,730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1,493,497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1,465,805</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1,473,274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1,227,096</w:t>
            </w:r>
          </w:p>
        </w:tc>
      </w:tr>
      <w:tr>
        <w:trPr>
          <w:trHeight w:val="216"/>
        </w:trPr>
        <w:tc>
          <w:tcPr>
            <w:tcW w:w="20" w:type="dxa"/>
            <w:vAlign w:val="bottom"/>
          </w:tcPr>
          <w:p>
            <w:pPr>
              <w:spacing w:after="0"/>
              <w:rPr>
                <w:sz w:val="18"/>
                <w:szCs w:val="18"/>
                <w:color w:val="auto"/>
              </w:rPr>
            </w:pPr>
          </w:p>
        </w:tc>
        <w:tc>
          <w:tcPr>
            <w:tcW w:w="59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1,156,885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1,057,445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1,013,678</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897,578</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828,176</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280,691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294,657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604,146</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901,192</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334,115</w:t>
            </w:r>
          </w:p>
        </w:tc>
      </w:tr>
      <w:tr>
        <w:trPr>
          <w:trHeight w:val="223"/>
        </w:trPr>
        <w:tc>
          <w:tcPr>
            <w:tcW w:w="20" w:type="dxa"/>
            <w:vAlign w:val="bottom"/>
          </w:tcPr>
          <w:p>
            <w:pPr>
              <w:spacing w:after="0"/>
              <w:rPr>
                <w:sz w:val="19"/>
                <w:szCs w:val="19"/>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315,320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306,585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615,091</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904,129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353,456</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Basic</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0.64</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0.55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1.01</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1.39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0.57</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0.63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0.54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0.99</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0.54</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Weighted average shares: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496,518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555,310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607,857</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648,347</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623,934</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Diluted</w:t>
            </w: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504,413</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563,123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623,268</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676,878</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653,741</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1,969,405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1,918,990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2,246,498</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2,930,030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1,796,717</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2,187,914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1,977,458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2,489,407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3,071,961</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1,913,658</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assets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5,451,010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5,261,764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5,767,619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6,338,157</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5,170,940</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Term loan and capital lease obligations, net of current portion</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511</w:t>
            </w: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shareholders’ equity</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4,675,910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w w:val="87"/>
              </w:rPr>
              <w:t>4,484,595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5,014,018</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5,521,869</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4,417,979</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Other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Cash dividends declared per share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0.24</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0.18</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Number of employess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7,355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7,259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6,970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5,893</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5,241</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0" w:hanging="452"/>
        <w:spacing w:after="0" w:line="253"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Fiscal 2014 includes $14.7 million for litigation settlements, a $7.0 million gain from the sale of a business, an $8.1 million charge for the impairment of an intangible asset and $4.7 million of restructuring and other exit-related costs. The litigation settlements do not relate to our litigation with Carnegie Mellon University.</w:t>
      </w:r>
    </w:p>
    <w:p>
      <w:pPr>
        <w:ind w:left="460" w:right="160" w:hanging="452"/>
        <w:spacing w:after="0" w:line="250"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Fiscal 2013 includes $5.7 million for an expense related to an ongoing litigation matter and $4.9 million for expenses related to acquisitions in prior fiscal years.</w:t>
      </w: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Fiscal 2012 includes $6.7 million for litigation settlements and assessments of payroll taxes on employee benefits in certain jurisdictions.</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Fiscal 2011 includes $8.5 million for litigation settlements.</w:t>
      </w:r>
    </w:p>
    <w:p>
      <w:pPr>
        <w:spacing w:after="0" w:line="9" w:lineRule="exact"/>
        <w:rPr>
          <w:rFonts w:ascii="Arial" w:cs="Arial" w:eastAsia="Arial" w:hAnsi="Arial"/>
          <w:sz w:val="18"/>
          <w:szCs w:val="18"/>
          <w:color w:val="auto"/>
        </w:rPr>
      </w:pPr>
    </w:p>
    <w:p>
      <w:pPr>
        <w:jc w:val="both"/>
        <w:ind w:left="460" w:right="160" w:hanging="452"/>
        <w:spacing w:after="0" w:line="255"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Fiscal 2010 includes a $72.0 million charge in connection with the settlement of a class action litigation. This is offset by a $27.3 million benefit in fiscal 2010 resulting from the expiration of the statute of limitations related to a tax contingency reserve, in addition to a $5.3 million income tax benefit related to the adjustment of a prior year deferred tax asset.</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SoC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 mobile handsets, connectivity and other consumer electronics. Our products serve diverse applications used in carrier, metropolitan, enterprise and PC-client data communications and storage systems. Additionally, we serve the consumer electronics market for the convergence of voice, video and data applications. As a fabless integrated circuit company,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0" w:lineRule="exact"/>
        <w:rPr>
          <w:sz w:val="20"/>
          <w:szCs w:val="20"/>
          <w:color w:val="auto"/>
        </w:rPr>
      </w:pPr>
    </w:p>
    <w:p>
      <w:pPr>
        <w:ind w:firstLine="456"/>
        <w:spacing w:after="0" w:line="314" w:lineRule="auto"/>
        <w:rPr>
          <w:sz w:val="20"/>
          <w:szCs w:val="20"/>
          <w:color w:val="auto"/>
        </w:rPr>
      </w:pPr>
      <w:r>
        <w:rPr>
          <w:rFonts w:ascii="Arial" w:cs="Arial" w:eastAsia="Arial" w:hAnsi="Arial"/>
          <w:sz w:val="15"/>
          <w:szCs w:val="15"/>
          <w:color w:val="auto"/>
        </w:rPr>
        <w:t>Historically, a relatively small number of customers have accounted for a significant portion of our net revenue. We had two end customers who each represented greater than 10% of our total net revenue in fiscal 2014. Combined revenue from these two customers was 36% of total net revenue in fiscal 2014. No distributors accounted for more than 10% of our net revenue for fiscal 2014. We had three end customers who represented greater than 10% of our total net revenue in fiscal 2013. Combined revenue from these three customers was 44% of total net revenue in fiscal 2013. We also had one distributor who accounted for more than 10% of our net revenue in fiscal 2013. We had one end customer who represented greater than 10% of our total net revenue in fiscal 2012. Revenue from this customer was 19% of total net revenue in fiscal 2012. We also had one distributor who accounted for more than 10% of our net revenue in fiscal 2012.</w:t>
      </w:r>
    </w:p>
    <w:p>
      <w:pPr>
        <w:spacing w:after="0" w:line="105"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experience significant customer concentration in future periods and most of our sales are made to customers located outside of the United States, primarily in Asia. Sales to customers in Asia represented approximately 95%, 90% and 88% of our net revenue for fiscal 2014, 2013 and 2012, respectively. Because many manufacturers and manufacturing subcontractors of our customers are located in Asia, we expect that most of our net revenue will continue to be represented by sales to our customers in that region. Substantially all of our sales are denominated in U.S. dollars.</w:t>
      </w:r>
    </w:p>
    <w:p>
      <w:pPr>
        <w:spacing w:after="0" w:line="11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consumer electronics sales are heavily dependent on new product launch timelines and product refreshes. For example, our sales of wireless connectivity products may increase significantly during a period when one of our consumers launches a new gaming console, and these sales may taper significantly after the initial launch period.</w:t>
      </w:r>
    </w:p>
    <w:p>
      <w:pPr>
        <w:spacing w:after="0" w:line="116" w:lineRule="exact"/>
        <w:rPr>
          <w:sz w:val="20"/>
          <w:szCs w:val="20"/>
          <w:color w:val="auto"/>
        </w:rPr>
      </w:pPr>
    </w:p>
    <w:p>
      <w:pPr>
        <w:ind w:right="160" w:firstLine="456"/>
        <w:spacing w:after="0" w:line="370" w:lineRule="auto"/>
        <w:rPr>
          <w:sz w:val="20"/>
          <w:szCs w:val="20"/>
          <w:color w:val="auto"/>
        </w:rPr>
      </w:pPr>
      <w:r>
        <w:rPr>
          <w:rFonts w:ascii="Arial" w:cs="Arial" w:eastAsia="Arial" w:hAnsi="Arial"/>
          <w:sz w:val="15"/>
          <w:szCs w:val="15"/>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2014 and fiscal 2012 had a 52-week period, and fiscal 2013 had a 53-week period.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we evaluate our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we use assumptions when employing the Monte Carlo simulation and Black-Scholes valuation models to calculate the fair value of share-based awards granted.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20" w:lineRule="exact"/>
        <w:rPr>
          <w:sz w:val="20"/>
          <w:szCs w:val="20"/>
          <w:color w:val="auto"/>
        </w:rPr>
      </w:pPr>
    </w:p>
    <w:p>
      <w:pPr>
        <w:ind w:right="960" w:firstLine="456"/>
        <w:spacing w:after="0" w:line="268"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recognize revenue when there is persuasive evidence of an arrangement, delivery has occurred, the fee is fixed or</w:t>
      </w:r>
      <w:r>
        <w:rPr>
          <w:rFonts w:ascii="Arial" w:cs="Arial" w:eastAsia="Arial" w:hAnsi="Arial"/>
          <w:sz w:val="18"/>
          <w:szCs w:val="18"/>
          <w:i w:val="1"/>
          <w:iCs w:val="1"/>
          <w:color w:val="auto"/>
        </w:rPr>
        <w:t xml:space="preserve"> </w:t>
      </w:r>
      <w:r>
        <w:rPr>
          <w:rFonts w:ascii="Arial" w:cs="Arial" w:eastAsia="Arial" w:hAnsi="Arial"/>
          <w:sz w:val="18"/>
          <w:szCs w:val="18"/>
          <w:color w:val="auto"/>
        </w:rPr>
        <w:t>determinable, and collection is reasonably assured.</w:t>
      </w:r>
    </w:p>
    <w:p>
      <w:pPr>
        <w:spacing w:after="0" w:line="132"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our sales are made through distributors under agreements allowing for price protection, shipped from stock pricing adjustment rights, and limited rights of stock rotation on product unsold by the distributors. Although title passes to the distributor upon shipment terms and payment by our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We do not believe that there is any significant exposure related to impairment of deferred cost of sales, as our historical returns have been minimal and inventory turnover for our distributors generally ranges from 60 to 90 days. Our sales to direct customers are made primarily pursuant to standard purchase orders for delivery of products.</w:t>
      </w:r>
    </w:p>
    <w:p>
      <w:pPr>
        <w:spacing w:after="0" w:line="118"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A portion of our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85"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In addition, quality issues covered by warranties to our customers may be recorded as a reduction of revenue, in cases where the related products are not returned to us and/or the amount of the payment is not sufficiently supported by evidence of fair value. Actual returns could differ from these estimates. We account for rebates by recording reductions to revenue in the same period that the related revenue is recorded. The amount of these reductions is based upon the terms agreed to with the customers.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56" w:lineRule="auto"/>
        <w:rPr>
          <w:sz w:val="20"/>
          <w:szCs w:val="20"/>
          <w:color w:val="auto"/>
        </w:rPr>
      </w:pPr>
      <w:r>
        <w:rPr>
          <w:rFonts w:ascii="Arial" w:cs="Arial" w:eastAsia="Arial" w:hAnsi="Arial"/>
          <w:sz w:val="18"/>
          <w:szCs w:val="18"/>
          <w:i w:val="1"/>
          <w:iCs w:val="1"/>
          <w:color w:val="auto"/>
        </w:rPr>
        <w:t xml:space="preserve">Share-based Compensation. </w:t>
      </w:r>
      <w:r>
        <w:rPr>
          <w:rFonts w:ascii="Arial" w:cs="Arial" w:eastAsia="Arial" w:hAnsi="Arial"/>
          <w:sz w:val="18"/>
          <w:szCs w:val="18"/>
          <w:color w:val="auto"/>
        </w:rPr>
        <w:t>We measure our share-based compensation at the grant date, based on the fair value of the award, and is recognized as</w:t>
      </w:r>
      <w:r>
        <w:rPr>
          <w:rFonts w:ascii="Arial" w:cs="Arial" w:eastAsia="Arial" w:hAnsi="Arial"/>
          <w:sz w:val="18"/>
          <w:szCs w:val="18"/>
          <w:i w:val="1"/>
          <w:iCs w:val="1"/>
          <w:color w:val="auto"/>
        </w:rPr>
        <w:t xml:space="preserve"> </w:t>
      </w:r>
      <w:r>
        <w:rPr>
          <w:rFonts w:ascii="Arial" w:cs="Arial" w:eastAsia="Arial" w:hAnsi="Arial"/>
          <w:sz w:val="18"/>
          <w:szCs w:val="18"/>
          <w:color w:val="auto"/>
        </w:rPr>
        <w:t>expense over the requisite service period. We amortize share-based compensation expense for time-based and market-based awards under the straight-line attribution method over the vesting period, which is generally four years for annual grants to employees and five years for new hire grants. Performance-based awards are amortized using the accelerated method.</w:t>
      </w:r>
    </w:p>
    <w:p>
      <w:pPr>
        <w:spacing w:after="0" w:line="143"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estimate the fair value of time-based stock option awards on the date of grant using the Black Scholes option-pricing model. The fair value of market-based option awards is estimated on the date of grant using a Monte Carlo simulation model. The value of the portion of the awards that is ultimately expected to vest is recognized as expense over the requisite service periods. The Black-Scholes and Monte Carlo models incorporate various highly subjective assumptions including expected term of awards, expected future stock price volatility and expected forfeiture rates.</w:t>
      </w:r>
    </w:p>
    <w:p>
      <w:pPr>
        <w:spacing w:after="0" w:line="11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developing estimates used to calculate assumptions, we establish the expected term for employee options, as well as expected forfeiture rates, based on the historical settlement experience and after giving consideration to vesting schedules. Assumptions for stock option exercises and pre-vesting terminations of stock options were stratified by employee groups with sufficiently distinct behavior patterns. Expected volatility was developed based on an equally weighted combination of historical stock price volatility and implied volatility derived from traded options on our stock in the marketplace. The expected dividend yield is calculated by dividing annualized dividend payments by the closing stock price on the grant date of the option.</w:t>
      </w:r>
    </w:p>
    <w:p>
      <w:pPr>
        <w:spacing w:after="0" w:line="116"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Share-based compensation expense is recorded net of estimated forfeitures such that expense is recorded only for those share-based awards that are expected to vest. Previously recognized expense is reversed for the portion of awards forfeited prior to vesting as and when forfeitures occurred.</w:t>
      </w:r>
    </w:p>
    <w:p>
      <w:pPr>
        <w:spacing w:after="0" w:line="10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for both stock options and restricted stock units, we are required to estimate forfeiture rates, and true up these forfeiture rates when actual results are different from our estimates. Assumptions for forfeitures are stratified by employee groups with sufficiently distinct behavior patterns. Changes in the estimated forfeiture rate can have a significant effect on reported share-based compensation expense, as the effect of adjusting the rate for all expense amortization is recognized in the period the forfeiture estimate is changed. If the actual forfeiture rate is higher than the estimated forfeiture rate, then an adjustment will be made to increase the estimated forfeiture rate, which will result in a decrease to the expense recognized in the financial statements. If the actual forfeiture rate is lower than the estimated forfeiture rate, then an adjustment will be made to lower the estimated forfeiture rate, which will result in an increase to the expense recognized in the financial statements. The expense we recognize in future periods could be affected by changes in the estimated forfeiture rate and may differ significantly from amounts recognized in the current period and/or our forecasts.</w:t>
      </w:r>
    </w:p>
    <w:p>
      <w:pPr>
        <w:spacing w:after="0" w:line="118"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Additionally, for certain of our performance-based awards, we must make subjective assumptions regarding the likelihood that the related performance metrics will be met. These assumptions are based on various revenue and operating performance criteria. Changes in our actual performance could cause a significant adjustment in future periods for these performance-based awards.</w:t>
      </w:r>
    </w:p>
    <w:p>
      <w:pPr>
        <w:spacing w:after="0" w:line="140"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i w:val="1"/>
          <w:iCs w:val="1"/>
          <w:color w:val="auto"/>
        </w:rPr>
        <w:t xml:space="preserve">Accounting for Income Taxes. </w:t>
      </w:r>
      <w:r>
        <w:rPr>
          <w:rFonts w:ascii="Arial" w:cs="Arial" w:eastAsia="Arial" w:hAnsi="Arial"/>
          <w:sz w:val="16"/>
          <w:szCs w:val="16"/>
          <w:color w:val="auto"/>
        </w:rPr>
        <w:t>We estimate our income taxes in each of the jurisdictions in which we operate. This process involves estimating our actual</w:t>
      </w:r>
      <w:r>
        <w:rPr>
          <w:rFonts w:ascii="Arial" w:cs="Arial" w:eastAsia="Arial" w:hAnsi="Arial"/>
          <w:sz w:val="16"/>
          <w:szCs w:val="16"/>
          <w:i w:val="1"/>
          <w:iCs w:val="1"/>
          <w:color w:val="auto"/>
        </w:rPr>
        <w:t xml:space="preserve"> </w:t>
      </w:r>
      <w:r>
        <w:rPr>
          <w:rFonts w:ascii="Arial" w:cs="Arial" w:eastAsia="Arial" w:hAnsi="Arial"/>
          <w:sz w:val="16"/>
          <w:szCs w:val="16"/>
          <w:color w:val="auto"/>
        </w:rPr>
        <w:t>tax exposure together with assessing temporary differences resulting from the differing treatment of certain items for tax return and financial statement purposes. These differences result in deferred tax assets and liabilities, which are included within our consolidated balance sheets.</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143"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Evaluating the need for an amount of a valuation allowance for deferred tax assets often requires judgment and analysis of all the positive and negative evidence available to determine whether all or some portion of the deferred tax assets will not be realized. A valuation allowance must be established for deferred tax assets when it is more likely than not that they will not be realized. Based on the available evidence and judgment, we have determined that it is more likely than not that our U.S. research credits, which we earn in excess of our current year tax liabilities, and certain acquired net operating losses will not be realized. Therefore, we have provided a full valuation allowance against these credits and a portion against the net operating losses. If there is a change in our ability to realize our deferred tax assets, then our tax provision may decrease in the period in which we determine that realization is more likely than not.</w:t>
      </w:r>
    </w:p>
    <w:p>
      <w:pPr>
        <w:spacing w:after="0" w:line="12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We recognize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We record interest and penalties related to unrecognized tax benefits in income tax expense. The calculation of our tax liabilities involves the inherent uncertainty associated with the application of GAAP and complex tax laws. We believe we have adequately provided for in our financial statements additional taxes that we estimate may be required to be paid as a result of such examinations. While we believe that we have adequately provided for all tax positions, amounts asserted by tax authorities could be greater or less than our accrued position. These tax liabilities, including the interest and penalties, are released pursuant to a settlement with tax authorities, completion of audit or expiration of various statutes of limitation. The material jurisdictions in which we may be subject to potential examination by tax authorities throughout the world include China, Israel, Singapore, Switzerland and the United States.</w:t>
      </w:r>
    </w:p>
    <w:p>
      <w:pPr>
        <w:spacing w:after="0" w:line="120"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85" w:lineRule="exact"/>
        <w:rPr>
          <w:sz w:val="20"/>
          <w:szCs w:val="20"/>
          <w:color w:val="auto"/>
        </w:rPr>
      </w:pPr>
    </w:p>
    <w:p>
      <w:pPr>
        <w:ind w:right="320" w:firstLine="456"/>
        <w:spacing w:after="0" w:line="294" w:lineRule="auto"/>
        <w:rPr>
          <w:sz w:val="20"/>
          <w:szCs w:val="20"/>
          <w:color w:val="auto"/>
        </w:rPr>
      </w:pPr>
      <w:r>
        <w:rPr>
          <w:rFonts w:ascii="Arial" w:cs="Arial" w:eastAsia="Arial" w:hAnsi="Arial"/>
          <w:sz w:val="16"/>
          <w:szCs w:val="16"/>
          <w:i w:val="1"/>
          <w:iCs w:val="1"/>
          <w:color w:val="auto"/>
        </w:rPr>
        <w:t xml:space="preserve">Inventories. </w:t>
      </w:r>
      <w:r>
        <w:rPr>
          <w:rFonts w:ascii="Arial" w:cs="Arial" w:eastAsia="Arial" w:hAnsi="Arial"/>
          <w:sz w:val="16"/>
          <w:szCs w:val="16"/>
          <w:color w:val="auto"/>
        </w:rPr>
        <w:t>We value our inventory at the lower of cost or market, cost being determined under the first-in, first-out method. We regularly review</w:t>
      </w:r>
      <w:r>
        <w:rPr>
          <w:rFonts w:ascii="Arial" w:cs="Arial" w:eastAsia="Arial" w:hAnsi="Arial"/>
          <w:sz w:val="16"/>
          <w:szCs w:val="16"/>
          <w:i w:val="1"/>
          <w:iCs w:val="1"/>
          <w:color w:val="auto"/>
        </w:rPr>
        <w:t xml:space="preserve"> </w:t>
      </w:r>
      <w:r>
        <w:rPr>
          <w:rFonts w:ascii="Arial" w:cs="Arial" w:eastAsia="Arial" w:hAnsi="Arial"/>
          <w:sz w:val="16"/>
          <w:szCs w:val="16"/>
          <w:color w:val="auto"/>
        </w:rPr>
        <w:t>inventory quantities on hand and record a reduction to the total carrying value of our inventory for any difference between cost and estimated market value of inventory that is determined to be excess, obsolete or unsellable inventory based primarily on our estimated forecast of product demand and production requirements.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reduction to the total carrying value of our inventory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118"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i w:val="1"/>
          <w:iCs w:val="1"/>
          <w:color w:val="auto"/>
        </w:rPr>
        <w:t xml:space="preserve">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w:t>
      </w:r>
    </w:p>
    <w:p>
      <w:pPr>
        <w:spacing w:after="0" w:line="59" w:lineRule="exact"/>
        <w:rPr>
          <w:sz w:val="20"/>
          <w:szCs w:val="20"/>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significant decreases in the market price of the asset;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significant adverse changes in the business climate or legal factors;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accumulation of costs significantly in excess of the amount originally expected for the acquisition or construction of the asset;</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current period cash flow or operating losses combined with a history of losses or a forecast of continuing losses associated with the use of the asset;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6"/>
          <w:szCs w:val="16"/>
          <w:color w:val="auto"/>
        </w:rPr>
      </w:pPr>
      <w:r>
        <w:rPr>
          <w:rFonts w:ascii="Arial" w:cs="Arial" w:eastAsia="Arial" w:hAnsi="Arial"/>
          <w:sz w:val="16"/>
          <w:szCs w:val="16"/>
          <w:color w:val="auto"/>
        </w:rPr>
        <w:t>current expectation that the asset will more likely than not be sold or disposed of significantly before the end of its estimated useful life.</w:t>
      </w:r>
    </w:p>
    <w:p>
      <w:pPr>
        <w:spacing w:after="0" w:line="194"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Whenever events or changes in circumstances suggest that the carrying amount of long-lived assets and intangible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11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As of February 1, 2014, we had a total of $49.0 million in acquired intangible assets, of which $3.4 million represented remaining in-process research and development (“IPR&amp;D”). In connection with our IPR&amp;D, we performed a qualitative assessment in 2014 to determine whether it was more likely than not that our IPR&amp;D was impaired. Based on our assessment we determined that there was no impairment in fiscal 2014. However, we recorded a charge of $0.8 million in fiscal 2013 to write off IPR&amp;D related to an abandoned project.</w:t>
      </w:r>
    </w:p>
    <w:p>
      <w:pPr>
        <w:spacing w:after="0" w:line="14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i w:val="1"/>
          <w:iCs w:val="1"/>
          <w:color w:val="auto"/>
        </w:rPr>
        <w:t xml:space="preserve">Goodwill. </w:t>
      </w:r>
      <w:r>
        <w:rPr>
          <w:rFonts w:ascii="Arial" w:cs="Arial" w:eastAsia="Arial" w:hAnsi="Arial"/>
          <w:sz w:val="18"/>
          <w:szCs w:val="18"/>
          <w:color w:val="auto"/>
        </w:rPr>
        <w:t>We evaluate goodwill for impairment whenever events or changes in circumstances indicate that the carrying value of such assets may not be</w:t>
      </w:r>
      <w:r>
        <w:rPr>
          <w:rFonts w:ascii="Arial" w:cs="Arial" w:eastAsia="Arial" w:hAnsi="Arial"/>
          <w:sz w:val="18"/>
          <w:szCs w:val="18"/>
          <w:i w:val="1"/>
          <w:iCs w:val="1"/>
          <w:color w:val="auto"/>
        </w:rPr>
        <w:t xml:space="preserve"> </w:t>
      </w:r>
      <w:r>
        <w:rPr>
          <w:rFonts w:ascii="Arial" w:cs="Arial" w:eastAsia="Arial" w:hAnsi="Arial"/>
          <w:sz w:val="18"/>
          <w:szCs w:val="18"/>
          <w:color w:val="auto"/>
        </w:rPr>
        <w:t>recoverable. Factors we consider important which could trigger a goodwill impairment review include;</w:t>
      </w:r>
    </w:p>
    <w:p>
      <w:pPr>
        <w:spacing w:after="0" w:line="51" w:lineRule="exact"/>
        <w:rPr>
          <w:sz w:val="20"/>
          <w:szCs w:val="20"/>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When performing our assessment, we include a control premium, in addition to our fair value to reflect the full value and amount that a buyer would be willing to pay for the company. Since our inception, we have not recognized any impairment of goodwill.</w:t>
      </w:r>
    </w:p>
    <w:p>
      <w:pPr>
        <w:spacing w:after="0" w:line="132"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Litigation Costs. </w:t>
      </w:r>
      <w:r>
        <w:rPr>
          <w:rFonts w:ascii="Arial" w:cs="Arial" w:eastAsia="Arial" w:hAnsi="Arial"/>
          <w:sz w:val="18"/>
          <w:szCs w:val="18"/>
          <w:color w:val="auto"/>
        </w:rPr>
        <w:t>From time to time, we are involved in legal actions arising in the ordinary course of business. There can be no assurance these actions 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third-party assertions will be resolved without costly litigation, in a manner that does not adversely impact our financial position, results of operations or cash flows or without requiring royalty payments in the future, which may adversely impact gross margins. We are aggressively defending these litigation matters and believe no material adverse outcome will result. We record a liability when it is probable that a loss has been incurred and the amount can be reasonably estimated. In determining the probability of a loss and consequently, determining a reasonable estimate, management is required to use significant judgment. Given the uncertainties associated with any litigation, the actual outcome can be different than our estimates and could adversely affect our results of operations, financial position and cash flows.</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Fiscal 2014 was the start of a turnaround for Marvell. Revenue in fiscal 2014 was $3.4 billion, which was 7% higher compared to net revenue of $3.2 billion in fiscal 2013. Revenue for products in the storage market was strong and grew approximately 13% over fiscal 2013 due to strong growth in our solid state drives (“SSD”) business and continued share gains in our hard disk drive (“HDD”) business. Revenue from our mobile and wireless end market delivered modest growth in fiscal 2014 after undergoing two years of customer and product transitions, and we are now well positioned to deliver strong growth in fiscal 2015. Although revenue for products in our networking market declined in fiscal 2014, the decline was consistent with the overall enterprise networking market. We believe our sustained investments in advanced technologies leading to new innovations will help drive increased business opportunities. We are seeing many of our customers introducing new devices using our innovative solutions, which we believe will drive success across all of our end markets. Our future growth is expected to be driven by areas such as mobile handsets, tablets, connectivity, smart home devices and SSDs.</w:t>
      </w:r>
    </w:p>
    <w:p>
      <w:pPr>
        <w:spacing w:after="0" w:line="37" w:lineRule="exact"/>
        <w:rPr>
          <w:sz w:val="20"/>
          <w:szCs w:val="20"/>
          <w:color w:val="auto"/>
        </w:rPr>
      </w:pPr>
    </w:p>
    <w:p>
      <w:pPr>
        <w:ind w:left="900" w:right="40" w:hanging="325"/>
        <w:spacing w:after="0" w:line="289" w:lineRule="auto"/>
        <w:tabs>
          <w:tab w:leader="none" w:pos="900" w:val="left"/>
        </w:tabs>
        <w:numPr>
          <w:ilvl w:val="0"/>
          <w:numId w:val="17"/>
        </w:numPr>
        <w:rPr>
          <w:rFonts w:ascii="Arial" w:cs="Arial" w:eastAsia="Arial" w:hAnsi="Arial"/>
          <w:sz w:val="16"/>
          <w:szCs w:val="16"/>
          <w:color w:val="auto"/>
        </w:rPr>
      </w:pPr>
      <w:r>
        <w:rPr>
          <w:rFonts w:ascii="Arial" w:cs="Arial" w:eastAsia="Arial" w:hAnsi="Arial"/>
          <w:sz w:val="16"/>
          <w:szCs w:val="16"/>
          <w:color w:val="auto"/>
        </w:rPr>
        <w:t>In the mobile market, our 3G unified platform is in mass production at multiple top tier OEMs. For example, Samsung has successfully launched their 7-inch Galaxy Tab 3 globally based on our dual-core platform and China Mobile has selected our dual-core platform to launch its first branded smartphone. In addition to our dual-core devices, our quad-core platform is now in production with leading OEM customers who have introduced multiple quad-core smartphone models targeting the mass-market segments for both WCDMA and TD-SCDMA. In the deployment of LTE technology, we continued to make steady progress with our LTE solution, which passed qualifications in China. In North America, our LTE solution is now fully certified for voice and data at one major carrier and we are expecting to achieve full certification with another large carrier in early fiscal 2015. We also recently introduced the ARMADA Mobile PXA1928, a 64-bit single-chip quad-core, 5-mode LTE solution supporting all global mobile broadband standards, including LTE TDD/FDD, HSPA+,TD-HSPA+ and EDGE.</w:t>
      </w:r>
    </w:p>
    <w:p>
      <w:pPr>
        <w:spacing w:after="0" w:line="37" w:lineRule="exact"/>
        <w:rPr>
          <w:rFonts w:ascii="Arial" w:cs="Arial" w:eastAsia="Arial" w:hAnsi="Arial"/>
          <w:sz w:val="16"/>
          <w:szCs w:val="16"/>
          <w:color w:val="auto"/>
        </w:rPr>
      </w:pPr>
    </w:p>
    <w:p>
      <w:pPr>
        <w:ind w:left="900" w:hanging="325"/>
        <w:spacing w:after="0" w:line="253"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 the wireless connectivity market, one of the new design wins is in the Google Chromecast, an innovative new product that allows consumers to seamlessly connect and stream video content from a small screen mobile device to any large screen. Several service providers have started to ship our platform video solutions for the IPTV and hybrid set-top box products. We are also seeing leading OEMs launch Smart TV and set-top box products using our platform video solutions. In the gaming market, our wireless connectivity solutions are being used in the new game consoles that were launched for the holiday season. We expect wireless connectivity and other advanced features in these new game consoles to help drive growth for us in the industry in the upcoming year. In addition, in the smartphone market, we have ongoing 100% attach rates on our new mobile platforms for our connectivity solutions with our 3G and 4G mobile platforms. We are seeing new opportunities for our connectivity solutions across multiple market segments.</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20" w:hanging="325"/>
        <w:spacing w:after="0" w:line="290" w:lineRule="auto"/>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In the storage market, we continue to execute well as the overall drive industry seems to have stabilized. We continue to grow within the HDD market as we have seen strong demand for our 500 gigabyte per platter products. In addition, we are seeing increased demand on enterprise drives at a top North America based HDD customer. Within the SSD market, our revenue has continued to grow and our strategy of partnering with top tier OEMs has resulted in excellent traction for our advanced SSD solutions. Our PCIe SSD solutions are now in mass production and we believe we have a lead in the market. We are also leveraging our technology leadership in HDD and SSD to help our customer migrate to hybrid storage devices. Here we are developing a single-chip solution that we believe will drive lower price points and allow the market to grow. We believe this will allow us to further increase our share and solidify our leadership position in the market.</w:t>
      </w:r>
    </w:p>
    <w:p>
      <w:pPr>
        <w:spacing w:after="0" w:line="37" w:lineRule="exact"/>
        <w:rPr>
          <w:rFonts w:ascii="Arial" w:cs="Arial" w:eastAsia="Arial" w:hAnsi="Arial"/>
          <w:sz w:val="16"/>
          <w:szCs w:val="16"/>
          <w:color w:val="auto"/>
        </w:rPr>
      </w:pPr>
    </w:p>
    <w:p>
      <w:pPr>
        <w:ind w:left="900" w:hanging="325"/>
        <w:spacing w:after="0" w:line="291" w:lineRule="auto"/>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In the networking market, we experienced softer than expected demand from some of our enterprise networking customers in fiscal 2014 due to a weaker market overall. We continue to make strong progress with development design activity for our product portfolio addressing the infrastructure portion of the market. We announced our first 28nm network processor and traffic management solutions with our Xelerated AX and HX family of products targeting the infrastructure market, where we have engaged with Tier-1 customers on these new high-performance products for their next generation networking equipment. We continue to increase our footprint in the service provider market and are benefiting from modest improvements in the enterprise end market. We expect these new initiatives to drive better results starting in the second half of fiscal 2015.</w:t>
      </w:r>
    </w:p>
    <w:p>
      <w:pPr>
        <w:spacing w:after="0" w:line="12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Our cost of goods sold as a percentage of net revenue in fiscal 2014 was higher compared to fiscal 2013. As we expand our presence and grow revenue in the consumer space, we expect our gross margin to face downward pressure, as these end markets generally have lower average gross margins than the rest of our business. However, we expect growth in the consumer space will result in improvement to total gross margin dollars and operating profit. In addition, we are focused on efforts to improve both aspects of our gross profit, including through cost improvement and pricing.</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financial position is strong and we remain committed to deliver shareholder value through our share repurchase and dividend programs.</w:t>
      </w:r>
    </w:p>
    <w:p>
      <w:pPr>
        <w:spacing w:after="0" w:line="113" w:lineRule="exact"/>
        <w:rPr>
          <w:sz w:val="20"/>
          <w:szCs w:val="20"/>
          <w:color w:val="auto"/>
        </w:rPr>
      </w:pPr>
    </w:p>
    <w:p>
      <w:pPr>
        <w:ind w:left="900" w:right="100" w:hanging="325"/>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$2.0 billion at February 1, 2014 and we generated cash flows from operations of $448.0 million in fiscal 2014.</w:t>
      </w:r>
    </w:p>
    <w:p>
      <w:pPr>
        <w:spacing w:after="0" w:line="5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We paid a cumulative cash dividend of $0.24 per share for a total of $119.4 million during fiscal 2014 and we recently announced a dividend of $0.06 per share to be paid in the first quarter of fiscal 2015.</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We repurchased a total of 33.1 million of our common shares for $354.1 million in cash during fiscal 2014.</w:t>
      </w:r>
    </w:p>
    <w:p>
      <w:pPr>
        <w:spacing w:after="0" w:line="171"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We are currently involved in a patent litigation action with Carnegie Mellon University (“CMU”) (See “Risk Factors” under Part I, Item 1A of this Annual Report on Form 10-K and “Note 10 — Commitments and Contingencies” in the Notes to Consolidated Financial Statements for a further discussion of the risks associated with this matter and other patent litigation matters). A jury has awarded past damages of $1.17 billion, and CMU has sought pre-judgment damages of up to $322 million, post-judgment interest, attorneys’ fees, and an injunction and/or ongoing royalties. Due to the finding of willfulness during post-trial proceedings, the judge could enhance the damages by an amount up to triple the damages awarded by the jury at trial. We intend to appeal the final judgment and we would seek to stay any award of damages pending the appeal. We strongly believe that we do not infringe on the methods described in the CMU patents and that our products use our own internally developed patented read channel technology.</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0" w:type="dxa"/>
            <w:vAlign w:val="bottom"/>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3"/>
          </w:tcPr>
          <w:p>
            <w:pPr>
              <w:jc w:val="center"/>
              <w:ind w:right="86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400" w:type="dxa"/>
            <w:vAlign w:val="bottom"/>
          </w:tcPr>
          <w:p>
            <w:pPr>
              <w:spacing w:after="0"/>
              <w:rPr>
                <w:sz w:val="11"/>
                <w:szCs w:val="11"/>
                <w:color w:val="auto"/>
              </w:rPr>
            </w:pPr>
          </w:p>
        </w:tc>
        <w:tc>
          <w:tcPr>
            <w:tcW w:w="1560" w:type="dxa"/>
            <w:vAlign w:val="bottom"/>
            <w:gridSpan w:val="3"/>
          </w:tcPr>
          <w:p>
            <w:pPr>
              <w:jc w:val="right"/>
              <w:ind w:right="812"/>
              <w:spacing w:after="0" w:line="129" w:lineRule="exact"/>
              <w:rPr>
                <w:sz w:val="20"/>
                <w:szCs w:val="20"/>
                <w:color w:val="auto"/>
              </w:rPr>
            </w:pPr>
            <w:r>
              <w:rPr>
                <w:rFonts w:ascii="Arial" w:cs="Arial" w:eastAsia="Arial" w:hAnsi="Arial"/>
                <w:sz w:val="14"/>
                <w:szCs w:val="14"/>
                <w:b w:val="1"/>
                <w:bCs w:val="1"/>
                <w:color w:val="auto"/>
                <w:w w:val="87"/>
              </w:rPr>
              <w:t>February 1,</w:t>
            </w:r>
          </w:p>
        </w:tc>
        <w:tc>
          <w:tcPr>
            <w:tcW w:w="1540" w:type="dxa"/>
            <w:vAlign w:val="bottom"/>
            <w:gridSpan w:val="3"/>
          </w:tcPr>
          <w:p>
            <w:pPr>
              <w:jc w:val="center"/>
              <w:ind w:right="860"/>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8"/>
              </w:rPr>
              <w:t>January 28,</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40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gridSpan w:val="2"/>
          </w:tcPr>
          <w:p>
            <w:pPr>
              <w:jc w:val="right"/>
              <w:ind w:right="152"/>
              <w:spacing w:after="0"/>
              <w:rPr>
                <w:sz w:val="20"/>
                <w:szCs w:val="20"/>
                <w:color w:val="auto"/>
              </w:rPr>
            </w:pPr>
            <w:r>
              <w:rPr>
                <w:rFonts w:ascii="Arial" w:cs="Arial" w:eastAsia="Arial" w:hAnsi="Arial"/>
                <w:sz w:val="14"/>
                <w:szCs w:val="14"/>
                <w:b w:val="1"/>
                <w:bCs w:val="1"/>
                <w:color w:val="auto"/>
              </w:rPr>
              <w:t>2014</w:t>
            </w:r>
          </w:p>
        </w:tc>
        <w:tc>
          <w:tcPr>
            <w:tcW w:w="86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2013</w:t>
            </w:r>
          </w:p>
        </w:tc>
        <w:tc>
          <w:tcPr>
            <w:tcW w:w="34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560" w:type="dxa"/>
            <w:vAlign w:val="bottom"/>
            <w:gridSpan w:val="3"/>
            <w:shd w:val="clear" w:color="auto" w:fill="CCEEFF"/>
          </w:tcPr>
          <w:p>
            <w:pPr>
              <w:jc w:val="right"/>
              <w:ind w:right="652"/>
              <w:spacing w:after="0"/>
              <w:rPr>
                <w:sz w:val="20"/>
                <w:szCs w:val="20"/>
                <w:color w:val="auto"/>
              </w:rPr>
            </w:pPr>
            <w:r>
              <w:rPr>
                <w:rFonts w:ascii="Arial" w:cs="Arial" w:eastAsia="Arial" w:hAnsi="Arial"/>
                <w:sz w:val="18"/>
                <w:szCs w:val="18"/>
                <w:color w:val="auto"/>
              </w:rPr>
              <w:t>100.0%</w:t>
            </w:r>
          </w:p>
        </w:tc>
        <w:tc>
          <w:tcPr>
            <w:tcW w:w="10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100.0%</w:t>
            </w:r>
          </w:p>
        </w:tc>
        <w:tc>
          <w:tcPr>
            <w:tcW w:w="5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560" w:type="dxa"/>
            <w:vAlign w:val="bottom"/>
            <w:gridSpan w:val="3"/>
            <w:shd w:val="clear" w:color="auto" w:fill="CCEEFF"/>
          </w:tcPr>
          <w:p>
            <w:pPr>
              <w:jc w:val="right"/>
              <w:ind w:right="792"/>
              <w:spacing w:after="0"/>
              <w:rPr>
                <w:sz w:val="20"/>
                <w:szCs w:val="20"/>
                <w:color w:val="auto"/>
              </w:rPr>
            </w:pPr>
            <w:r>
              <w:rPr>
                <w:rFonts w:ascii="Arial" w:cs="Arial" w:eastAsia="Arial" w:hAnsi="Arial"/>
                <w:sz w:val="18"/>
                <w:szCs w:val="18"/>
                <w:color w:val="auto"/>
              </w:rPr>
              <w:t>48.9</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47.1</w:t>
            </w: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560" w:type="dxa"/>
            <w:vAlign w:val="bottom"/>
            <w:gridSpan w:val="3"/>
          </w:tcPr>
          <w:p>
            <w:pPr>
              <w:jc w:val="right"/>
              <w:ind w:right="792"/>
              <w:spacing w:after="0"/>
              <w:rPr>
                <w:sz w:val="20"/>
                <w:szCs w:val="20"/>
                <w:color w:val="auto"/>
              </w:rPr>
            </w:pPr>
            <w:r>
              <w:rPr>
                <w:rFonts w:ascii="Arial" w:cs="Arial" w:eastAsia="Arial" w:hAnsi="Arial"/>
                <w:sz w:val="18"/>
                <w:szCs w:val="18"/>
                <w:color w:val="auto"/>
              </w:rPr>
              <w:t>34.0</w:t>
            </w:r>
          </w:p>
        </w:tc>
        <w:tc>
          <w:tcPr>
            <w:tcW w:w="680" w:type="dxa"/>
            <w:vAlign w:val="bottom"/>
          </w:tcPr>
          <w:p>
            <w:pPr>
              <w:jc w:val="right"/>
              <w:spacing w:after="0"/>
              <w:rPr>
                <w:sz w:val="20"/>
                <w:szCs w:val="20"/>
                <w:color w:val="auto"/>
              </w:rPr>
            </w:pPr>
            <w:r>
              <w:rPr>
                <w:rFonts w:ascii="Arial" w:cs="Arial" w:eastAsia="Arial" w:hAnsi="Arial"/>
                <w:sz w:val="18"/>
                <w:szCs w:val="18"/>
                <w:color w:val="auto"/>
              </w:rPr>
              <w:t>33.4</w:t>
            </w:r>
          </w:p>
        </w:tc>
        <w:tc>
          <w:tcPr>
            <w:tcW w:w="3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560" w:type="dxa"/>
            <w:vAlign w:val="bottom"/>
            <w:gridSpan w:val="3"/>
            <w:shd w:val="clear" w:color="auto" w:fill="CCEEFF"/>
          </w:tcPr>
          <w:p>
            <w:pPr>
              <w:jc w:val="right"/>
              <w:ind w:right="792"/>
              <w:spacing w:after="0"/>
              <w:rPr>
                <w:sz w:val="20"/>
                <w:szCs w:val="20"/>
                <w:color w:val="auto"/>
              </w:rPr>
            </w:pPr>
            <w:r>
              <w:rPr>
                <w:rFonts w:ascii="Arial" w:cs="Arial" w:eastAsia="Arial" w:hAnsi="Arial"/>
                <w:sz w:val="18"/>
                <w:szCs w:val="18"/>
                <w:color w:val="auto"/>
              </w:rPr>
              <w:t>4.5</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560" w:type="dxa"/>
            <w:vAlign w:val="bottom"/>
            <w:gridSpan w:val="3"/>
          </w:tcPr>
          <w:p>
            <w:pPr>
              <w:jc w:val="right"/>
              <w:ind w:right="792"/>
              <w:spacing w:after="0"/>
              <w:rPr>
                <w:sz w:val="20"/>
                <w:szCs w:val="20"/>
                <w:color w:val="auto"/>
              </w:rPr>
            </w:pPr>
            <w:r>
              <w:rPr>
                <w:rFonts w:ascii="Arial" w:cs="Arial" w:eastAsia="Arial" w:hAnsi="Arial"/>
                <w:sz w:val="18"/>
                <w:szCs w:val="18"/>
                <w:color w:val="auto"/>
              </w:rPr>
              <w:t>3.1</w:t>
            </w:r>
          </w:p>
        </w:tc>
        <w:tc>
          <w:tcPr>
            <w:tcW w:w="680" w:type="dxa"/>
            <w:vAlign w:val="bottom"/>
          </w:tcPr>
          <w:p>
            <w:pPr>
              <w:jc w:val="right"/>
              <w:spacing w:after="0"/>
              <w:rPr>
                <w:sz w:val="20"/>
                <w:szCs w:val="20"/>
                <w:color w:val="auto"/>
              </w:rPr>
            </w:pPr>
            <w:r>
              <w:rPr>
                <w:rFonts w:ascii="Arial" w:cs="Arial" w:eastAsia="Arial" w:hAnsi="Arial"/>
                <w:sz w:val="18"/>
                <w:szCs w:val="18"/>
                <w:color w:val="auto"/>
              </w:rPr>
              <w:t>3.4</w:t>
            </w:r>
          </w:p>
        </w:tc>
        <w:tc>
          <w:tcPr>
            <w:tcW w:w="3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7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86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40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7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91.8</w:t>
            </w:r>
          </w:p>
        </w:tc>
        <w:tc>
          <w:tcPr>
            <w:tcW w:w="860" w:type="dxa"/>
            <w:vAlign w:val="bottom"/>
          </w:tcPr>
          <w:p>
            <w:pPr>
              <w:spacing w:after="0"/>
              <w:rPr>
                <w:sz w:val="20"/>
                <w:szCs w:val="20"/>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90.7</w:t>
            </w:r>
          </w:p>
        </w:tc>
        <w:tc>
          <w:tcPr>
            <w:tcW w:w="3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82.2</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560" w:type="dxa"/>
            <w:vAlign w:val="bottom"/>
            <w:gridSpan w:val="3"/>
            <w:shd w:val="clear" w:color="auto" w:fill="CCEEFF"/>
          </w:tcPr>
          <w:p>
            <w:pPr>
              <w:jc w:val="right"/>
              <w:ind w:right="792"/>
              <w:spacing w:after="0"/>
              <w:rPr>
                <w:sz w:val="20"/>
                <w:szCs w:val="20"/>
                <w:color w:val="auto"/>
              </w:rPr>
            </w:pPr>
            <w:r>
              <w:rPr>
                <w:rFonts w:ascii="Arial" w:cs="Arial" w:eastAsia="Arial" w:hAnsi="Arial"/>
                <w:sz w:val="18"/>
                <w:szCs w:val="18"/>
                <w:color w:val="auto"/>
              </w:rPr>
              <w:t>8.2</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17.8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7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0.7</w:t>
            </w:r>
          </w:p>
        </w:tc>
        <w:tc>
          <w:tcPr>
            <w:tcW w:w="86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3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1560" w:type="dxa"/>
            <w:vAlign w:val="bottom"/>
            <w:gridSpan w:val="3"/>
            <w:shd w:val="clear" w:color="auto" w:fill="CCEEFF"/>
          </w:tcPr>
          <w:p>
            <w:pPr>
              <w:jc w:val="right"/>
              <w:ind w:right="792"/>
              <w:spacing w:after="0"/>
              <w:rPr>
                <w:sz w:val="20"/>
                <w:szCs w:val="20"/>
                <w:color w:val="auto"/>
              </w:rPr>
            </w:pPr>
            <w:r>
              <w:rPr>
                <w:rFonts w:ascii="Arial" w:cs="Arial" w:eastAsia="Arial" w:hAnsi="Arial"/>
                <w:sz w:val="18"/>
                <w:szCs w:val="18"/>
                <w:color w:val="auto"/>
              </w:rPr>
              <w:t>8.9</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w:t>
            </w: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560" w:type="dxa"/>
            <w:vAlign w:val="bottom"/>
            <w:gridSpan w:val="3"/>
          </w:tcPr>
          <w:p>
            <w:pPr>
              <w:jc w:val="right"/>
              <w:ind w:right="752"/>
              <w:spacing w:after="0"/>
              <w:rPr>
                <w:sz w:val="20"/>
                <w:szCs w:val="20"/>
                <w:color w:val="auto"/>
              </w:rPr>
            </w:pPr>
            <w:r>
              <w:rPr>
                <w:rFonts w:ascii="Arial" w:cs="Arial" w:eastAsia="Arial" w:hAnsi="Arial"/>
                <w:sz w:val="18"/>
                <w:szCs w:val="18"/>
                <w:color w:val="auto"/>
              </w:rPr>
              <w:t>(0.3)</w:t>
            </w:r>
          </w:p>
        </w:tc>
        <w:tc>
          <w:tcPr>
            <w:tcW w:w="680" w:type="dxa"/>
            <w:vAlign w:val="bottom"/>
          </w:tcPr>
          <w:p>
            <w:pPr>
              <w:jc w:val="right"/>
              <w:spacing w:after="0"/>
              <w:rPr>
                <w:sz w:val="20"/>
                <w:szCs w:val="20"/>
                <w:color w:val="auto"/>
              </w:rPr>
            </w:pPr>
            <w:r>
              <w:rPr>
                <w:rFonts w:ascii="Arial" w:cs="Arial" w:eastAsia="Arial" w:hAnsi="Arial"/>
                <w:sz w:val="18"/>
                <w:szCs w:val="18"/>
                <w:color w:val="auto"/>
              </w:rPr>
              <w:t>0.1</w:t>
            </w:r>
          </w:p>
        </w:tc>
        <w:tc>
          <w:tcPr>
            <w:tcW w:w="3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40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8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560" w:type="dxa"/>
            <w:vAlign w:val="bottom"/>
            <w:gridSpan w:val="3"/>
            <w:shd w:val="clear" w:color="auto" w:fill="CCEEFF"/>
          </w:tcPr>
          <w:p>
            <w:pPr>
              <w:jc w:val="right"/>
              <w:ind w:right="652"/>
              <w:spacing w:after="0"/>
              <w:rPr>
                <w:sz w:val="20"/>
                <w:szCs w:val="20"/>
                <w:color w:val="auto"/>
              </w:rPr>
            </w:pPr>
            <w:r>
              <w:rPr>
                <w:rFonts w:ascii="Arial" w:cs="Arial" w:eastAsia="Arial" w:hAnsi="Arial"/>
                <w:sz w:val="18"/>
                <w:szCs w:val="18"/>
                <w:color w:val="auto"/>
              </w:rPr>
              <w:t>9.2%</w:t>
            </w:r>
          </w:p>
        </w:tc>
        <w:tc>
          <w:tcPr>
            <w:tcW w:w="10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9.7%</w:t>
            </w:r>
          </w:p>
        </w:tc>
        <w:tc>
          <w:tcPr>
            <w:tcW w:w="5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vMerge w:val="restart"/>
          </w:tcPr>
          <w:p>
            <w:pPr>
              <w:ind w:left="440"/>
              <w:spacing w:after="0"/>
              <w:rPr>
                <w:sz w:val="20"/>
                <w:szCs w:val="20"/>
                <w:color w:val="auto"/>
              </w:rPr>
            </w:pPr>
            <w:r>
              <w:rPr>
                <w:rFonts w:ascii="Arial" w:cs="Arial" w:eastAsia="Arial" w:hAnsi="Arial"/>
                <w:sz w:val="18"/>
                <w:szCs w:val="18"/>
                <w:b w:val="1"/>
                <w:bCs w:val="1"/>
                <w:i w:val="1"/>
                <w:iCs w:val="1"/>
                <w:color w:val="auto"/>
              </w:rPr>
              <w:t>Years Ended February 1, 2014 and February 2, 2013</w:t>
            </w:r>
          </w:p>
        </w:tc>
        <w:tc>
          <w:tcPr>
            <w:tcW w:w="3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20" w:type="dxa"/>
            <w:vAlign w:val="bottom"/>
          </w:tcPr>
          <w:p>
            <w:pPr>
              <w:spacing w:after="0"/>
              <w:rPr>
                <w:sz w:val="24"/>
                <w:szCs w:val="24"/>
                <w:color w:val="auto"/>
              </w:rPr>
            </w:pPr>
          </w:p>
        </w:tc>
        <w:tc>
          <w:tcPr>
            <w:tcW w:w="7400" w:type="dxa"/>
            <w:vAlign w:val="bottom"/>
            <w:vMerge w:val="continue"/>
          </w:tcPr>
          <w:p>
            <w:pPr>
              <w:spacing w:after="0"/>
              <w:rPr>
                <w:sz w:val="24"/>
                <w:szCs w:val="24"/>
                <w:color w:val="auto"/>
              </w:rPr>
            </w:pPr>
          </w:p>
        </w:tc>
        <w:tc>
          <w:tcPr>
            <w:tcW w:w="3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7400" w:type="dxa"/>
            <w:vAlign w:val="bottom"/>
          </w:tcPr>
          <w:p>
            <w:pPr>
              <w:ind w:left="440"/>
              <w:spacing w:after="0"/>
              <w:rPr>
                <w:sz w:val="20"/>
                <w:szCs w:val="20"/>
                <w:color w:val="auto"/>
              </w:rPr>
            </w:pPr>
            <w:r>
              <w:rPr>
                <w:rFonts w:ascii="Arial" w:cs="Arial" w:eastAsia="Arial" w:hAnsi="Arial"/>
                <w:sz w:val="18"/>
                <w:szCs w:val="18"/>
                <w:i w:val="1"/>
                <w:iCs w:val="1"/>
                <w:color w:val="auto"/>
              </w:rPr>
              <w:t>Net Revenue</w:t>
            </w:r>
          </w:p>
        </w:tc>
        <w:tc>
          <w:tcPr>
            <w:tcW w:w="3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4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400" w:type="dxa"/>
            <w:vAlign w:val="bottom"/>
            <w:gridSpan w:val="4"/>
          </w:tcPr>
          <w:p>
            <w:pPr>
              <w:ind w:left="420"/>
              <w:spacing w:after="0"/>
              <w:rPr>
                <w:sz w:val="20"/>
                <w:szCs w:val="20"/>
                <w:color w:val="auto"/>
              </w:rPr>
            </w:pPr>
            <w:r>
              <w:rPr>
                <w:rFonts w:ascii="Arial" w:cs="Arial" w:eastAsia="Arial" w:hAnsi="Arial"/>
                <w:sz w:val="14"/>
                <w:szCs w:val="14"/>
                <w:b w:val="1"/>
                <w:bCs w:val="1"/>
                <w:color w:val="auto"/>
              </w:rPr>
              <w:t>Year Ended</w:t>
            </w:r>
          </w:p>
        </w:tc>
        <w:tc>
          <w:tcPr>
            <w:tcW w:w="900" w:type="dxa"/>
            <w:vAlign w:val="bottom"/>
            <w:gridSpan w:val="2"/>
            <w:vMerge w:val="restart"/>
          </w:tcPr>
          <w:p>
            <w:pPr>
              <w:jc w:val="right"/>
              <w:ind w:right="200"/>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4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200" w:type="dxa"/>
            <w:vAlign w:val="bottom"/>
            <w:tcBorders>
              <w:top w:val="single" w:sz="8" w:color="auto"/>
            </w:tcBorders>
            <w:gridSpan w:val="2"/>
          </w:tcPr>
          <w:p>
            <w:pPr>
              <w:jc w:val="right"/>
              <w:ind w:right="392"/>
              <w:spacing w:after="0" w:line="129" w:lineRule="exact"/>
              <w:rPr>
                <w:sz w:val="20"/>
                <w:szCs w:val="20"/>
                <w:color w:val="auto"/>
              </w:rPr>
            </w:pPr>
            <w:r>
              <w:rPr>
                <w:rFonts w:ascii="Arial" w:cs="Arial" w:eastAsia="Arial" w:hAnsi="Arial"/>
                <w:sz w:val="14"/>
                <w:szCs w:val="14"/>
                <w:b w:val="1"/>
                <w:bCs w:val="1"/>
                <w:color w:val="auto"/>
                <w:w w:val="95"/>
              </w:rPr>
              <w:t>February 1,</w:t>
            </w:r>
          </w:p>
        </w:tc>
        <w:tc>
          <w:tcPr>
            <w:tcW w:w="1020" w:type="dxa"/>
            <w:vAlign w:val="bottom"/>
            <w:tcBorders>
              <w:top w:val="single" w:sz="8" w:color="auto"/>
            </w:tcBorders>
            <w:gridSpan w:val="2"/>
          </w:tcPr>
          <w:p>
            <w:pPr>
              <w:jc w:val="right"/>
              <w:ind w:right="60"/>
              <w:spacing w:after="0" w:line="129" w:lineRule="exact"/>
              <w:rPr>
                <w:sz w:val="20"/>
                <w:szCs w:val="20"/>
                <w:color w:val="auto"/>
              </w:rPr>
            </w:pPr>
            <w:r>
              <w:rPr>
                <w:rFonts w:ascii="Arial" w:cs="Arial" w:eastAsia="Arial" w:hAnsi="Arial"/>
                <w:sz w:val="14"/>
                <w:szCs w:val="14"/>
                <w:b w:val="1"/>
                <w:bCs w:val="1"/>
                <w:color w:val="auto"/>
              </w:rPr>
              <w:t>February 2,</w:t>
            </w:r>
          </w:p>
        </w:tc>
        <w:tc>
          <w:tcPr>
            <w:tcW w:w="520" w:type="dxa"/>
            <w:vAlign w:val="bottom"/>
          </w:tcPr>
          <w:p>
            <w:pPr>
              <w:spacing w:after="0"/>
              <w:rPr>
                <w:sz w:val="11"/>
                <w:szCs w:val="11"/>
                <w:color w:val="auto"/>
              </w:rPr>
            </w:pPr>
          </w:p>
        </w:tc>
        <w:tc>
          <w:tcPr>
            <w:tcW w:w="9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400" w:type="dxa"/>
            <w:vAlign w:val="bottom"/>
          </w:tcPr>
          <w:p>
            <w:pPr>
              <w:spacing w:after="0"/>
              <w:rPr>
                <w:sz w:val="14"/>
                <w:szCs w:val="14"/>
                <w:color w:val="auto"/>
              </w:rPr>
            </w:pPr>
          </w:p>
        </w:tc>
        <w:tc>
          <w:tcPr>
            <w:tcW w:w="1560" w:type="dxa"/>
            <w:vAlign w:val="bottom"/>
            <w:gridSpan w:val="3"/>
          </w:tcPr>
          <w:p>
            <w:pPr>
              <w:jc w:val="right"/>
              <w:ind w:right="612"/>
              <w:spacing w:after="0"/>
              <w:rPr>
                <w:sz w:val="20"/>
                <w:szCs w:val="20"/>
                <w:color w:val="auto"/>
              </w:rPr>
            </w:pPr>
            <w:r>
              <w:rPr>
                <w:rFonts w:ascii="Arial" w:cs="Arial" w:eastAsia="Arial" w:hAnsi="Arial"/>
                <w:sz w:val="14"/>
                <w:szCs w:val="14"/>
                <w:b w:val="1"/>
                <w:bCs w:val="1"/>
                <w:color w:val="auto"/>
              </w:rPr>
              <w:t>2014</w:t>
            </w:r>
          </w:p>
        </w:tc>
        <w:tc>
          <w:tcPr>
            <w:tcW w:w="102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rPr>
              <w:t>2013</w:t>
            </w:r>
          </w:p>
        </w:tc>
        <w:tc>
          <w:tcPr>
            <w:tcW w:w="52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rPr>
              <w:t>in 2014</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4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2400" w:type="dxa"/>
            <w:vAlign w:val="bottom"/>
            <w:tcBorders>
              <w:top w:val="single" w:sz="8" w:color="auto"/>
            </w:tcBorders>
            <w:gridSpan w:val="4"/>
          </w:tcPr>
          <w:p>
            <w:pPr>
              <w:ind w:left="420"/>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7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560" w:type="dxa"/>
            <w:vAlign w:val="bottom"/>
            <w:gridSpan w:val="3"/>
            <w:shd w:val="clear" w:color="auto" w:fill="CCEEFF"/>
          </w:tcPr>
          <w:p>
            <w:pPr>
              <w:jc w:val="right"/>
              <w:ind w:right="332"/>
              <w:spacing w:after="0"/>
              <w:rPr>
                <w:sz w:val="20"/>
                <w:szCs w:val="20"/>
                <w:color w:val="auto"/>
              </w:rPr>
            </w:pPr>
            <w:r>
              <w:rPr>
                <w:rFonts w:ascii="Arial" w:cs="Arial" w:eastAsia="Arial" w:hAnsi="Arial"/>
                <w:sz w:val="18"/>
                <w:szCs w:val="18"/>
                <w:color w:val="auto"/>
              </w:rPr>
              <w:t>$3,404,400</w:t>
            </w:r>
          </w:p>
        </w:tc>
        <w:tc>
          <w:tcPr>
            <w:tcW w:w="1540" w:type="dxa"/>
            <w:vAlign w:val="bottom"/>
            <w:gridSpan w:val="3"/>
            <w:shd w:val="clear" w:color="auto" w:fill="CCEEFF"/>
          </w:tcPr>
          <w:p>
            <w:pPr>
              <w:jc w:val="right"/>
              <w:ind w:right="520"/>
              <w:spacing w:after="0"/>
              <w:rPr>
                <w:sz w:val="20"/>
                <w:szCs w:val="20"/>
                <w:color w:val="auto"/>
              </w:rPr>
            </w:pPr>
            <w:r>
              <w:rPr>
                <w:rFonts w:ascii="Arial" w:cs="Arial" w:eastAsia="Arial" w:hAnsi="Arial"/>
                <w:sz w:val="18"/>
                <w:szCs w:val="18"/>
                <w:color w:val="auto"/>
              </w:rPr>
              <w:t>$3,168,630</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7.4%</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Net revenue is gross revenue, net of accruals for estimated sales returns and rebates. The increase in net revenue during fiscal 2014 was driven by an increase in sales of our storage products, as we continued to see growth for our 500-gigabyte-per-platter products and increased demand for enterprise drives at a top North America based HDD customer. In addition, revenue for solid-state drive controllers increased significantly compared to the prior year, as these products continue to gain traction and popularity. We experienced growth in revenue for our mobile and wireless products in the second half of fiscal 2014 due to successful launches of our new multi-core 3G mobile devices with key OEM’s into mobile handsets and tablets. In addition, we saw increased demand for our wireless products driven by the holiday ramp up of new gaming platforms at two of our customers and the launch of new programs such as the Google Chromecast. However, mobile and wireless revenue was flat year over year as fiscal 2013 included significantly higher revenue from a North American handset customer. The increase in net revenue for fiscal 2014 was partially offset by slightly lower revenue for our networking products, primarily due to a weaker overall market and its effect on our networking customers.</w:t>
      </w:r>
    </w:p>
    <w:p>
      <w:pPr>
        <w:spacing w:after="0" w:line="12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In the first quarter of fiscal 2015, we expect net revenue to be in the range of $870 million to $910 million, a decline of 4% at the midpoint, driven mainly by normal seasonality.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7580" w:type="dxa"/>
            <w:vAlign w:val="bottom"/>
          </w:tcPr>
          <w:p>
            <w:pPr>
              <w:spacing w:after="0"/>
              <w:rPr>
                <w:sz w:val="15"/>
                <w:szCs w:val="15"/>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5"/>
                <w:szCs w:val="15"/>
                <w:color w:val="auto"/>
              </w:rPr>
            </w:pPr>
          </w:p>
        </w:tc>
        <w:tc>
          <w:tcPr>
            <w:tcW w:w="720" w:type="dxa"/>
            <w:vAlign w:val="bottom"/>
          </w:tcPr>
          <w:p>
            <w:pPr>
              <w:spacing w:after="0"/>
              <w:rPr>
                <w:sz w:val="15"/>
                <w:szCs w:val="15"/>
                <w:color w:val="auto"/>
              </w:rPr>
            </w:pPr>
          </w:p>
        </w:tc>
        <w:tc>
          <w:tcPr>
            <w:tcW w:w="620" w:type="dxa"/>
            <w:vAlign w:val="bottom"/>
            <w:tcBorders>
              <w:bottom w:val="single" w:sz="8" w:color="auto"/>
            </w:tcBorders>
          </w:tcPr>
          <w:p>
            <w:pPr>
              <w:spacing w:after="0"/>
              <w:rPr>
                <w:sz w:val="15"/>
                <w:szCs w:val="15"/>
                <w:color w:val="auto"/>
              </w:rPr>
            </w:pPr>
          </w:p>
        </w:tc>
        <w:tc>
          <w:tcPr>
            <w:tcW w:w="200" w:type="dxa"/>
            <w:vAlign w:val="bottom"/>
          </w:tcPr>
          <w:p>
            <w:pPr>
              <w:spacing w:after="0"/>
              <w:rPr>
                <w:sz w:val="15"/>
                <w:szCs w:val="15"/>
                <w:color w:val="auto"/>
              </w:rPr>
            </w:pPr>
          </w:p>
        </w:tc>
      </w:tr>
      <w:tr>
        <w:trPr>
          <w:trHeight w:val="123"/>
        </w:trPr>
        <w:tc>
          <w:tcPr>
            <w:tcW w:w="7580" w:type="dxa"/>
            <w:vAlign w:val="bottom"/>
          </w:tcPr>
          <w:p>
            <w:pPr>
              <w:spacing w:after="0"/>
              <w:rPr>
                <w:sz w:val="10"/>
                <w:szCs w:val="10"/>
                <w:color w:val="auto"/>
              </w:rPr>
            </w:pPr>
          </w:p>
        </w:tc>
        <w:tc>
          <w:tcPr>
            <w:tcW w:w="1500" w:type="dxa"/>
            <w:vAlign w:val="bottom"/>
          </w:tcPr>
          <w:p>
            <w:pPr>
              <w:jc w:val="right"/>
              <w:ind w:right="686"/>
              <w:spacing w:after="0" w:line="123" w:lineRule="exact"/>
              <w:rPr>
                <w:sz w:val="20"/>
                <w:szCs w:val="20"/>
                <w:color w:val="auto"/>
              </w:rPr>
            </w:pPr>
            <w:r>
              <w:rPr>
                <w:rFonts w:ascii="Arial" w:cs="Arial" w:eastAsia="Arial" w:hAnsi="Arial"/>
                <w:sz w:val="14"/>
                <w:szCs w:val="14"/>
                <w:b w:val="1"/>
                <w:bCs w:val="1"/>
                <w:color w:val="auto"/>
                <w:w w:val="95"/>
              </w:rPr>
              <w:t>February 1,</w:t>
            </w:r>
          </w:p>
        </w:tc>
        <w:tc>
          <w:tcPr>
            <w:tcW w:w="800" w:type="dxa"/>
            <w:vAlign w:val="bottom"/>
          </w:tcPr>
          <w:p>
            <w:pPr>
              <w:jc w:val="center"/>
              <w:spacing w:after="0" w:line="123" w:lineRule="exact"/>
              <w:rPr>
                <w:sz w:val="20"/>
                <w:szCs w:val="20"/>
                <w:color w:val="auto"/>
              </w:rPr>
            </w:pPr>
            <w:r>
              <w:rPr>
                <w:rFonts w:ascii="Arial" w:cs="Arial" w:eastAsia="Arial" w:hAnsi="Arial"/>
                <w:sz w:val="14"/>
                <w:szCs w:val="14"/>
                <w:b w:val="1"/>
                <w:bCs w:val="1"/>
                <w:color w:val="auto"/>
                <w:w w:val="90"/>
              </w:rPr>
              <w:t>February 2,</w:t>
            </w:r>
          </w:p>
        </w:tc>
        <w:tc>
          <w:tcPr>
            <w:tcW w:w="720" w:type="dxa"/>
            <w:vAlign w:val="bottom"/>
          </w:tcPr>
          <w:p>
            <w:pPr>
              <w:spacing w:after="0"/>
              <w:rPr>
                <w:sz w:val="10"/>
                <w:szCs w:val="10"/>
                <w:color w:val="auto"/>
              </w:rPr>
            </w:pPr>
          </w:p>
        </w:tc>
        <w:tc>
          <w:tcPr>
            <w:tcW w:w="820" w:type="dxa"/>
            <w:vAlign w:val="bottom"/>
            <w:gridSpan w:val="2"/>
          </w:tcPr>
          <w:p>
            <w:pPr>
              <w:jc w:val="center"/>
              <w:ind w:right="200"/>
              <w:spacing w:after="0" w:line="123" w:lineRule="exact"/>
              <w:rPr>
                <w:sz w:val="20"/>
                <w:szCs w:val="20"/>
                <w:color w:val="auto"/>
              </w:rPr>
            </w:pPr>
            <w:r>
              <w:rPr>
                <w:rFonts w:ascii="Arial" w:cs="Arial" w:eastAsia="Arial" w:hAnsi="Arial"/>
                <w:sz w:val="14"/>
                <w:szCs w:val="14"/>
                <w:b w:val="1"/>
                <w:bCs w:val="1"/>
                <w:color w:val="auto"/>
                <w:w w:val="91"/>
              </w:rPr>
              <w:t>% Change</w:t>
            </w:r>
          </w:p>
        </w:tc>
      </w:tr>
      <w:tr>
        <w:trPr>
          <w:trHeight w:val="161"/>
        </w:trPr>
        <w:tc>
          <w:tcPr>
            <w:tcW w:w="7580" w:type="dxa"/>
            <w:vAlign w:val="bottom"/>
          </w:tcPr>
          <w:p>
            <w:pPr>
              <w:spacing w:after="0"/>
              <w:rPr>
                <w:sz w:val="14"/>
                <w:szCs w:val="14"/>
                <w:color w:val="auto"/>
              </w:rPr>
            </w:pPr>
          </w:p>
        </w:tc>
        <w:tc>
          <w:tcPr>
            <w:tcW w:w="1500" w:type="dxa"/>
            <w:vAlign w:val="bottom"/>
          </w:tcPr>
          <w:p>
            <w:pPr>
              <w:jc w:val="right"/>
              <w:ind w:right="906"/>
              <w:spacing w:after="0"/>
              <w:rPr>
                <w:sz w:val="20"/>
                <w:szCs w:val="20"/>
                <w:color w:val="auto"/>
              </w:rPr>
            </w:pPr>
            <w:r>
              <w:rPr>
                <w:rFonts w:ascii="Arial" w:cs="Arial" w:eastAsia="Arial" w:hAnsi="Arial"/>
                <w:sz w:val="14"/>
                <w:szCs w:val="14"/>
                <w:b w:val="1"/>
                <w:bCs w:val="1"/>
                <w:color w:val="auto"/>
              </w:rPr>
              <w:t>2014</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2013</w:t>
            </w:r>
          </w:p>
        </w:tc>
        <w:tc>
          <w:tcPr>
            <w:tcW w:w="720" w:type="dxa"/>
            <w:vAlign w:val="bottom"/>
          </w:tcPr>
          <w:p>
            <w:pPr>
              <w:spacing w:after="0"/>
              <w:rPr>
                <w:sz w:val="14"/>
                <w:szCs w:val="14"/>
                <w:color w:val="auto"/>
              </w:rPr>
            </w:pPr>
          </w:p>
        </w:tc>
        <w:tc>
          <w:tcPr>
            <w:tcW w:w="8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2014</w:t>
            </w:r>
          </w:p>
        </w:tc>
      </w:tr>
      <w:tr>
        <w:trPr>
          <w:trHeight w:val="142"/>
        </w:trPr>
        <w:tc>
          <w:tcPr>
            <w:tcW w:w="7580" w:type="dxa"/>
            <w:vAlign w:val="bottom"/>
          </w:tcPr>
          <w:p>
            <w:pPr>
              <w:spacing w:after="0"/>
              <w:rPr>
                <w:sz w:val="12"/>
                <w:szCs w:val="12"/>
                <w:color w:val="auto"/>
              </w:rPr>
            </w:pPr>
          </w:p>
        </w:tc>
        <w:tc>
          <w:tcPr>
            <w:tcW w:w="3020" w:type="dxa"/>
            <w:vAlign w:val="bottom"/>
            <w:tcBorders>
              <w:top w:val="single" w:sz="8" w:color="auto"/>
            </w:tcBorders>
            <w:gridSpan w:val="3"/>
          </w:tcPr>
          <w:p>
            <w:pPr>
              <w:jc w:val="right"/>
              <w:ind w:right="22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6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shd w:val="clear" w:color="auto" w:fill="CCEEFF"/>
          </w:tcPr>
          <w:p>
            <w:pPr>
              <w:jc w:val="right"/>
              <w:ind w:right="646"/>
              <w:spacing w:after="0"/>
              <w:rPr>
                <w:sz w:val="20"/>
                <w:szCs w:val="20"/>
                <w:color w:val="auto"/>
              </w:rPr>
            </w:pPr>
            <w:r>
              <w:rPr>
                <w:rFonts w:ascii="Arial" w:cs="Arial" w:eastAsia="Arial" w:hAnsi="Arial"/>
                <w:sz w:val="18"/>
                <w:szCs w:val="18"/>
                <w:color w:val="auto"/>
                <w:w w:val="84"/>
              </w:rPr>
              <w:t>$1,663,730</w:t>
            </w:r>
          </w:p>
        </w:tc>
        <w:tc>
          <w:tcPr>
            <w:tcW w:w="15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86"/>
              </w:rPr>
              <w:t>$1,493,497</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11.4%</w:t>
            </w: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48.9%</w:t>
            </w:r>
          </w:p>
        </w:tc>
        <w:tc>
          <w:tcPr>
            <w:tcW w:w="1520" w:type="dxa"/>
            <w:vAlign w:val="bottom"/>
            <w:gridSpan w:val="2"/>
          </w:tcPr>
          <w:p>
            <w:pPr>
              <w:jc w:val="right"/>
              <w:ind w:right="580"/>
              <w:spacing w:after="0"/>
              <w:rPr>
                <w:sz w:val="20"/>
                <w:szCs w:val="20"/>
                <w:color w:val="auto"/>
              </w:rPr>
            </w:pPr>
            <w:r>
              <w:rPr>
                <w:rFonts w:ascii="Arial" w:cs="Arial" w:eastAsia="Arial" w:hAnsi="Arial"/>
                <w:sz w:val="18"/>
                <w:szCs w:val="18"/>
                <w:color w:val="auto"/>
              </w:rPr>
              <w:t>47.1%</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right="20" w:firstLine="456"/>
        <w:spacing w:after="0" w:line="314" w:lineRule="auto"/>
        <w:rPr>
          <w:sz w:val="20"/>
          <w:szCs w:val="20"/>
          <w:color w:val="auto"/>
        </w:rPr>
      </w:pPr>
      <w:r>
        <w:rPr>
          <w:rFonts w:ascii="Arial" w:cs="Arial" w:eastAsia="Arial" w:hAnsi="Arial"/>
          <w:sz w:val="15"/>
          <w:szCs w:val="15"/>
          <w:color w:val="auto"/>
        </w:rPr>
        <w:t>Cost of goods sold as a percentage of net revenue was higher in fiscal 2014. Although we continue to benefit from lower commodity costs driven by our replacement of gold in our products with copper, manufacturing costs were higher in fiscal 2014 due to increased royalty expense and the ramp up of new product designs in consumer-oriented products.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05"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We currently expect that cost of goods sold as a percentage of net revenue in the first quarter of fiscal 2015 will be approximately flat compared to the amount in the fourth quarter of fiscal 2014 based on the midpoint of our expected range.</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3"/>
          </w:tcPr>
          <w:p>
            <w:pPr>
              <w:ind w:left="480"/>
              <w:spacing w:after="0"/>
              <w:rPr>
                <w:sz w:val="20"/>
                <w:szCs w:val="20"/>
                <w:color w:val="auto"/>
              </w:rPr>
            </w:pPr>
            <w:r>
              <w:rPr>
                <w:rFonts w:ascii="Arial" w:cs="Arial" w:eastAsia="Arial" w:hAnsi="Arial"/>
                <w:sz w:val="14"/>
                <w:szCs w:val="14"/>
                <w:b w:val="1"/>
                <w:bCs w:val="1"/>
                <w:color w:val="auto"/>
                <w:w w:val="85"/>
              </w:rPr>
              <w:t>Year Ended</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5700" w:type="dxa"/>
            <w:vAlign w:val="bottom"/>
          </w:tcPr>
          <w:p>
            <w:pPr>
              <w:spacing w:after="0"/>
              <w:rPr>
                <w:sz w:val="11"/>
                <w:szCs w:val="11"/>
                <w:color w:val="auto"/>
              </w:rPr>
            </w:pPr>
          </w:p>
        </w:tc>
        <w:tc>
          <w:tcPr>
            <w:tcW w:w="378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1,</w:t>
            </w:r>
          </w:p>
        </w:tc>
        <w:tc>
          <w:tcPr>
            <w:tcW w:w="42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r>
      <w:tr>
        <w:trPr>
          <w:trHeight w:val="161"/>
        </w:trPr>
        <w:tc>
          <w:tcPr>
            <w:tcW w:w="5700" w:type="dxa"/>
            <w:vAlign w:val="bottom"/>
          </w:tcPr>
          <w:p>
            <w:pPr>
              <w:spacing w:after="0"/>
              <w:rPr>
                <w:sz w:val="14"/>
                <w:szCs w:val="14"/>
                <w:color w:val="auto"/>
              </w:rPr>
            </w:pPr>
          </w:p>
        </w:tc>
        <w:tc>
          <w:tcPr>
            <w:tcW w:w="3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2014</w:t>
            </w:r>
          </w:p>
        </w:tc>
        <w:tc>
          <w:tcPr>
            <w:tcW w:w="4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r>
      <w:tr>
        <w:trPr>
          <w:trHeight w:val="142"/>
        </w:trPr>
        <w:tc>
          <w:tcPr>
            <w:tcW w:w="5700" w:type="dxa"/>
            <w:vAlign w:val="bottom"/>
          </w:tcPr>
          <w:p>
            <w:pPr>
              <w:spacing w:after="0"/>
              <w:rPr>
                <w:sz w:val="12"/>
                <w:szCs w:val="12"/>
                <w:color w:val="auto"/>
              </w:rPr>
            </w:pPr>
          </w:p>
        </w:tc>
        <w:tc>
          <w:tcPr>
            <w:tcW w:w="3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40" w:type="dxa"/>
            <w:vAlign w:val="bottom"/>
            <w:gridSpan w:val="4"/>
          </w:tcPr>
          <w:p>
            <w:pPr>
              <w:jc w:val="right"/>
              <w:ind w:right="436"/>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8,863</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8,142</w:t>
            </w:r>
          </w:p>
        </w:tc>
      </w:tr>
      <w:tr>
        <w:trPr>
          <w:trHeight w:val="216"/>
        </w:trPr>
        <w:tc>
          <w:tcPr>
            <w:tcW w:w="57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109,432</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87,149</w:t>
            </w:r>
          </w:p>
        </w:tc>
      </w:tr>
      <w:tr>
        <w:trPr>
          <w:trHeight w:val="216"/>
        </w:trPr>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13,940</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13,278</w:t>
            </w:r>
          </w:p>
        </w:tc>
      </w:tr>
      <w:tr>
        <w:trPr>
          <w:trHeight w:val="223"/>
        </w:trPr>
        <w:tc>
          <w:tcPr>
            <w:tcW w:w="57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3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23,638</w:t>
            </w:r>
          </w:p>
        </w:tc>
        <w:tc>
          <w:tcPr>
            <w:tcW w:w="4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18,711</w:t>
            </w:r>
          </w:p>
        </w:tc>
        <w:tc>
          <w:tcPr>
            <w:tcW w:w="100" w:type="dxa"/>
            <w:vAlign w:val="bottom"/>
          </w:tcPr>
          <w:p>
            <w:pPr>
              <w:spacing w:after="0"/>
              <w:rPr>
                <w:sz w:val="19"/>
                <w:szCs w:val="19"/>
                <w:color w:val="auto"/>
              </w:rPr>
            </w:pPr>
          </w:p>
        </w:tc>
      </w:tr>
      <w:tr>
        <w:trPr>
          <w:trHeight w:val="216"/>
        </w:trPr>
        <w:tc>
          <w:tcPr>
            <w:tcW w:w="5700" w:type="dxa"/>
            <w:vAlign w:val="bottom"/>
            <w:shd w:val="clear" w:color="auto" w:fill="CCEEFF"/>
          </w:tcPr>
          <w:p>
            <w:pPr>
              <w:spacing w:after="0"/>
              <w:rPr>
                <w:sz w:val="18"/>
                <w:szCs w:val="18"/>
                <w:color w:val="auto"/>
              </w:rPr>
            </w:pPr>
          </w:p>
        </w:tc>
        <w:tc>
          <w:tcPr>
            <w:tcW w:w="3880" w:type="dxa"/>
            <w:vAlign w:val="bottom"/>
            <w:gridSpan w:val="2"/>
            <w:shd w:val="clear" w:color="auto" w:fill="CCEEFF"/>
          </w:tcPr>
          <w:p>
            <w:pPr>
              <w:ind w:left="378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155,873</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127,280</w:t>
            </w:r>
          </w:p>
        </w:tc>
      </w:tr>
      <w:tr>
        <w:trPr>
          <w:trHeight w:val="20"/>
        </w:trPr>
        <w:tc>
          <w:tcPr>
            <w:tcW w:w="5700" w:type="dxa"/>
            <w:vAlign w:val="bottom"/>
          </w:tcPr>
          <w:p>
            <w:pPr>
              <w:spacing w:after="0" w:line="20" w:lineRule="exact"/>
              <w:rPr>
                <w:sz w:val="1"/>
                <w:szCs w:val="1"/>
                <w:color w:val="auto"/>
              </w:rPr>
            </w:pPr>
          </w:p>
        </w:tc>
        <w:tc>
          <w:tcPr>
            <w:tcW w:w="3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Share-based compensation expense increased by $28.6 million in fiscal 2014 compared to fiscal 2013. These increases were primarily due to increased headcount in fiscal 2014, combined with higher expense related to the employee stock purchase plan. The offering price of the employee stock purchase plan was reset in June 2012 and also in December 2012 due to the decline in our stock price. In addition, equity awards granted in fiscal 2014 contained shorter vesting periods, which accelerated the amount of share-based compensation expense.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00" w:type="dxa"/>
            <w:vAlign w:val="bottom"/>
          </w:tcPr>
          <w:p>
            <w:pPr>
              <w:spacing w:after="0"/>
              <w:rPr>
                <w:sz w:val="14"/>
                <w:szCs w:val="14"/>
                <w:color w:val="auto"/>
              </w:rPr>
            </w:pPr>
          </w:p>
        </w:tc>
        <w:tc>
          <w:tcPr>
            <w:tcW w:w="92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5"/>
              </w:rPr>
              <w:t>February 1,</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5"/>
              </w:rPr>
              <w:t>February 2,</w:t>
            </w:r>
          </w:p>
        </w:tc>
        <w:tc>
          <w:tcPr>
            <w:tcW w:w="60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1500" w:type="dxa"/>
            <w:vAlign w:val="bottom"/>
            <w:tcBorders>
              <w:bottom w:val="single" w:sz="8" w:color="auto"/>
            </w:tcBorders>
          </w:tcPr>
          <w:p>
            <w:pPr>
              <w:jc w:val="right"/>
              <w:ind w:right="886"/>
              <w:spacing w:after="0"/>
              <w:rPr>
                <w:sz w:val="20"/>
                <w:szCs w:val="20"/>
                <w:color w:val="auto"/>
              </w:rPr>
            </w:pPr>
            <w:r>
              <w:rPr>
                <w:rFonts w:ascii="Arial" w:cs="Arial" w:eastAsia="Arial" w:hAnsi="Arial"/>
                <w:sz w:val="14"/>
                <w:szCs w:val="14"/>
                <w:b w:val="1"/>
                <w:bCs w:val="1"/>
                <w:color w:val="auto"/>
              </w:rPr>
              <w:t>2014</w:t>
            </w:r>
          </w:p>
        </w:tc>
        <w:tc>
          <w:tcPr>
            <w:tcW w:w="800" w:type="dxa"/>
            <w:vAlign w:val="bottom"/>
            <w:tcBorders>
              <w:bottom w:val="single" w:sz="8" w:color="auto"/>
            </w:tcBorders>
          </w:tcPr>
          <w:p>
            <w:pPr>
              <w:jc w:val="right"/>
              <w:ind w:right="182"/>
              <w:spacing w:after="0"/>
              <w:rPr>
                <w:sz w:val="20"/>
                <w:szCs w:val="20"/>
                <w:color w:val="auto"/>
              </w:rPr>
            </w:pPr>
            <w:r>
              <w:rPr>
                <w:rFonts w:ascii="Arial" w:cs="Arial" w:eastAsia="Arial" w:hAnsi="Arial"/>
                <w:sz w:val="14"/>
                <w:szCs w:val="14"/>
                <w:b w:val="1"/>
                <w:bCs w:val="1"/>
                <w:color w:val="auto"/>
              </w:rPr>
              <w:t>2013</w:t>
            </w:r>
          </w:p>
        </w:tc>
        <w:tc>
          <w:tcPr>
            <w:tcW w:w="6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06"/>
              <w:spacing w:after="0"/>
              <w:rPr>
                <w:sz w:val="20"/>
                <w:szCs w:val="20"/>
                <w:color w:val="auto"/>
              </w:rPr>
            </w:pPr>
            <w:r>
              <w:rPr>
                <w:rFonts w:ascii="Arial" w:cs="Arial" w:eastAsia="Arial" w:hAnsi="Arial"/>
                <w:sz w:val="14"/>
                <w:szCs w:val="14"/>
                <w:b w:val="1"/>
                <w:bCs w:val="1"/>
                <w:color w:val="auto"/>
              </w:rPr>
              <w:t>2014</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2900" w:type="dxa"/>
            <w:vAlign w:val="bottom"/>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500" w:type="dxa"/>
            <w:vAlign w:val="bottom"/>
            <w:shd w:val="clear" w:color="auto" w:fill="CCEEFF"/>
          </w:tcPr>
          <w:p>
            <w:pPr>
              <w:jc w:val="right"/>
              <w:ind w:right="626"/>
              <w:spacing w:after="0"/>
              <w:rPr>
                <w:sz w:val="20"/>
                <w:szCs w:val="20"/>
                <w:color w:val="auto"/>
              </w:rPr>
            </w:pPr>
            <w:r>
              <w:rPr>
                <w:rFonts w:ascii="Arial" w:cs="Arial" w:eastAsia="Arial" w:hAnsi="Arial"/>
                <w:sz w:val="18"/>
                <w:szCs w:val="18"/>
                <w:color w:val="auto"/>
                <w:w w:val="86"/>
              </w:rPr>
              <w:t>$1,156,885</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$1,057,445</w:t>
            </w:r>
          </w:p>
        </w:tc>
        <w:tc>
          <w:tcPr>
            <w:tcW w:w="6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34.0%</w:t>
            </w:r>
          </w:p>
        </w:tc>
        <w:tc>
          <w:tcPr>
            <w:tcW w:w="1400" w:type="dxa"/>
            <w:vAlign w:val="bottom"/>
            <w:gridSpan w:val="2"/>
          </w:tcPr>
          <w:p>
            <w:pPr>
              <w:jc w:val="right"/>
              <w:ind w:right="460"/>
              <w:spacing w:after="0"/>
              <w:rPr>
                <w:sz w:val="20"/>
                <w:szCs w:val="20"/>
                <w:color w:val="auto"/>
              </w:rPr>
            </w:pPr>
            <w:r>
              <w:rPr>
                <w:rFonts w:ascii="Arial" w:cs="Arial" w:eastAsia="Arial" w:hAnsi="Arial"/>
                <w:sz w:val="18"/>
                <w:szCs w:val="18"/>
                <w:color w:val="auto"/>
              </w:rPr>
              <w:t>33.4%</w:t>
            </w:r>
          </w:p>
        </w:tc>
        <w:tc>
          <w:tcPr>
            <w:tcW w:w="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Research and development expense increased by $99.4 million in fiscal 2014 compared to fiscal 2013, primarily attributable to higher personnel-related costs as a result of increased headcount in fiscal 2014 to support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332" w:lineRule="auto"/>
        <w:rPr>
          <w:sz w:val="20"/>
          <w:szCs w:val="20"/>
          <w:color w:val="auto"/>
        </w:rPr>
      </w:pPr>
      <w:r>
        <w:rPr>
          <w:rFonts w:ascii="Arial" w:cs="Arial" w:eastAsia="Arial" w:hAnsi="Arial"/>
          <w:sz w:val="16"/>
          <w:szCs w:val="16"/>
          <w:color w:val="auto"/>
        </w:rPr>
        <w:t>new designs, higher share-based compensation and higher average employee compensation. The increase in expense also reflects higher computer-aided design tool costs, and higher depreciation and amortization costs as we continue to invest in the development of innovative solutions.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1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2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44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87"/>
              </w:rPr>
              <w:t>February 1,</w:t>
            </w:r>
          </w:p>
        </w:tc>
        <w:tc>
          <w:tcPr>
            <w:tcW w:w="7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2"/>
              </w:rPr>
              <w:t>February 2,</w:t>
            </w:r>
          </w:p>
        </w:tc>
        <w:tc>
          <w:tcPr>
            <w:tcW w:w="70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1440" w:type="dxa"/>
            <w:vAlign w:val="bottom"/>
          </w:tcPr>
          <w:p>
            <w:pPr>
              <w:jc w:val="right"/>
              <w:ind w:right="886"/>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jc w:val="right"/>
              <w:ind w:right="142"/>
              <w:spacing w:after="0"/>
              <w:rPr>
                <w:sz w:val="20"/>
                <w:szCs w:val="20"/>
                <w:color w:val="auto"/>
              </w:rPr>
            </w:pPr>
            <w:r>
              <w:rPr>
                <w:rFonts w:ascii="Arial" w:cs="Arial" w:eastAsia="Arial" w:hAnsi="Arial"/>
                <w:sz w:val="14"/>
                <w:szCs w:val="14"/>
                <w:b w:val="1"/>
                <w:bCs w:val="1"/>
                <w:color w:val="auto"/>
              </w:rPr>
              <w:t>2013</w:t>
            </w:r>
          </w:p>
        </w:tc>
        <w:tc>
          <w:tcPr>
            <w:tcW w:w="700" w:type="dxa"/>
            <w:vAlign w:val="bottom"/>
          </w:tcPr>
          <w:p>
            <w:pPr>
              <w:spacing w:after="0"/>
              <w:rPr>
                <w:sz w:val="14"/>
                <w:szCs w:val="14"/>
                <w:color w:val="auto"/>
              </w:rPr>
            </w:pPr>
          </w:p>
        </w:tc>
        <w:tc>
          <w:tcPr>
            <w:tcW w:w="9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286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40" w:type="dxa"/>
            <w:vAlign w:val="bottom"/>
            <w:shd w:val="clear" w:color="auto" w:fill="CCEEFF"/>
          </w:tcPr>
          <w:p>
            <w:pPr>
              <w:jc w:val="right"/>
              <w:ind w:right="686"/>
              <w:spacing w:after="0"/>
              <w:rPr>
                <w:sz w:val="20"/>
                <w:szCs w:val="20"/>
                <w:color w:val="auto"/>
              </w:rPr>
            </w:pPr>
            <w:r>
              <w:rPr>
                <w:rFonts w:ascii="Arial" w:cs="Arial" w:eastAsia="Arial" w:hAnsi="Arial"/>
                <w:sz w:val="18"/>
                <w:szCs w:val="18"/>
                <w:color w:val="auto"/>
                <w:w w:val="82"/>
              </w:rPr>
              <w:t>$ 152,698</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$ 161,817</w:t>
            </w:r>
          </w:p>
        </w:tc>
        <w:tc>
          <w:tcPr>
            <w:tcW w:w="7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440" w:type="dxa"/>
            <w:vAlign w:val="bottom"/>
          </w:tcPr>
          <w:p>
            <w:pPr>
              <w:jc w:val="right"/>
              <w:ind w:right="526"/>
              <w:spacing w:after="0"/>
              <w:rPr>
                <w:sz w:val="20"/>
                <w:szCs w:val="20"/>
                <w:color w:val="auto"/>
              </w:rPr>
            </w:pPr>
            <w:r>
              <w:rPr>
                <w:rFonts w:ascii="Arial" w:cs="Arial" w:eastAsia="Arial" w:hAnsi="Arial"/>
                <w:sz w:val="18"/>
                <w:szCs w:val="18"/>
                <w:color w:val="auto"/>
              </w:rPr>
              <w:t>4.5%</w:t>
            </w:r>
          </w:p>
        </w:tc>
        <w:tc>
          <w:tcPr>
            <w:tcW w:w="1420" w:type="dxa"/>
            <w:vAlign w:val="bottom"/>
            <w:gridSpan w:val="2"/>
          </w:tcPr>
          <w:p>
            <w:pPr>
              <w:jc w:val="right"/>
              <w:ind w:right="560"/>
              <w:spacing w:after="0"/>
              <w:rPr>
                <w:sz w:val="20"/>
                <w:szCs w:val="20"/>
                <w:color w:val="auto"/>
              </w:rPr>
            </w:pPr>
            <w:r>
              <w:rPr>
                <w:rFonts w:ascii="Arial" w:cs="Arial" w:eastAsia="Arial" w:hAnsi="Arial"/>
                <w:sz w:val="18"/>
                <w:szCs w:val="18"/>
                <w:color w:val="auto"/>
              </w:rPr>
              <w:t>5.1%</w:t>
            </w: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Selling and marketing expense decreased by $9.1 million in fiscal 2014 compared to fiscal 2013. The decrease was primarily attributable to lower costs for marketing communication activities as a result of efforts to control discretionary spending and lower personnel-related costs caused by a decrease in headcount in fiscal 2014.</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1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2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44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87"/>
              </w:rPr>
              <w:t>February 1,</w:t>
            </w:r>
          </w:p>
        </w:tc>
        <w:tc>
          <w:tcPr>
            <w:tcW w:w="7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2"/>
              </w:rPr>
              <w:t>February 2,</w:t>
            </w:r>
          </w:p>
        </w:tc>
        <w:tc>
          <w:tcPr>
            <w:tcW w:w="70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1440" w:type="dxa"/>
            <w:vAlign w:val="bottom"/>
          </w:tcPr>
          <w:p>
            <w:pPr>
              <w:jc w:val="right"/>
              <w:ind w:right="886"/>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jc w:val="right"/>
              <w:ind w:right="142"/>
              <w:spacing w:after="0"/>
              <w:rPr>
                <w:sz w:val="20"/>
                <w:szCs w:val="20"/>
                <w:color w:val="auto"/>
              </w:rPr>
            </w:pPr>
            <w:r>
              <w:rPr>
                <w:rFonts w:ascii="Arial" w:cs="Arial" w:eastAsia="Arial" w:hAnsi="Arial"/>
                <w:sz w:val="14"/>
                <w:szCs w:val="14"/>
                <w:b w:val="1"/>
                <w:bCs w:val="1"/>
                <w:color w:val="auto"/>
              </w:rPr>
              <w:t>2013</w:t>
            </w:r>
          </w:p>
        </w:tc>
        <w:tc>
          <w:tcPr>
            <w:tcW w:w="700" w:type="dxa"/>
            <w:vAlign w:val="bottom"/>
          </w:tcPr>
          <w:p>
            <w:pPr>
              <w:spacing w:after="0"/>
              <w:rPr>
                <w:sz w:val="14"/>
                <w:szCs w:val="14"/>
                <w:color w:val="auto"/>
              </w:rPr>
            </w:pPr>
          </w:p>
        </w:tc>
        <w:tc>
          <w:tcPr>
            <w:tcW w:w="9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286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40" w:type="dxa"/>
            <w:vAlign w:val="bottom"/>
            <w:shd w:val="clear" w:color="auto" w:fill="CCEEFF"/>
          </w:tcPr>
          <w:p>
            <w:pPr>
              <w:jc w:val="right"/>
              <w:ind w:right="686"/>
              <w:spacing w:after="0"/>
              <w:rPr>
                <w:sz w:val="20"/>
                <w:szCs w:val="20"/>
                <w:color w:val="auto"/>
              </w:rPr>
            </w:pPr>
            <w:r>
              <w:rPr>
                <w:rFonts w:ascii="Arial" w:cs="Arial" w:eastAsia="Arial" w:hAnsi="Arial"/>
                <w:sz w:val="18"/>
                <w:szCs w:val="18"/>
                <w:color w:val="auto"/>
                <w:w w:val="82"/>
              </w:rPr>
              <w:t>$ 106,471</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$ 108,514</w:t>
            </w:r>
          </w:p>
        </w:tc>
        <w:tc>
          <w:tcPr>
            <w:tcW w:w="7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440" w:type="dxa"/>
            <w:vAlign w:val="bottom"/>
          </w:tcPr>
          <w:p>
            <w:pPr>
              <w:jc w:val="right"/>
              <w:ind w:right="526"/>
              <w:spacing w:after="0"/>
              <w:rPr>
                <w:sz w:val="20"/>
                <w:szCs w:val="20"/>
                <w:color w:val="auto"/>
              </w:rPr>
            </w:pPr>
            <w:r>
              <w:rPr>
                <w:rFonts w:ascii="Arial" w:cs="Arial" w:eastAsia="Arial" w:hAnsi="Arial"/>
                <w:sz w:val="18"/>
                <w:szCs w:val="18"/>
                <w:color w:val="auto"/>
              </w:rPr>
              <w:t>3.1%</w:t>
            </w:r>
          </w:p>
        </w:tc>
        <w:tc>
          <w:tcPr>
            <w:tcW w:w="1420" w:type="dxa"/>
            <w:vAlign w:val="bottom"/>
            <w:gridSpan w:val="2"/>
          </w:tcPr>
          <w:p>
            <w:pPr>
              <w:jc w:val="right"/>
              <w:ind w:right="560"/>
              <w:spacing w:after="0"/>
              <w:rPr>
                <w:sz w:val="20"/>
                <w:szCs w:val="20"/>
                <w:color w:val="auto"/>
              </w:rPr>
            </w:pPr>
            <w:r>
              <w:rPr>
                <w:rFonts w:ascii="Arial" w:cs="Arial" w:eastAsia="Arial" w:hAnsi="Arial"/>
                <w:sz w:val="18"/>
                <w:szCs w:val="18"/>
                <w:color w:val="auto"/>
              </w:rPr>
              <w:t>3.4%</w:t>
            </w: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General and administrative expense decreased by $2.0 million in fiscal 2014 compared to fiscal 2013. The decrease was primarily attributable to lower legal costs for ongoing litigation matters, partially offset by higher share-based compensation.</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1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2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gridSpan w:val="2"/>
            <w:vMerge w:val="restart"/>
          </w:tcPr>
          <w:p>
            <w:pPr>
              <w:jc w:val="center"/>
              <w:ind w:right="18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44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87"/>
              </w:rPr>
              <w:t>February 1,</w:t>
            </w:r>
          </w:p>
        </w:tc>
        <w:tc>
          <w:tcPr>
            <w:tcW w:w="7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2"/>
              </w:rPr>
              <w:t>February 2,</w:t>
            </w:r>
          </w:p>
        </w:tc>
        <w:tc>
          <w:tcPr>
            <w:tcW w:w="70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1440" w:type="dxa"/>
            <w:vAlign w:val="bottom"/>
          </w:tcPr>
          <w:p>
            <w:pPr>
              <w:jc w:val="right"/>
              <w:ind w:right="886"/>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jc w:val="right"/>
              <w:ind w:right="142"/>
              <w:spacing w:after="0"/>
              <w:rPr>
                <w:sz w:val="20"/>
                <w:szCs w:val="20"/>
                <w:color w:val="auto"/>
              </w:rPr>
            </w:pPr>
            <w:r>
              <w:rPr>
                <w:rFonts w:ascii="Arial" w:cs="Arial" w:eastAsia="Arial" w:hAnsi="Arial"/>
                <w:sz w:val="14"/>
                <w:szCs w:val="14"/>
                <w:b w:val="1"/>
                <w:bCs w:val="1"/>
                <w:color w:val="auto"/>
              </w:rPr>
              <w:t>2013</w:t>
            </w:r>
          </w:p>
        </w:tc>
        <w:tc>
          <w:tcPr>
            <w:tcW w:w="700" w:type="dxa"/>
            <w:vAlign w:val="bottom"/>
          </w:tcPr>
          <w:p>
            <w:pPr>
              <w:spacing w:after="0"/>
              <w:rPr>
                <w:sz w:val="14"/>
                <w:szCs w:val="14"/>
                <w:color w:val="auto"/>
              </w:rPr>
            </w:pPr>
          </w:p>
        </w:tc>
        <w:tc>
          <w:tcPr>
            <w:tcW w:w="9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286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440" w:type="dxa"/>
            <w:vAlign w:val="bottom"/>
            <w:shd w:val="clear" w:color="auto" w:fill="CCEEFF"/>
          </w:tcPr>
          <w:p>
            <w:pPr>
              <w:jc w:val="right"/>
              <w:ind w:right="686"/>
              <w:spacing w:after="0"/>
              <w:rPr>
                <w:sz w:val="20"/>
                <w:szCs w:val="20"/>
                <w:color w:val="auto"/>
              </w:rPr>
            </w:pPr>
            <w:r>
              <w:rPr>
                <w:rFonts w:ascii="Arial" w:cs="Arial" w:eastAsia="Arial" w:hAnsi="Arial"/>
                <w:sz w:val="18"/>
                <w:szCs w:val="18"/>
                <w:color w:val="auto"/>
                <w:w w:val="87"/>
              </w:rPr>
              <w:t>$  43,925</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52,700</w:t>
            </w:r>
          </w:p>
        </w:tc>
        <w:tc>
          <w:tcPr>
            <w:tcW w:w="7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(16.7)%</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440" w:type="dxa"/>
            <w:vAlign w:val="bottom"/>
          </w:tcPr>
          <w:p>
            <w:pPr>
              <w:jc w:val="right"/>
              <w:ind w:right="526"/>
              <w:spacing w:after="0"/>
              <w:rPr>
                <w:sz w:val="20"/>
                <w:szCs w:val="20"/>
                <w:color w:val="auto"/>
              </w:rPr>
            </w:pPr>
            <w:r>
              <w:rPr>
                <w:rFonts w:ascii="Arial" w:cs="Arial" w:eastAsia="Arial" w:hAnsi="Arial"/>
                <w:sz w:val="18"/>
                <w:szCs w:val="18"/>
                <w:color w:val="auto"/>
              </w:rPr>
              <w:t>1.3%</w:t>
            </w:r>
          </w:p>
        </w:tc>
        <w:tc>
          <w:tcPr>
            <w:tcW w:w="1420" w:type="dxa"/>
            <w:vAlign w:val="bottom"/>
            <w:gridSpan w:val="2"/>
          </w:tcPr>
          <w:p>
            <w:pPr>
              <w:jc w:val="right"/>
              <w:ind w:right="560"/>
              <w:spacing w:after="0"/>
              <w:rPr>
                <w:sz w:val="20"/>
                <w:szCs w:val="20"/>
                <w:color w:val="auto"/>
              </w:rPr>
            </w:pPr>
            <w:r>
              <w:rPr>
                <w:rFonts w:ascii="Arial" w:cs="Arial" w:eastAsia="Arial" w:hAnsi="Arial"/>
                <w:sz w:val="18"/>
                <w:szCs w:val="18"/>
                <w:color w:val="auto"/>
              </w:rPr>
              <w:t>1.7%</w:t>
            </w: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Amortization and write-off of acquired intangible assets decreased by $8.8 million in fiscal 2014 compared to fiscal 2013. The decrease was primarily due to certain intangible assets that became fully amortized. In addition, fiscal 2014 included a write-off of $8.1 million for the impairment of an acquired intangible asset compared to fiscal 2013, which included a $0.8 million write-off of IPR&amp;D related to an abandoned project.</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2"/>
          </w:tcPr>
          <w:p>
            <w:pPr>
              <w:jc w:val="center"/>
              <w:ind w:right="92"/>
              <w:spacing w:after="0"/>
              <w:rPr>
                <w:sz w:val="20"/>
                <w:szCs w:val="20"/>
                <w:color w:val="auto"/>
              </w:rPr>
            </w:pPr>
            <w:r>
              <w:rPr>
                <w:rFonts w:ascii="Arial" w:cs="Arial" w:eastAsia="Arial" w:hAnsi="Arial"/>
                <w:sz w:val="14"/>
                <w:szCs w:val="14"/>
                <w:b w:val="1"/>
                <w:bCs w:val="1"/>
                <w:color w:val="auto"/>
                <w:w w:val="88"/>
              </w:rPr>
              <w:t>Year Ended</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544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1,</w:t>
            </w:r>
          </w:p>
        </w:tc>
        <w:tc>
          <w:tcPr>
            <w:tcW w:w="72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w w:val="96"/>
              </w:rPr>
              <w:t>2014</w:t>
            </w:r>
          </w:p>
        </w:tc>
        <w:tc>
          <w:tcPr>
            <w:tcW w:w="7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20" w:type="dxa"/>
            <w:vAlign w:val="bottom"/>
            <w:gridSpan w:val="3"/>
          </w:tcPr>
          <w:p>
            <w:pPr>
              <w:jc w:val="center"/>
              <w:ind w:left="279"/>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5600" w:type="dxa"/>
            <w:vAlign w:val="bottom"/>
            <w:gridSpan w:val="2"/>
            <w:shd w:val="clear" w:color="auto" w:fill="CCEEFF"/>
          </w:tcPr>
          <w:p>
            <w:pPr>
              <w:ind w:left="54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88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Selling and marketing</w:t>
            </w:r>
          </w:p>
        </w:tc>
        <w:tc>
          <w:tcPr>
            <w:tcW w:w="5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795</w:t>
            </w: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54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1,051</w:t>
            </w:r>
          </w:p>
        </w:tc>
        <w:tc>
          <w:tcPr>
            <w:tcW w:w="7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760" w:type="dxa"/>
            <w:vAlign w:val="bottom"/>
          </w:tcPr>
          <w:p>
            <w:pPr>
              <w:spacing w:after="0"/>
              <w:rPr>
                <w:sz w:val="19"/>
                <w:szCs w:val="19"/>
                <w:color w:val="auto"/>
              </w:rPr>
            </w:pPr>
          </w:p>
        </w:tc>
        <w:tc>
          <w:tcPr>
            <w:tcW w:w="5600" w:type="dxa"/>
            <w:vAlign w:val="bottom"/>
            <w:gridSpan w:val="2"/>
          </w:tcPr>
          <w:p>
            <w:pPr>
              <w:ind w:left="54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4,732</w:t>
            </w:r>
          </w:p>
        </w:tc>
        <w:tc>
          <w:tcPr>
            <w:tcW w:w="88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1,257</w:t>
            </w:r>
          </w:p>
        </w:tc>
        <w:tc>
          <w:tcPr>
            <w:tcW w:w="0" w:type="dxa"/>
            <w:vAlign w:val="bottom"/>
          </w:tcPr>
          <w:p>
            <w:pPr>
              <w:spacing w:after="0"/>
              <w:rPr>
                <w:sz w:val="1"/>
                <w:szCs w:val="1"/>
                <w:color w:val="auto"/>
              </w:rPr>
            </w:pPr>
          </w:p>
        </w:tc>
      </w:tr>
      <w:tr>
        <w:trPr>
          <w:trHeight w:val="20"/>
        </w:trPr>
        <w:tc>
          <w:tcPr>
            <w:tcW w:w="3760" w:type="dxa"/>
            <w:vAlign w:val="bottom"/>
          </w:tcPr>
          <w:p>
            <w:pPr>
              <w:spacing w:after="0" w:line="20" w:lineRule="exact"/>
              <w:rPr>
                <w:sz w:val="1"/>
                <w:szCs w:val="1"/>
                <w:color w:val="auto"/>
              </w:rPr>
            </w:pPr>
          </w:p>
        </w:tc>
        <w:tc>
          <w:tcPr>
            <w:tcW w:w="5440" w:type="dxa"/>
            <w:vAlign w:val="bottom"/>
            <w:vMerge w:val="restart"/>
          </w:tcPr>
          <w:p>
            <w:pPr>
              <w:jc w:val="right"/>
              <w:ind w:right="3312"/>
              <w:spacing w:after="0"/>
              <w:rPr>
                <w:sz w:val="20"/>
                <w:szCs w:val="20"/>
                <w:color w:val="auto"/>
              </w:rPr>
            </w:pPr>
            <w:r>
              <w:rPr>
                <w:rFonts w:ascii="Arial" w:cs="Arial" w:eastAsia="Arial" w:hAnsi="Arial"/>
                <w:sz w:val="18"/>
                <w:szCs w:val="18"/>
                <w:color w:val="auto"/>
              </w:rPr>
              <w:t>49</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60" w:type="dxa"/>
            <w:vAlign w:val="bottom"/>
          </w:tcPr>
          <w:p>
            <w:pPr>
              <w:spacing w:after="0"/>
              <w:rPr>
                <w:sz w:val="24"/>
                <w:szCs w:val="24"/>
                <w:color w:val="auto"/>
              </w:rPr>
            </w:pPr>
          </w:p>
        </w:tc>
        <w:tc>
          <w:tcPr>
            <w:tcW w:w="544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We recorded a $4.2 million charge primarily related to the closure of two sites in fiscal 2014. This amount included $2.8 million of severance costs, $1.3 million for other exit-related costs in connection with vacating three facilities and $0.1 million for the write off of equipment. All activities related to the closure of the two sites were substantially completed by the end of the fiscal year.</w:t>
      </w:r>
    </w:p>
    <w:p>
      <w:pPr>
        <w:spacing w:after="0" w:line="14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During fiscal 2014, we also continued to make payments and incur ongoing operating expenses related to vacated facilities under previous restructure actions.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60" w:type="dxa"/>
            <w:vAlign w:val="bottom"/>
          </w:tcPr>
          <w:p>
            <w:pPr>
              <w:spacing w:after="0"/>
              <w:rPr>
                <w:sz w:val="14"/>
                <w:szCs w:val="14"/>
                <w:color w:val="auto"/>
              </w:rPr>
            </w:pPr>
          </w:p>
        </w:tc>
        <w:tc>
          <w:tcPr>
            <w:tcW w:w="1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2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60" w:type="dxa"/>
            <w:vAlign w:val="bottom"/>
          </w:tcPr>
          <w:p>
            <w:pPr>
              <w:spacing w:after="0"/>
              <w:rPr>
                <w:sz w:val="11"/>
                <w:szCs w:val="11"/>
                <w:color w:val="auto"/>
              </w:rPr>
            </w:pPr>
          </w:p>
        </w:tc>
        <w:tc>
          <w:tcPr>
            <w:tcW w:w="144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87"/>
              </w:rPr>
              <w:t>February 1,</w:t>
            </w:r>
          </w:p>
        </w:tc>
        <w:tc>
          <w:tcPr>
            <w:tcW w:w="7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Pr>
          <w:p>
            <w:pPr>
              <w:spacing w:after="0"/>
              <w:rPr>
                <w:sz w:val="11"/>
                <w:szCs w:val="11"/>
                <w:color w:val="auto"/>
              </w:rPr>
            </w:pPr>
          </w:p>
        </w:tc>
        <w:tc>
          <w:tcPr>
            <w:tcW w:w="9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60" w:type="dxa"/>
            <w:vAlign w:val="bottom"/>
          </w:tcPr>
          <w:p>
            <w:pPr>
              <w:spacing w:after="0"/>
              <w:rPr>
                <w:sz w:val="14"/>
                <w:szCs w:val="14"/>
                <w:color w:val="auto"/>
              </w:rPr>
            </w:pPr>
          </w:p>
        </w:tc>
        <w:tc>
          <w:tcPr>
            <w:tcW w:w="1440" w:type="dxa"/>
            <w:vAlign w:val="bottom"/>
          </w:tcPr>
          <w:p>
            <w:pPr>
              <w:jc w:val="right"/>
              <w:ind w:right="886"/>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jc w:val="right"/>
              <w:ind w:right="142"/>
              <w:spacing w:after="0"/>
              <w:rPr>
                <w:sz w:val="20"/>
                <w:szCs w:val="20"/>
                <w:color w:val="auto"/>
              </w:rPr>
            </w:pPr>
            <w:r>
              <w:rPr>
                <w:rFonts w:ascii="Arial" w:cs="Arial" w:eastAsia="Arial" w:hAnsi="Arial"/>
                <w:sz w:val="14"/>
                <w:szCs w:val="14"/>
                <w:b w:val="1"/>
                <w:bCs w:val="1"/>
                <w:color w:val="auto"/>
              </w:rPr>
              <w:t>2013</w:t>
            </w:r>
          </w:p>
        </w:tc>
        <w:tc>
          <w:tcPr>
            <w:tcW w:w="700" w:type="dxa"/>
            <w:vAlign w:val="bottom"/>
          </w:tcPr>
          <w:p>
            <w:pPr>
              <w:spacing w:after="0"/>
              <w:rPr>
                <w:sz w:val="14"/>
                <w:szCs w:val="14"/>
                <w:color w:val="auto"/>
              </w:rPr>
            </w:pPr>
          </w:p>
        </w:tc>
        <w:tc>
          <w:tcPr>
            <w:tcW w:w="9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7660" w:type="dxa"/>
            <w:vAlign w:val="bottom"/>
          </w:tcPr>
          <w:p>
            <w:pPr>
              <w:spacing w:after="0"/>
              <w:rPr>
                <w:sz w:val="12"/>
                <w:szCs w:val="12"/>
                <w:color w:val="auto"/>
              </w:rPr>
            </w:pPr>
          </w:p>
        </w:tc>
        <w:tc>
          <w:tcPr>
            <w:tcW w:w="286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440" w:type="dxa"/>
            <w:vAlign w:val="bottom"/>
            <w:shd w:val="clear" w:color="auto" w:fill="CCEEFF"/>
          </w:tcPr>
          <w:p>
            <w:pPr>
              <w:jc w:val="right"/>
              <w:ind w:right="686"/>
              <w:spacing w:after="0"/>
              <w:rPr>
                <w:sz w:val="20"/>
                <w:szCs w:val="20"/>
                <w:color w:val="auto"/>
              </w:rPr>
            </w:pPr>
            <w:r>
              <w:rPr>
                <w:rFonts w:ascii="Arial" w:cs="Arial" w:eastAsia="Arial" w:hAnsi="Arial"/>
                <w:sz w:val="18"/>
                <w:szCs w:val="18"/>
                <w:color w:val="auto"/>
                <w:w w:val="87"/>
              </w:rPr>
              <w:t>$  25,566</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15,533</w:t>
            </w:r>
          </w:p>
        </w:tc>
        <w:tc>
          <w:tcPr>
            <w:tcW w:w="7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64.6%</w:t>
            </w:r>
          </w:p>
        </w:tc>
        <w:tc>
          <w:tcPr>
            <w:tcW w:w="0" w:type="dxa"/>
            <w:vAlign w:val="bottom"/>
          </w:tcPr>
          <w:p>
            <w:pPr>
              <w:spacing w:after="0"/>
              <w:rPr>
                <w:sz w:val="1"/>
                <w:szCs w:val="1"/>
                <w:color w:val="auto"/>
              </w:rPr>
            </w:pPr>
          </w:p>
        </w:tc>
      </w:tr>
      <w:tr>
        <w:trPr>
          <w:trHeight w:val="222"/>
        </w:trPr>
        <w:tc>
          <w:tcPr>
            <w:tcW w:w="7660" w:type="dxa"/>
            <w:vAlign w:val="bottom"/>
          </w:tcPr>
          <w:p>
            <w:pPr>
              <w:spacing w:after="0"/>
              <w:rPr>
                <w:sz w:val="20"/>
                <w:szCs w:val="20"/>
                <w:color w:val="auto"/>
              </w:rPr>
            </w:pPr>
            <w:r>
              <w:rPr>
                <w:rFonts w:ascii="Arial" w:cs="Arial" w:eastAsia="Arial" w:hAnsi="Arial"/>
                <w:sz w:val="18"/>
                <w:szCs w:val="18"/>
                <w:color w:val="auto"/>
              </w:rPr>
              <w:t>% of net revenue</w:t>
            </w:r>
          </w:p>
        </w:tc>
        <w:tc>
          <w:tcPr>
            <w:tcW w:w="1440" w:type="dxa"/>
            <w:vAlign w:val="bottom"/>
          </w:tcPr>
          <w:p>
            <w:pPr>
              <w:jc w:val="right"/>
              <w:ind w:right="546"/>
              <w:spacing w:after="0"/>
              <w:rPr>
                <w:sz w:val="20"/>
                <w:szCs w:val="20"/>
                <w:color w:val="auto"/>
              </w:rPr>
            </w:pPr>
            <w:r>
              <w:rPr>
                <w:rFonts w:ascii="Arial" w:cs="Arial" w:eastAsia="Arial" w:hAnsi="Arial"/>
                <w:sz w:val="18"/>
                <w:szCs w:val="18"/>
                <w:color w:val="auto"/>
              </w:rPr>
              <w:t>0.7%</w:t>
            </w:r>
          </w:p>
        </w:tc>
        <w:tc>
          <w:tcPr>
            <w:tcW w:w="1420" w:type="dxa"/>
            <w:vAlign w:val="bottom"/>
            <w:gridSpan w:val="2"/>
          </w:tcPr>
          <w:p>
            <w:pPr>
              <w:jc w:val="right"/>
              <w:ind w:right="560"/>
              <w:spacing w:after="0"/>
              <w:rPr>
                <w:sz w:val="20"/>
                <w:szCs w:val="20"/>
                <w:color w:val="auto"/>
              </w:rPr>
            </w:pPr>
            <w:r>
              <w:rPr>
                <w:rFonts w:ascii="Arial" w:cs="Arial" w:eastAsia="Arial" w:hAnsi="Arial"/>
                <w:sz w:val="18"/>
                <w:szCs w:val="18"/>
                <w:color w:val="auto"/>
              </w:rPr>
              <w:t>0.5%</w:t>
            </w: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Interest and other income, net, increased by $10.0 million in fiscal 2014 as compared to fiscal 2013, primarily due to a $7.0 million gain on the sale of a business (See “Note 2 — Acquisitions and Divestitures” in our Notes to the Consolidated Financial Statements set forth in Part II, Item 8 of the Annual Report on Form 10-K for further information) and the impact of the strengthening of the U.S. dollar on our foreign currency denominated tax liabilities. This was partially offset by lower interest income from lower average cash and investment balances, lower realized investment gains, and higher imputed interest expense related to technology license obligations during fiscal 2014. We also had $1.5 million in write downs of equity investments in fiscal 2014.</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6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3020" w:type="dxa"/>
            <w:vAlign w:val="bottom"/>
            <w:gridSpan w:val="3"/>
          </w:tcPr>
          <w:p>
            <w:pPr>
              <w:jc w:val="right"/>
              <w:ind w:right="1540"/>
              <w:spacing w:after="0"/>
              <w:rPr>
                <w:sz w:val="20"/>
                <w:szCs w:val="20"/>
                <w:color w:val="auto"/>
              </w:rPr>
            </w:pPr>
            <w:r>
              <w:rPr>
                <w:rFonts w:ascii="Arial" w:cs="Arial" w:eastAsia="Arial" w:hAnsi="Arial"/>
                <w:sz w:val="14"/>
                <w:szCs w:val="14"/>
                <w:b w:val="1"/>
                <w:bCs w:val="1"/>
                <w:color w:val="auto"/>
              </w:rPr>
              <w:t>Year Ended</w:t>
            </w:r>
          </w:p>
        </w:tc>
        <w:tc>
          <w:tcPr>
            <w:tcW w:w="102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960" w:type="dxa"/>
            <w:vAlign w:val="bottom"/>
          </w:tcPr>
          <w:p>
            <w:pPr>
              <w:spacing w:after="0"/>
              <w:rPr>
                <w:sz w:val="11"/>
                <w:szCs w:val="11"/>
                <w:color w:val="auto"/>
              </w:rPr>
            </w:pPr>
          </w:p>
        </w:tc>
        <w:tc>
          <w:tcPr>
            <w:tcW w:w="2420" w:type="dxa"/>
            <w:vAlign w:val="bottom"/>
          </w:tcPr>
          <w:p>
            <w:pPr>
              <w:spacing w:after="0"/>
              <w:rPr>
                <w:sz w:val="11"/>
                <w:szCs w:val="11"/>
                <w:color w:val="auto"/>
              </w:rPr>
            </w:pPr>
          </w:p>
        </w:tc>
        <w:tc>
          <w:tcPr>
            <w:tcW w:w="900" w:type="dxa"/>
            <w:vAlign w:val="bottom"/>
            <w:tcBorders>
              <w:top w:val="single" w:sz="8" w:color="auto"/>
            </w:tcBorders>
          </w:tcPr>
          <w:p>
            <w:pPr>
              <w:jc w:val="right"/>
              <w:ind w:right="152"/>
              <w:spacing w:after="0" w:line="129" w:lineRule="exact"/>
              <w:rPr>
                <w:sz w:val="20"/>
                <w:szCs w:val="20"/>
                <w:color w:val="auto"/>
              </w:rPr>
            </w:pPr>
            <w:r>
              <w:rPr>
                <w:rFonts w:ascii="Arial" w:cs="Arial" w:eastAsia="Arial" w:hAnsi="Arial"/>
                <w:sz w:val="14"/>
                <w:szCs w:val="14"/>
                <w:b w:val="1"/>
                <w:bCs w:val="1"/>
                <w:color w:val="auto"/>
                <w:w w:val="87"/>
              </w:rPr>
              <w:t>February 1,</w:t>
            </w:r>
          </w:p>
        </w:tc>
        <w:tc>
          <w:tcPr>
            <w:tcW w:w="14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February 2,</w:t>
            </w:r>
          </w:p>
        </w:tc>
        <w:tc>
          <w:tcPr>
            <w:tcW w:w="720" w:type="dxa"/>
            <w:vAlign w:val="bottom"/>
          </w:tcPr>
          <w:p>
            <w:pPr>
              <w:spacing w:after="0"/>
              <w:rPr>
                <w:sz w:val="11"/>
                <w:szCs w:val="11"/>
                <w:color w:val="auto"/>
              </w:rPr>
            </w:pPr>
          </w:p>
        </w:tc>
        <w:tc>
          <w:tcPr>
            <w:tcW w:w="10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960" w:type="dxa"/>
            <w:vAlign w:val="bottom"/>
          </w:tcPr>
          <w:p>
            <w:pPr>
              <w:spacing w:after="0"/>
              <w:rPr>
                <w:sz w:val="14"/>
                <w:szCs w:val="14"/>
                <w:color w:val="auto"/>
              </w:rPr>
            </w:pPr>
          </w:p>
        </w:tc>
        <w:tc>
          <w:tcPr>
            <w:tcW w:w="332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2014</w:t>
            </w:r>
          </w:p>
        </w:tc>
        <w:tc>
          <w:tcPr>
            <w:tcW w:w="14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2013</w:t>
            </w:r>
          </w:p>
        </w:tc>
        <w:tc>
          <w:tcPr>
            <w:tcW w:w="720" w:type="dxa"/>
            <w:vAlign w:val="bottom"/>
          </w:tcPr>
          <w:p>
            <w:pPr>
              <w:spacing w:after="0"/>
              <w:rPr>
                <w:sz w:val="14"/>
                <w:szCs w:val="14"/>
                <w:color w:val="auto"/>
              </w:rPr>
            </w:pPr>
          </w:p>
        </w:tc>
        <w:tc>
          <w:tcPr>
            <w:tcW w:w="10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in 2014</w:t>
            </w:r>
          </w:p>
        </w:tc>
        <w:tc>
          <w:tcPr>
            <w:tcW w:w="0" w:type="dxa"/>
            <w:vAlign w:val="bottom"/>
          </w:tcPr>
          <w:p>
            <w:pPr>
              <w:spacing w:after="0"/>
              <w:rPr>
                <w:sz w:val="1"/>
                <w:szCs w:val="1"/>
                <w:color w:val="auto"/>
              </w:rPr>
            </w:pPr>
          </w:p>
        </w:tc>
      </w:tr>
      <w:tr>
        <w:trPr>
          <w:trHeight w:val="142"/>
        </w:trPr>
        <w:tc>
          <w:tcPr>
            <w:tcW w:w="49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90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40"/>
              <w:spacing w:after="0" w:line="142" w:lineRule="exact"/>
              <w:rPr>
                <w:sz w:val="20"/>
                <w:szCs w:val="20"/>
                <w:color w:val="auto"/>
              </w:rPr>
            </w:pPr>
            <w:r>
              <w:rPr>
                <w:rFonts w:ascii="Arial" w:cs="Arial" w:eastAsia="Arial" w:hAnsi="Arial"/>
                <w:sz w:val="14"/>
                <w:szCs w:val="14"/>
                <w:b w:val="1"/>
                <w:bCs w:val="1"/>
                <w:color w:val="auto"/>
                <w:w w:val="83"/>
              </w:rPr>
              <w:t>(in thousands, except percentages)</w:t>
            </w:r>
          </w:p>
        </w:tc>
        <w:tc>
          <w:tcPr>
            <w:tcW w:w="7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320" w:type="dxa"/>
            <w:vAlign w:val="bottom"/>
            <w:gridSpan w:val="2"/>
            <w:shd w:val="clear" w:color="auto" w:fill="CCEEFF"/>
          </w:tcPr>
          <w:p>
            <w:pPr>
              <w:jc w:val="right"/>
              <w:ind w:right="92"/>
              <w:spacing w:after="0"/>
              <w:rPr>
                <w:sz w:val="20"/>
                <w:szCs w:val="20"/>
                <w:color w:val="auto"/>
              </w:rPr>
            </w:pPr>
            <w:r>
              <w:rPr>
                <w:rFonts w:ascii="Arial" w:cs="Arial" w:eastAsia="Arial" w:hAnsi="Arial"/>
                <w:sz w:val="18"/>
                <w:szCs w:val="18"/>
                <w:color w:val="auto"/>
              </w:rPr>
              <w:t>$  (9,063)</w:t>
            </w:r>
          </w:p>
        </w:tc>
        <w:tc>
          <w:tcPr>
            <w:tcW w:w="21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  3,605</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(351.4)%</w:t>
            </w:r>
          </w:p>
        </w:tc>
        <w:tc>
          <w:tcPr>
            <w:tcW w:w="0" w:type="dxa"/>
            <w:vAlign w:val="bottom"/>
          </w:tcPr>
          <w:p>
            <w:pPr>
              <w:spacing w:after="0"/>
              <w:rPr>
                <w:sz w:val="1"/>
                <w:szCs w:val="1"/>
                <w:color w:val="auto"/>
              </w:rPr>
            </w:pPr>
          </w:p>
        </w:tc>
      </w:tr>
      <w:tr>
        <w:trPr>
          <w:trHeight w:val="222"/>
        </w:trPr>
        <w:tc>
          <w:tcPr>
            <w:tcW w:w="4960" w:type="dxa"/>
            <w:vAlign w:val="bottom"/>
          </w:tcPr>
          <w:p>
            <w:pPr>
              <w:spacing w:after="0"/>
              <w:rPr>
                <w:sz w:val="20"/>
                <w:szCs w:val="20"/>
                <w:color w:val="auto"/>
              </w:rPr>
            </w:pPr>
            <w:r>
              <w:rPr>
                <w:rFonts w:ascii="Arial" w:cs="Arial" w:eastAsia="Arial" w:hAnsi="Arial"/>
                <w:sz w:val="18"/>
                <w:szCs w:val="18"/>
                <w:color w:val="auto"/>
              </w:rPr>
              <w:t>% of net revenue</w:t>
            </w:r>
          </w:p>
        </w:tc>
        <w:tc>
          <w:tcPr>
            <w:tcW w:w="332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2120" w:type="dxa"/>
            <w:vAlign w:val="bottom"/>
            <w:gridSpan w:val="2"/>
          </w:tcPr>
          <w:p>
            <w:pPr>
              <w:jc w:val="right"/>
              <w:ind w:right="580"/>
              <w:spacing w:after="0"/>
              <w:rPr>
                <w:sz w:val="20"/>
                <w:szCs w:val="20"/>
                <w:color w:val="auto"/>
              </w:rPr>
            </w:pPr>
            <w:r>
              <w:rPr>
                <w:rFonts w:ascii="Arial" w:cs="Arial" w:eastAsia="Arial" w:hAnsi="Arial"/>
                <w:sz w:val="18"/>
                <w:szCs w:val="18"/>
                <w:color w:val="auto"/>
              </w:rPr>
              <w:t>0.1%</w:t>
            </w:r>
          </w:p>
        </w:tc>
        <w:tc>
          <w:tcPr>
            <w:tcW w:w="7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income tax benefit for fiscal 2014 included the current income tax liability of $13.2 million plus a $3.9 million reduction in net deferred tax assets that includes $1.2 million charge for the settlement of an audit in a non-U.S. jurisdiction. These tax charges were offset by a net reduction in unrecognized tax benefits of $22.6 million combined with a $3.9 million tax benefit due to return-to-provision adjustments upon filing of tax returns in fiscal 2014 that includes a $0.5 million benefit from the settlement of an audit in a non-U.S. jurisdiction. The reduction in net deferred tax assets was mostly due to an increase in the Singapore deferred tax liability since the Singapore government has not yet granted an extension of the tax incentive arrangement in Singapore which expires in June 2014 (See “Note 9 — Income Taxes” in our Notes to the Consolidated Financial Statements set forth in Part II, Item 8 of the Annual Report on Form 10-K for further information). The net reduction in unrecognized tax benefits primarily arose from the expiration of statute of limitations in non-U.S. jurisdictions and from the settlement of two audits in non-U.S. jurisdictions less an increase in current unrecognized tax estimates.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Years Ended February 2, 2013 and January 28, 2012</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20" w:type="dxa"/>
            <w:vAlign w:val="bottom"/>
          </w:tcPr>
          <w:p>
            <w:pPr>
              <w:spacing w:after="0"/>
              <w:rPr>
                <w:sz w:val="14"/>
                <w:szCs w:val="14"/>
                <w:color w:val="auto"/>
              </w:rPr>
            </w:pPr>
          </w:p>
        </w:tc>
        <w:tc>
          <w:tcPr>
            <w:tcW w:w="3440" w:type="dxa"/>
            <w:vAlign w:val="bottom"/>
          </w:tcPr>
          <w:p>
            <w:pPr>
              <w:spacing w:after="0"/>
              <w:rPr>
                <w:sz w:val="14"/>
                <w:szCs w:val="14"/>
                <w:color w:val="auto"/>
              </w:rPr>
            </w:pPr>
          </w:p>
        </w:tc>
        <w:tc>
          <w:tcPr>
            <w:tcW w:w="2720" w:type="dxa"/>
            <w:vAlign w:val="bottom"/>
            <w:gridSpan w:val="3"/>
          </w:tcPr>
          <w:p>
            <w:pPr>
              <w:ind w:left="760"/>
              <w:spacing w:after="0"/>
              <w:rPr>
                <w:sz w:val="20"/>
                <w:szCs w:val="20"/>
                <w:color w:val="auto"/>
              </w:rPr>
            </w:pPr>
            <w:r>
              <w:rPr>
                <w:rFonts w:ascii="Arial" w:cs="Arial" w:eastAsia="Arial" w:hAnsi="Arial"/>
                <w:sz w:val="14"/>
                <w:szCs w:val="14"/>
                <w:b w:val="1"/>
                <w:bCs w:val="1"/>
                <w:color w:val="auto"/>
              </w:rPr>
              <w:t>Year Ended</w:t>
            </w:r>
          </w:p>
        </w:tc>
        <w:tc>
          <w:tcPr>
            <w:tcW w:w="9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320" w:type="dxa"/>
            <w:vAlign w:val="bottom"/>
          </w:tcPr>
          <w:p>
            <w:pPr>
              <w:spacing w:after="0"/>
              <w:rPr>
                <w:sz w:val="11"/>
                <w:szCs w:val="11"/>
                <w:color w:val="auto"/>
              </w:rPr>
            </w:pPr>
          </w:p>
        </w:tc>
        <w:tc>
          <w:tcPr>
            <w:tcW w:w="3440" w:type="dxa"/>
            <w:vAlign w:val="bottom"/>
          </w:tcPr>
          <w:p>
            <w:pPr>
              <w:spacing w:after="0"/>
              <w:rPr>
                <w:sz w:val="11"/>
                <w:szCs w:val="11"/>
                <w:color w:val="auto"/>
              </w:rPr>
            </w:pPr>
          </w:p>
        </w:tc>
        <w:tc>
          <w:tcPr>
            <w:tcW w:w="110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rPr>
              <w:t>February 2,</w:t>
            </w:r>
          </w:p>
        </w:tc>
        <w:tc>
          <w:tcPr>
            <w:tcW w:w="1080" w:type="dxa"/>
            <w:vAlign w:val="bottom"/>
            <w:tcBorders>
              <w:top w:val="single" w:sz="8" w:color="auto"/>
            </w:tcBorders>
          </w:tcPr>
          <w:p>
            <w:pPr>
              <w:jc w:val="center"/>
              <w:ind w:left="226"/>
              <w:spacing w:after="0" w:line="129" w:lineRule="exact"/>
              <w:rPr>
                <w:sz w:val="20"/>
                <w:szCs w:val="20"/>
                <w:color w:val="auto"/>
              </w:rPr>
            </w:pPr>
            <w:r>
              <w:rPr>
                <w:rFonts w:ascii="Arial" w:cs="Arial" w:eastAsia="Arial" w:hAnsi="Arial"/>
                <w:sz w:val="14"/>
                <w:szCs w:val="14"/>
                <w:b w:val="1"/>
                <w:bCs w:val="1"/>
                <w:color w:val="auto"/>
                <w:w w:val="90"/>
              </w:rPr>
              <w:t>January 28,</w:t>
            </w:r>
          </w:p>
        </w:tc>
        <w:tc>
          <w:tcPr>
            <w:tcW w:w="540" w:type="dxa"/>
            <w:vAlign w:val="bottom"/>
          </w:tcPr>
          <w:p>
            <w:pPr>
              <w:spacing w:after="0"/>
              <w:rPr>
                <w:sz w:val="11"/>
                <w:szCs w:val="11"/>
                <w:color w:val="auto"/>
              </w:rPr>
            </w:pPr>
          </w:p>
        </w:tc>
        <w:tc>
          <w:tcPr>
            <w:tcW w:w="94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20" w:type="dxa"/>
            <w:vAlign w:val="bottom"/>
          </w:tcPr>
          <w:p>
            <w:pPr>
              <w:spacing w:after="0"/>
              <w:rPr>
                <w:sz w:val="14"/>
                <w:szCs w:val="14"/>
                <w:color w:val="auto"/>
              </w:rPr>
            </w:pPr>
          </w:p>
        </w:tc>
        <w:tc>
          <w:tcPr>
            <w:tcW w:w="4540" w:type="dxa"/>
            <w:vAlign w:val="bottom"/>
            <w:gridSpan w:val="2"/>
          </w:tcPr>
          <w:p>
            <w:pPr>
              <w:jc w:val="right"/>
              <w:ind w:right="492"/>
              <w:spacing w:after="0"/>
              <w:rPr>
                <w:sz w:val="20"/>
                <w:szCs w:val="20"/>
                <w:color w:val="auto"/>
              </w:rPr>
            </w:pPr>
            <w:r>
              <w:rPr>
                <w:rFonts w:ascii="Arial" w:cs="Arial" w:eastAsia="Arial" w:hAnsi="Arial"/>
                <w:sz w:val="14"/>
                <w:szCs w:val="14"/>
                <w:b w:val="1"/>
                <w:bCs w:val="1"/>
                <w:color w:val="auto"/>
              </w:rPr>
              <w:t>2013</w:t>
            </w:r>
          </w:p>
        </w:tc>
        <w:tc>
          <w:tcPr>
            <w:tcW w:w="1080" w:type="dxa"/>
            <w:vAlign w:val="bottom"/>
          </w:tcPr>
          <w:p>
            <w:pPr>
              <w:jc w:val="center"/>
              <w:ind w:left="226"/>
              <w:spacing w:after="0"/>
              <w:rPr>
                <w:sz w:val="20"/>
                <w:szCs w:val="20"/>
                <w:color w:val="auto"/>
              </w:rPr>
            </w:pPr>
            <w:r>
              <w:rPr>
                <w:rFonts w:ascii="Arial" w:cs="Arial" w:eastAsia="Arial" w:hAnsi="Arial"/>
                <w:sz w:val="14"/>
                <w:szCs w:val="14"/>
                <w:b w:val="1"/>
                <w:bCs w:val="1"/>
                <w:color w:val="auto"/>
                <w:w w:val="83"/>
              </w:rPr>
              <w:t>2012</w:t>
            </w:r>
          </w:p>
        </w:tc>
        <w:tc>
          <w:tcPr>
            <w:tcW w:w="540" w:type="dxa"/>
            <w:vAlign w:val="bottom"/>
          </w:tcPr>
          <w:p>
            <w:pPr>
              <w:spacing w:after="0"/>
              <w:rPr>
                <w:sz w:val="14"/>
                <w:szCs w:val="14"/>
                <w:color w:val="auto"/>
              </w:rPr>
            </w:pPr>
          </w:p>
        </w:tc>
        <w:tc>
          <w:tcPr>
            <w:tcW w:w="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43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2720" w:type="dxa"/>
            <w:vAlign w:val="bottom"/>
            <w:tcBorders>
              <w:top w:val="single" w:sz="8" w:color="auto"/>
            </w:tcBorders>
            <w:gridSpan w:val="3"/>
          </w:tcPr>
          <w:p>
            <w:pPr>
              <w:ind w:left="740"/>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54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$3,168,630</w:t>
            </w:r>
          </w:p>
        </w:tc>
        <w:tc>
          <w:tcPr>
            <w:tcW w:w="1080" w:type="dxa"/>
            <w:vAlign w:val="bottom"/>
            <w:shd w:val="clear" w:color="auto" w:fill="CCEEFF"/>
          </w:tcPr>
          <w:p>
            <w:pPr>
              <w:jc w:val="center"/>
              <w:ind w:left="226"/>
              <w:spacing w:after="0"/>
              <w:rPr>
                <w:sz w:val="20"/>
                <w:szCs w:val="20"/>
                <w:color w:val="auto"/>
              </w:rPr>
            </w:pPr>
            <w:r>
              <w:rPr>
                <w:rFonts w:ascii="Arial" w:cs="Arial" w:eastAsia="Arial" w:hAnsi="Arial"/>
                <w:sz w:val="18"/>
                <w:szCs w:val="18"/>
                <w:color w:val="auto"/>
                <w:w w:val="86"/>
              </w:rPr>
              <w:t>$3,393,040</w:t>
            </w:r>
          </w:p>
        </w:tc>
        <w:tc>
          <w:tcPr>
            <w:tcW w:w="5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The revenue decline during fiscal 2013 was primarily due to declines in the mobile and wireless end market, and to a lesser extent, a decline in the storage end market. Within our mobile and wireless end market, revenue from our leading North American handset customer declined year-over-year due to the continued competitive challenges that they faced. Within the storage end market, revenue declined in fiscal 2013 compared to the prior year primarily as a result of the slowdown in the global market for PCs. The flooding in Thailand during the second half of fiscal 2012 impacted our overall HDD revenue in both fiscal 2012 and fiscal 2013. One of our customers, for which we entered fiscal 2013 with a relatively low market segment share of their products, was least impacted by the flooding in Thailand in the second half of fiscal 2012, which negatively impacted our revenue towards the beginning of fiscal 2013. However, during fiscal 2013, we continued to grow our share of revenue with this customer, offsetting most of the negative impacts from the floods. In addition, sales of our SSD products increased significantly in fiscal 2013 compared to fiscal 2012 as our products began to gain acceptance in the market. SSD sales still made up a small percentage of our total storage revenue, however, they grew and made up an increasingly larger percentage of overall revenue. Net revenue from our networking end market increased slightly in fiscal 2013 compared to the prior fiscal year, due to growth in our PON and networking processing unit products as well as growth in switching products.</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20" w:type="dxa"/>
            <w:vAlign w:val="bottom"/>
          </w:tcPr>
          <w:p>
            <w:pPr>
              <w:spacing w:after="0"/>
              <w:rPr>
                <w:sz w:val="14"/>
                <w:szCs w:val="14"/>
                <w:color w:val="auto"/>
              </w:rPr>
            </w:pPr>
          </w:p>
        </w:tc>
        <w:tc>
          <w:tcPr>
            <w:tcW w:w="92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5"/>
              </w:rPr>
              <w:t>February 2,</w:t>
            </w:r>
          </w:p>
        </w:tc>
        <w:tc>
          <w:tcPr>
            <w:tcW w:w="8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January 28,</w:t>
            </w:r>
          </w:p>
        </w:tc>
        <w:tc>
          <w:tcPr>
            <w:tcW w:w="62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1500" w:type="dxa"/>
            <w:vAlign w:val="bottom"/>
          </w:tcPr>
          <w:p>
            <w:pPr>
              <w:jc w:val="right"/>
              <w:ind w:right="906"/>
              <w:spacing w:after="0"/>
              <w:rPr>
                <w:sz w:val="20"/>
                <w:szCs w:val="20"/>
                <w:color w:val="auto"/>
              </w:rPr>
            </w:pPr>
            <w:r>
              <w:rPr>
                <w:rFonts w:ascii="Arial" w:cs="Arial" w:eastAsia="Arial" w:hAnsi="Arial"/>
                <w:sz w:val="14"/>
                <w:szCs w:val="14"/>
                <w:b w:val="1"/>
                <w:bCs w:val="1"/>
                <w:color w:val="auto"/>
              </w:rPr>
              <w:t>2013</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2012</w:t>
            </w:r>
          </w:p>
        </w:tc>
        <w:tc>
          <w:tcPr>
            <w:tcW w:w="620" w:type="dxa"/>
            <w:vAlign w:val="bottom"/>
          </w:tcPr>
          <w:p>
            <w:pPr>
              <w:spacing w:after="0"/>
              <w:rPr>
                <w:sz w:val="14"/>
                <w:szCs w:val="14"/>
                <w:color w:val="auto"/>
              </w:rPr>
            </w:pPr>
          </w:p>
        </w:tc>
        <w:tc>
          <w:tcPr>
            <w:tcW w:w="9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2920" w:type="dxa"/>
            <w:vAlign w:val="bottom"/>
            <w:tcBorders>
              <w:top w:val="single" w:sz="8" w:color="auto"/>
            </w:tcBorders>
            <w:gridSpan w:val="3"/>
          </w:tcPr>
          <w:p>
            <w:pPr>
              <w:jc w:val="right"/>
              <w:ind w:right="12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shd w:val="clear" w:color="auto" w:fill="CCEEFF"/>
          </w:tcPr>
          <w:p>
            <w:pPr>
              <w:jc w:val="right"/>
              <w:ind w:right="646"/>
              <w:spacing w:after="0"/>
              <w:rPr>
                <w:sz w:val="20"/>
                <w:szCs w:val="20"/>
                <w:color w:val="auto"/>
              </w:rPr>
            </w:pPr>
            <w:r>
              <w:rPr>
                <w:rFonts w:ascii="Arial" w:cs="Arial" w:eastAsia="Arial" w:hAnsi="Arial"/>
                <w:sz w:val="18"/>
                <w:szCs w:val="18"/>
                <w:color w:val="auto"/>
                <w:w w:val="84"/>
              </w:rPr>
              <w:t>$1,493,497</w:t>
            </w:r>
          </w:p>
        </w:tc>
        <w:tc>
          <w:tcPr>
            <w:tcW w:w="14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86"/>
              </w:rPr>
              <w:t>$1,465,805</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47.1%</w:t>
            </w:r>
          </w:p>
        </w:tc>
        <w:tc>
          <w:tcPr>
            <w:tcW w:w="1420" w:type="dxa"/>
            <w:vAlign w:val="bottom"/>
            <w:gridSpan w:val="2"/>
          </w:tcPr>
          <w:p>
            <w:pPr>
              <w:jc w:val="right"/>
              <w:ind w:right="480"/>
              <w:spacing w:after="0"/>
              <w:rPr>
                <w:sz w:val="20"/>
                <w:szCs w:val="20"/>
                <w:color w:val="auto"/>
              </w:rPr>
            </w:pPr>
            <w:r>
              <w:rPr>
                <w:rFonts w:ascii="Arial" w:cs="Arial" w:eastAsia="Arial" w:hAnsi="Arial"/>
                <w:sz w:val="18"/>
                <w:szCs w:val="18"/>
                <w:color w:val="auto"/>
              </w:rPr>
              <w:t>43.2%</w:t>
            </w:r>
          </w:p>
        </w:tc>
        <w:tc>
          <w:tcPr>
            <w:tcW w:w="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Cost of goods sold as a percentage of net revenue in fiscal 2013 increased by 390 basis points, from 43.2% in fiscal 2012 to 47.1% in fiscal 2013. This increase was primarily due to product pricing declines outpacing the cost reductions received from our manufacturing partners. Unfavorable changes to the gross margin mix of our products sold compared to fiscal 2012, driven by growth in businesses with lower gross margins further contributed to the increase.</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Year Ended</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5720" w:type="dxa"/>
            <w:vAlign w:val="bottom"/>
          </w:tcPr>
          <w:p>
            <w:pPr>
              <w:spacing w:after="0"/>
              <w:rPr>
                <w:sz w:val="11"/>
                <w:szCs w:val="11"/>
                <w:color w:val="auto"/>
              </w:rPr>
            </w:pPr>
          </w:p>
        </w:tc>
        <w:tc>
          <w:tcPr>
            <w:tcW w:w="90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1"/>
                <w:szCs w:val="11"/>
                <w:color w:val="auto"/>
              </w:rPr>
            </w:pPr>
          </w:p>
        </w:tc>
        <w:tc>
          <w:tcPr>
            <w:tcW w:w="7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60"/>
              <w:spacing w:after="0"/>
              <w:rPr>
                <w:sz w:val="20"/>
                <w:szCs w:val="20"/>
                <w:color w:val="auto"/>
              </w:rPr>
            </w:pPr>
            <w:r>
              <w:rPr>
                <w:rFonts w:ascii="Arial" w:cs="Arial" w:eastAsia="Arial" w:hAnsi="Arial"/>
                <w:sz w:val="14"/>
                <w:szCs w:val="14"/>
                <w:b w:val="1"/>
                <w:bCs w:val="1"/>
                <w:color w:val="auto"/>
              </w:rPr>
              <w:t>2013</w:t>
            </w:r>
          </w:p>
        </w:tc>
        <w:tc>
          <w:tcPr>
            <w:tcW w:w="1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5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720" w:type="dxa"/>
            <w:vAlign w:val="bottom"/>
            <w:gridSpan w:val="5"/>
          </w:tcPr>
          <w:p>
            <w:pPr>
              <w:jc w:val="right"/>
              <w:ind w:right="436"/>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5840" w:type="dxa"/>
            <w:vAlign w:val="bottom"/>
            <w:gridSpan w:val="2"/>
            <w:shd w:val="clear" w:color="auto" w:fill="CCEEFF"/>
          </w:tcPr>
          <w:p>
            <w:pPr>
              <w:ind w:left="572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8,142</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6,995</w:t>
            </w:r>
          </w:p>
        </w:tc>
        <w:tc>
          <w:tcPr>
            <w:tcW w:w="0" w:type="dxa"/>
            <w:vAlign w:val="bottom"/>
          </w:tcPr>
          <w:p>
            <w:pPr>
              <w:spacing w:after="0"/>
              <w:rPr>
                <w:sz w:val="1"/>
                <w:szCs w:val="1"/>
                <w:color w:val="auto"/>
              </w:rPr>
            </w:pP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5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87,149</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85,924</w:t>
            </w: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5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13,278</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12,920</w:t>
            </w:r>
          </w:p>
        </w:tc>
        <w:tc>
          <w:tcPr>
            <w:tcW w:w="0" w:type="dxa"/>
            <w:vAlign w:val="bottom"/>
          </w:tcPr>
          <w:p>
            <w:pPr>
              <w:spacing w:after="0"/>
              <w:rPr>
                <w:sz w:val="1"/>
                <w:szCs w:val="1"/>
                <w:color w:val="auto"/>
              </w:rPr>
            </w:pPr>
          </w:p>
        </w:tc>
      </w:tr>
      <w:tr>
        <w:trPr>
          <w:trHeight w:val="223"/>
        </w:trPr>
        <w:tc>
          <w:tcPr>
            <w:tcW w:w="37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57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18,711</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14,024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18"/>
                <w:szCs w:val="18"/>
                <w:color w:val="auto"/>
              </w:rPr>
            </w:pPr>
          </w:p>
        </w:tc>
        <w:tc>
          <w:tcPr>
            <w:tcW w:w="5840" w:type="dxa"/>
            <w:vAlign w:val="bottom"/>
            <w:gridSpan w:val="2"/>
            <w:shd w:val="clear" w:color="auto" w:fill="CCEEFF"/>
          </w:tcPr>
          <w:p>
            <w:pPr>
              <w:ind w:left="572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127,280</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119,863</w:t>
            </w:r>
          </w:p>
        </w:tc>
        <w:tc>
          <w:tcPr>
            <w:tcW w:w="0" w:type="dxa"/>
            <w:vAlign w:val="bottom"/>
          </w:tcPr>
          <w:p>
            <w:pPr>
              <w:spacing w:after="0"/>
              <w:rPr>
                <w:sz w:val="1"/>
                <w:szCs w:val="1"/>
                <w:color w:val="auto"/>
              </w:rPr>
            </w:pPr>
          </w:p>
        </w:tc>
      </w:tr>
      <w:tr>
        <w:trPr>
          <w:trHeight w:val="20"/>
        </w:trPr>
        <w:tc>
          <w:tcPr>
            <w:tcW w:w="3760" w:type="dxa"/>
            <w:vAlign w:val="bottom"/>
          </w:tcPr>
          <w:p>
            <w:pPr>
              <w:spacing w:after="0" w:line="20" w:lineRule="exact"/>
              <w:rPr>
                <w:sz w:val="1"/>
                <w:szCs w:val="1"/>
                <w:color w:val="auto"/>
              </w:rPr>
            </w:pPr>
          </w:p>
        </w:tc>
        <w:tc>
          <w:tcPr>
            <w:tcW w:w="5720" w:type="dxa"/>
            <w:vAlign w:val="bottom"/>
            <w:vMerge w:val="restart"/>
          </w:tcPr>
          <w:p>
            <w:pPr>
              <w:jc w:val="right"/>
              <w:ind w:right="3592"/>
              <w:spacing w:after="0"/>
              <w:rPr>
                <w:sz w:val="20"/>
                <w:szCs w:val="20"/>
                <w:color w:val="auto"/>
              </w:rPr>
            </w:pPr>
            <w:r>
              <w:rPr>
                <w:rFonts w:ascii="Arial" w:cs="Arial" w:eastAsia="Arial" w:hAnsi="Arial"/>
                <w:sz w:val="18"/>
                <w:szCs w:val="18"/>
                <w:color w:val="auto"/>
              </w:rPr>
              <w:t>51</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760" w:type="dxa"/>
            <w:vAlign w:val="bottom"/>
          </w:tcPr>
          <w:p>
            <w:pPr>
              <w:spacing w:after="0"/>
              <w:rPr>
                <w:sz w:val="24"/>
                <w:szCs w:val="24"/>
                <w:color w:val="auto"/>
              </w:rPr>
            </w:pPr>
          </w:p>
        </w:tc>
        <w:tc>
          <w:tcPr>
            <w:tcW w:w="572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40" w:firstLine="456"/>
        <w:spacing w:after="0" w:line="255" w:lineRule="auto"/>
        <w:rPr>
          <w:sz w:val="20"/>
          <w:szCs w:val="20"/>
          <w:color w:val="auto"/>
        </w:rPr>
      </w:pPr>
      <w:r>
        <w:rPr>
          <w:rFonts w:ascii="Arial" w:cs="Arial" w:eastAsia="Arial" w:hAnsi="Arial"/>
          <w:sz w:val="18"/>
          <w:szCs w:val="18"/>
          <w:color w:val="auto"/>
        </w:rPr>
        <w:t>We recognized higher share-based compensation expense as a result of higher headcount in fiscal 2013, combined with the effect of an increase in expense related to the employee stock purchase plan. The offering price of the employee stock purchase plan was reset in June 2012 and also in December 2012 due to the decline in our stock price. Although share-based compensation expense increased by $7.4 million in fiscal 2013 compared to fiscal 2012, it included the recovery of previously recognized expense associated with unvested share-based awards that were cancelled as a result of the resignation in October 2012 of our then chief financial officer.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800" w:type="dxa"/>
            <w:vAlign w:val="bottom"/>
            <w:tcBorders>
              <w:bottom w:val="single" w:sz="8" w:color="auto"/>
            </w:tcBorders>
          </w:tcPr>
          <w:p>
            <w:pPr>
              <w:spacing w:after="0"/>
              <w:rPr>
                <w:sz w:val="14"/>
                <w:szCs w:val="14"/>
                <w:color w:val="auto"/>
              </w:rPr>
            </w:pPr>
          </w:p>
        </w:tc>
        <w:tc>
          <w:tcPr>
            <w:tcW w:w="600" w:type="dxa"/>
            <w:vAlign w:val="bottom"/>
          </w:tcPr>
          <w:p>
            <w:pPr>
              <w:spacing w:after="0"/>
              <w:rPr>
                <w:sz w:val="14"/>
                <w:szCs w:val="14"/>
                <w:color w:val="auto"/>
              </w:rPr>
            </w:pPr>
          </w:p>
        </w:tc>
        <w:tc>
          <w:tcPr>
            <w:tcW w:w="92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50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5"/>
              </w:rPr>
              <w:t>February 2,</w:t>
            </w:r>
          </w:p>
        </w:tc>
        <w:tc>
          <w:tcPr>
            <w:tcW w:w="8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3"/>
              </w:rPr>
              <w:t>January 28,</w:t>
            </w:r>
          </w:p>
        </w:tc>
        <w:tc>
          <w:tcPr>
            <w:tcW w:w="60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1500" w:type="dxa"/>
            <w:vAlign w:val="bottom"/>
          </w:tcPr>
          <w:p>
            <w:pPr>
              <w:jc w:val="right"/>
              <w:ind w:right="886"/>
              <w:spacing w:after="0"/>
              <w:rPr>
                <w:sz w:val="20"/>
                <w:szCs w:val="20"/>
                <w:color w:val="auto"/>
              </w:rPr>
            </w:pPr>
            <w:r>
              <w:rPr>
                <w:rFonts w:ascii="Arial" w:cs="Arial" w:eastAsia="Arial" w:hAnsi="Arial"/>
                <w:sz w:val="14"/>
                <w:szCs w:val="14"/>
                <w:b w:val="1"/>
                <w:bCs w:val="1"/>
                <w:color w:val="auto"/>
              </w:rPr>
              <w:t>2013</w:t>
            </w:r>
          </w:p>
        </w:tc>
        <w:tc>
          <w:tcPr>
            <w:tcW w:w="800" w:type="dxa"/>
            <w:vAlign w:val="bottom"/>
          </w:tcPr>
          <w:p>
            <w:pPr>
              <w:jc w:val="right"/>
              <w:ind w:right="182"/>
              <w:spacing w:after="0"/>
              <w:rPr>
                <w:sz w:val="20"/>
                <w:szCs w:val="20"/>
                <w:color w:val="auto"/>
              </w:rPr>
            </w:pPr>
            <w:r>
              <w:rPr>
                <w:rFonts w:ascii="Arial" w:cs="Arial" w:eastAsia="Arial" w:hAnsi="Arial"/>
                <w:sz w:val="14"/>
                <w:szCs w:val="14"/>
                <w:b w:val="1"/>
                <w:bCs w:val="1"/>
                <w:color w:val="auto"/>
              </w:rPr>
              <w:t>2012</w:t>
            </w:r>
          </w:p>
        </w:tc>
        <w:tc>
          <w:tcPr>
            <w:tcW w:w="600" w:type="dxa"/>
            <w:vAlign w:val="bottom"/>
          </w:tcPr>
          <w:p>
            <w:pPr>
              <w:spacing w:after="0"/>
              <w:rPr>
                <w:sz w:val="14"/>
                <w:szCs w:val="14"/>
                <w:color w:val="auto"/>
              </w:rPr>
            </w:pPr>
          </w:p>
        </w:tc>
        <w:tc>
          <w:tcPr>
            <w:tcW w:w="9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290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500" w:type="dxa"/>
            <w:vAlign w:val="bottom"/>
            <w:shd w:val="clear" w:color="auto" w:fill="CCEEFF"/>
          </w:tcPr>
          <w:p>
            <w:pPr>
              <w:jc w:val="right"/>
              <w:ind w:right="626"/>
              <w:spacing w:after="0"/>
              <w:rPr>
                <w:sz w:val="20"/>
                <w:szCs w:val="20"/>
                <w:color w:val="auto"/>
              </w:rPr>
            </w:pPr>
            <w:r>
              <w:rPr>
                <w:rFonts w:ascii="Arial" w:cs="Arial" w:eastAsia="Arial" w:hAnsi="Arial"/>
                <w:sz w:val="18"/>
                <w:szCs w:val="18"/>
                <w:color w:val="auto"/>
                <w:w w:val="86"/>
              </w:rPr>
              <w:t>$1,057,445</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$1,013,678</w:t>
            </w:r>
          </w:p>
        </w:tc>
        <w:tc>
          <w:tcPr>
            <w:tcW w:w="6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tcPr>
          <w:p>
            <w:pPr>
              <w:jc w:val="right"/>
              <w:ind w:right="486"/>
              <w:spacing w:after="0"/>
              <w:rPr>
                <w:sz w:val="20"/>
                <w:szCs w:val="20"/>
                <w:color w:val="auto"/>
              </w:rPr>
            </w:pPr>
            <w:r>
              <w:rPr>
                <w:rFonts w:ascii="Arial" w:cs="Arial" w:eastAsia="Arial" w:hAnsi="Arial"/>
                <w:sz w:val="18"/>
                <w:szCs w:val="18"/>
                <w:color w:val="auto"/>
              </w:rPr>
              <w:t>33.4%</w:t>
            </w:r>
          </w:p>
        </w:tc>
        <w:tc>
          <w:tcPr>
            <w:tcW w:w="1400" w:type="dxa"/>
            <w:vAlign w:val="bottom"/>
            <w:gridSpan w:val="2"/>
          </w:tcPr>
          <w:p>
            <w:pPr>
              <w:jc w:val="right"/>
              <w:ind w:right="460"/>
              <w:spacing w:after="0"/>
              <w:rPr>
                <w:sz w:val="20"/>
                <w:szCs w:val="20"/>
                <w:color w:val="auto"/>
              </w:rPr>
            </w:pPr>
            <w:r>
              <w:rPr>
                <w:rFonts w:ascii="Arial" w:cs="Arial" w:eastAsia="Arial" w:hAnsi="Arial"/>
                <w:sz w:val="18"/>
                <w:szCs w:val="18"/>
                <w:color w:val="auto"/>
              </w:rPr>
              <w:t>29.9%</w:t>
            </w:r>
          </w:p>
        </w:tc>
        <w:tc>
          <w:tcPr>
            <w:tcW w:w="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Research and development expense increased by $43.8 million in fiscal 2013 compared to fiscal 2012, primarily due to higher personnel-related costs as a result of increased headcount in fiscal 2013 compared to fiscal 2012. In addition, since fiscal 2013 was a 53-week year, overall research and development expense was higher due to the additional week. The increase in the fiscal 2013 research and development expense was partially offset by a higher amount of product development funding from our customers.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2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92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20" w:type="dxa"/>
            <w:vAlign w:val="bottom"/>
          </w:tcPr>
          <w:p>
            <w:pPr>
              <w:spacing w:after="0"/>
              <w:rPr>
                <w:sz w:val="11"/>
                <w:szCs w:val="11"/>
                <w:color w:val="auto"/>
              </w:rPr>
            </w:pPr>
          </w:p>
        </w:tc>
        <w:tc>
          <w:tcPr>
            <w:tcW w:w="146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90"/>
              </w:rPr>
              <w:t>February 2,</w:t>
            </w:r>
          </w:p>
        </w:tc>
        <w:tc>
          <w:tcPr>
            <w:tcW w:w="7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0"/>
              </w:rPr>
              <w:t>January 28,</w:t>
            </w:r>
          </w:p>
        </w:tc>
        <w:tc>
          <w:tcPr>
            <w:tcW w:w="700" w:type="dxa"/>
            <w:vAlign w:val="bottom"/>
          </w:tcPr>
          <w:p>
            <w:pPr>
              <w:spacing w:after="0"/>
              <w:rPr>
                <w:sz w:val="11"/>
                <w:szCs w:val="11"/>
                <w:color w:val="auto"/>
              </w:rPr>
            </w:pPr>
          </w:p>
        </w:tc>
        <w:tc>
          <w:tcPr>
            <w:tcW w:w="9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20" w:type="dxa"/>
            <w:vAlign w:val="bottom"/>
          </w:tcPr>
          <w:p>
            <w:pPr>
              <w:spacing w:after="0"/>
              <w:rPr>
                <w:sz w:val="14"/>
                <w:szCs w:val="14"/>
                <w:color w:val="auto"/>
              </w:rPr>
            </w:pPr>
          </w:p>
        </w:tc>
        <w:tc>
          <w:tcPr>
            <w:tcW w:w="1460" w:type="dxa"/>
            <w:vAlign w:val="bottom"/>
          </w:tcPr>
          <w:p>
            <w:pPr>
              <w:jc w:val="right"/>
              <w:ind w:right="906"/>
              <w:spacing w:after="0"/>
              <w:rPr>
                <w:sz w:val="20"/>
                <w:szCs w:val="20"/>
                <w:color w:val="auto"/>
              </w:rPr>
            </w:pPr>
            <w:r>
              <w:rPr>
                <w:rFonts w:ascii="Arial" w:cs="Arial" w:eastAsia="Arial" w:hAnsi="Arial"/>
                <w:sz w:val="14"/>
                <w:szCs w:val="14"/>
                <w:b w:val="1"/>
                <w:bCs w:val="1"/>
                <w:color w:val="auto"/>
              </w:rPr>
              <w:t>2013</w:t>
            </w:r>
          </w:p>
        </w:tc>
        <w:tc>
          <w:tcPr>
            <w:tcW w:w="7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700" w:type="dxa"/>
            <w:vAlign w:val="bottom"/>
          </w:tcPr>
          <w:p>
            <w:pPr>
              <w:spacing w:after="0"/>
              <w:rPr>
                <w:sz w:val="14"/>
                <w:szCs w:val="14"/>
                <w:color w:val="auto"/>
              </w:rPr>
            </w:pPr>
          </w:p>
        </w:tc>
        <w:tc>
          <w:tcPr>
            <w:tcW w:w="9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620" w:type="dxa"/>
            <w:vAlign w:val="bottom"/>
          </w:tcPr>
          <w:p>
            <w:pPr>
              <w:spacing w:after="0"/>
              <w:rPr>
                <w:sz w:val="12"/>
                <w:szCs w:val="12"/>
                <w:color w:val="auto"/>
              </w:rPr>
            </w:pPr>
          </w:p>
        </w:tc>
        <w:tc>
          <w:tcPr>
            <w:tcW w:w="288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60" w:type="dxa"/>
            <w:vAlign w:val="bottom"/>
            <w:shd w:val="clear" w:color="auto" w:fill="CCEEFF"/>
          </w:tcPr>
          <w:p>
            <w:pPr>
              <w:jc w:val="right"/>
              <w:ind w:right="686"/>
              <w:spacing w:after="0"/>
              <w:rPr>
                <w:sz w:val="20"/>
                <w:szCs w:val="20"/>
                <w:color w:val="auto"/>
              </w:rPr>
            </w:pPr>
            <w:r>
              <w:rPr>
                <w:rFonts w:ascii="Arial" w:cs="Arial" w:eastAsia="Arial" w:hAnsi="Arial"/>
                <w:sz w:val="18"/>
                <w:szCs w:val="18"/>
                <w:color w:val="auto"/>
                <w:w w:val="84"/>
              </w:rPr>
              <w:t>$ 161,817</w:t>
            </w:r>
          </w:p>
        </w:tc>
        <w:tc>
          <w:tcPr>
            <w:tcW w:w="14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w w:val="87"/>
              </w:rPr>
              <w:t>$ 159,434</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22"/>
        </w:trPr>
        <w:tc>
          <w:tcPr>
            <w:tcW w:w="7620" w:type="dxa"/>
            <w:vAlign w:val="bottom"/>
          </w:tcPr>
          <w:p>
            <w:pPr>
              <w:spacing w:after="0"/>
              <w:rPr>
                <w:sz w:val="20"/>
                <w:szCs w:val="20"/>
                <w:color w:val="auto"/>
              </w:rPr>
            </w:pPr>
            <w:r>
              <w:rPr>
                <w:rFonts w:ascii="Arial" w:cs="Arial" w:eastAsia="Arial" w:hAnsi="Arial"/>
                <w:sz w:val="18"/>
                <w:szCs w:val="18"/>
                <w:color w:val="auto"/>
              </w:rPr>
              <w:t>% of net revenue</w:t>
            </w:r>
          </w:p>
        </w:tc>
        <w:tc>
          <w:tcPr>
            <w:tcW w:w="1460" w:type="dxa"/>
            <w:vAlign w:val="bottom"/>
          </w:tcPr>
          <w:p>
            <w:pPr>
              <w:jc w:val="right"/>
              <w:ind w:right="546"/>
              <w:spacing w:after="0"/>
              <w:rPr>
                <w:sz w:val="20"/>
                <w:szCs w:val="20"/>
                <w:color w:val="auto"/>
              </w:rPr>
            </w:pPr>
            <w:r>
              <w:rPr>
                <w:rFonts w:ascii="Arial" w:cs="Arial" w:eastAsia="Arial" w:hAnsi="Arial"/>
                <w:sz w:val="18"/>
                <w:szCs w:val="18"/>
                <w:color w:val="auto"/>
              </w:rPr>
              <w:t>5.1%</w:t>
            </w:r>
          </w:p>
        </w:tc>
        <w:tc>
          <w:tcPr>
            <w:tcW w:w="1420" w:type="dxa"/>
            <w:vAlign w:val="bottom"/>
            <w:gridSpan w:val="2"/>
          </w:tcPr>
          <w:p>
            <w:pPr>
              <w:jc w:val="right"/>
              <w:ind w:right="560"/>
              <w:spacing w:after="0"/>
              <w:rPr>
                <w:sz w:val="20"/>
                <w:szCs w:val="20"/>
                <w:color w:val="auto"/>
              </w:rPr>
            </w:pPr>
            <w:r>
              <w:rPr>
                <w:rFonts w:ascii="Arial" w:cs="Arial" w:eastAsia="Arial" w:hAnsi="Arial"/>
                <w:sz w:val="18"/>
                <w:szCs w:val="18"/>
                <w:color w:val="auto"/>
              </w:rPr>
              <w:t>4.7%</w:t>
            </w:r>
          </w:p>
        </w:tc>
        <w:tc>
          <w:tcPr>
            <w:tcW w:w="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Selling and marketing expense increased by $2.4 million in fiscal 2013 compared to fiscal 2012. The increase was primarily due to increased trade show and marketing communication activities combined with higher expenses for other professional services. Although fiscal 2013 was a 53-week year, the increase in overall expense for the additional week was essentially offset by lower expenses for contractor services.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60" w:type="dxa"/>
            <w:vAlign w:val="bottom"/>
          </w:tcPr>
          <w:p>
            <w:pPr>
              <w:spacing w:after="0"/>
              <w:rPr>
                <w:sz w:val="14"/>
                <w:szCs w:val="14"/>
                <w:color w:val="auto"/>
              </w:rPr>
            </w:pPr>
          </w:p>
        </w:tc>
        <w:tc>
          <w:tcPr>
            <w:tcW w:w="1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Year Ended</w:t>
            </w:r>
          </w:p>
        </w:tc>
        <w:tc>
          <w:tcPr>
            <w:tcW w:w="72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60" w:type="dxa"/>
            <w:vAlign w:val="bottom"/>
          </w:tcPr>
          <w:p>
            <w:pPr>
              <w:spacing w:after="0"/>
              <w:rPr>
                <w:sz w:val="11"/>
                <w:szCs w:val="11"/>
                <w:color w:val="auto"/>
              </w:rPr>
            </w:pPr>
          </w:p>
        </w:tc>
        <w:tc>
          <w:tcPr>
            <w:tcW w:w="1440" w:type="dxa"/>
            <w:vAlign w:val="bottom"/>
          </w:tcPr>
          <w:p>
            <w:pPr>
              <w:jc w:val="right"/>
              <w:ind w:right="686"/>
              <w:spacing w:after="0" w:line="129" w:lineRule="exact"/>
              <w:rPr>
                <w:sz w:val="20"/>
                <w:szCs w:val="20"/>
                <w:color w:val="auto"/>
              </w:rPr>
            </w:pPr>
            <w:r>
              <w:rPr>
                <w:rFonts w:ascii="Arial" w:cs="Arial" w:eastAsia="Arial" w:hAnsi="Arial"/>
                <w:sz w:val="14"/>
                <w:szCs w:val="14"/>
                <w:b w:val="1"/>
                <w:bCs w:val="1"/>
                <w:color w:val="auto"/>
                <w:w w:val="87"/>
              </w:rPr>
              <w:t>February 2,</w:t>
            </w:r>
          </w:p>
        </w:tc>
        <w:tc>
          <w:tcPr>
            <w:tcW w:w="7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8"/>
              </w:rPr>
              <w:t>January 28,</w:t>
            </w:r>
          </w:p>
        </w:tc>
        <w:tc>
          <w:tcPr>
            <w:tcW w:w="700" w:type="dxa"/>
            <w:vAlign w:val="bottom"/>
          </w:tcPr>
          <w:p>
            <w:pPr>
              <w:spacing w:after="0"/>
              <w:rPr>
                <w:sz w:val="11"/>
                <w:szCs w:val="11"/>
                <w:color w:val="auto"/>
              </w:rPr>
            </w:pPr>
          </w:p>
        </w:tc>
        <w:tc>
          <w:tcPr>
            <w:tcW w:w="9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60" w:type="dxa"/>
            <w:vAlign w:val="bottom"/>
          </w:tcPr>
          <w:p>
            <w:pPr>
              <w:spacing w:after="0"/>
              <w:rPr>
                <w:sz w:val="14"/>
                <w:szCs w:val="14"/>
                <w:color w:val="auto"/>
              </w:rPr>
            </w:pPr>
          </w:p>
        </w:tc>
        <w:tc>
          <w:tcPr>
            <w:tcW w:w="1440" w:type="dxa"/>
            <w:vAlign w:val="bottom"/>
          </w:tcPr>
          <w:p>
            <w:pPr>
              <w:jc w:val="right"/>
              <w:ind w:right="886"/>
              <w:spacing w:after="0"/>
              <w:rPr>
                <w:sz w:val="20"/>
                <w:szCs w:val="20"/>
                <w:color w:val="auto"/>
              </w:rPr>
            </w:pPr>
            <w:r>
              <w:rPr>
                <w:rFonts w:ascii="Arial" w:cs="Arial" w:eastAsia="Arial" w:hAnsi="Arial"/>
                <w:sz w:val="14"/>
                <w:szCs w:val="14"/>
                <w:b w:val="1"/>
                <w:bCs w:val="1"/>
                <w:color w:val="auto"/>
              </w:rPr>
              <w:t>2013</w:t>
            </w:r>
          </w:p>
        </w:tc>
        <w:tc>
          <w:tcPr>
            <w:tcW w:w="720" w:type="dxa"/>
            <w:vAlign w:val="bottom"/>
          </w:tcPr>
          <w:p>
            <w:pPr>
              <w:jc w:val="right"/>
              <w:ind w:right="142"/>
              <w:spacing w:after="0"/>
              <w:rPr>
                <w:sz w:val="20"/>
                <w:szCs w:val="20"/>
                <w:color w:val="auto"/>
              </w:rPr>
            </w:pPr>
            <w:r>
              <w:rPr>
                <w:rFonts w:ascii="Arial" w:cs="Arial" w:eastAsia="Arial" w:hAnsi="Arial"/>
                <w:sz w:val="14"/>
                <w:szCs w:val="14"/>
                <w:b w:val="1"/>
                <w:bCs w:val="1"/>
                <w:color w:val="auto"/>
              </w:rPr>
              <w:t>2012</w:t>
            </w:r>
          </w:p>
        </w:tc>
        <w:tc>
          <w:tcPr>
            <w:tcW w:w="700" w:type="dxa"/>
            <w:vAlign w:val="bottom"/>
          </w:tcPr>
          <w:p>
            <w:pPr>
              <w:spacing w:after="0"/>
              <w:rPr>
                <w:sz w:val="14"/>
                <w:szCs w:val="14"/>
                <w:color w:val="auto"/>
              </w:rPr>
            </w:pPr>
          </w:p>
        </w:tc>
        <w:tc>
          <w:tcPr>
            <w:tcW w:w="9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660" w:type="dxa"/>
            <w:vAlign w:val="bottom"/>
          </w:tcPr>
          <w:p>
            <w:pPr>
              <w:spacing w:after="0"/>
              <w:rPr>
                <w:sz w:val="12"/>
                <w:szCs w:val="12"/>
                <w:color w:val="auto"/>
              </w:rPr>
            </w:pPr>
          </w:p>
        </w:tc>
        <w:tc>
          <w:tcPr>
            <w:tcW w:w="2860" w:type="dxa"/>
            <w:vAlign w:val="bottom"/>
            <w:tcBorders>
              <w:top w:val="single" w:sz="8" w:color="auto"/>
            </w:tcBorders>
            <w:gridSpan w:val="3"/>
          </w:tcPr>
          <w:p>
            <w:pPr>
              <w:jc w:val="right"/>
              <w:ind w:right="100"/>
              <w:spacing w:after="0" w:line="142" w:lineRule="exact"/>
              <w:rPr>
                <w:sz w:val="20"/>
                <w:szCs w:val="20"/>
                <w:color w:val="auto"/>
              </w:rPr>
            </w:pPr>
            <w:r>
              <w:rPr>
                <w:rFonts w:ascii="Arial" w:cs="Arial" w:eastAsia="Arial" w:hAnsi="Arial"/>
                <w:sz w:val="14"/>
                <w:szCs w:val="14"/>
                <w:b w:val="1"/>
                <w:bCs w:val="1"/>
                <w:color w:val="auto"/>
              </w:rPr>
              <w:t>(in thousands, except percentages)</w:t>
            </w:r>
          </w:p>
        </w:tc>
        <w:tc>
          <w:tcPr>
            <w:tcW w:w="7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40" w:type="dxa"/>
            <w:vAlign w:val="bottom"/>
            <w:shd w:val="clear" w:color="auto" w:fill="CCEEFF"/>
          </w:tcPr>
          <w:p>
            <w:pPr>
              <w:jc w:val="right"/>
              <w:ind w:right="686"/>
              <w:spacing w:after="0"/>
              <w:rPr>
                <w:sz w:val="20"/>
                <w:szCs w:val="20"/>
                <w:color w:val="auto"/>
              </w:rPr>
            </w:pPr>
            <w:r>
              <w:rPr>
                <w:rFonts w:ascii="Arial" w:cs="Arial" w:eastAsia="Arial" w:hAnsi="Arial"/>
                <w:sz w:val="18"/>
                <w:szCs w:val="18"/>
                <w:color w:val="auto"/>
                <w:w w:val="82"/>
              </w:rPr>
              <w:t>$ 108,514</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$ 100,620</w:t>
            </w:r>
          </w:p>
        </w:tc>
        <w:tc>
          <w:tcPr>
            <w:tcW w:w="7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22"/>
        </w:trPr>
        <w:tc>
          <w:tcPr>
            <w:tcW w:w="7660" w:type="dxa"/>
            <w:vAlign w:val="bottom"/>
          </w:tcPr>
          <w:p>
            <w:pPr>
              <w:spacing w:after="0"/>
              <w:rPr>
                <w:sz w:val="20"/>
                <w:szCs w:val="20"/>
                <w:color w:val="auto"/>
              </w:rPr>
            </w:pPr>
            <w:r>
              <w:rPr>
                <w:rFonts w:ascii="Arial" w:cs="Arial" w:eastAsia="Arial" w:hAnsi="Arial"/>
                <w:sz w:val="18"/>
                <w:szCs w:val="18"/>
                <w:color w:val="auto"/>
              </w:rPr>
              <w:t>% of net revenue</w:t>
            </w:r>
          </w:p>
        </w:tc>
        <w:tc>
          <w:tcPr>
            <w:tcW w:w="1440" w:type="dxa"/>
            <w:vAlign w:val="bottom"/>
          </w:tcPr>
          <w:p>
            <w:pPr>
              <w:jc w:val="right"/>
              <w:ind w:right="546"/>
              <w:spacing w:after="0"/>
              <w:rPr>
                <w:sz w:val="20"/>
                <w:szCs w:val="20"/>
                <w:color w:val="auto"/>
              </w:rPr>
            </w:pPr>
            <w:r>
              <w:rPr>
                <w:rFonts w:ascii="Arial" w:cs="Arial" w:eastAsia="Arial" w:hAnsi="Arial"/>
                <w:sz w:val="18"/>
                <w:szCs w:val="18"/>
                <w:color w:val="auto"/>
              </w:rPr>
              <w:t>3.4%</w:t>
            </w:r>
          </w:p>
        </w:tc>
        <w:tc>
          <w:tcPr>
            <w:tcW w:w="1420" w:type="dxa"/>
            <w:vAlign w:val="bottom"/>
            <w:gridSpan w:val="2"/>
          </w:tcPr>
          <w:p>
            <w:pPr>
              <w:jc w:val="right"/>
              <w:ind w:right="560"/>
              <w:spacing w:after="0"/>
              <w:rPr>
                <w:sz w:val="20"/>
                <w:szCs w:val="20"/>
                <w:color w:val="auto"/>
              </w:rPr>
            </w:pPr>
            <w:r>
              <w:rPr>
                <w:rFonts w:ascii="Arial" w:cs="Arial" w:eastAsia="Arial" w:hAnsi="Arial"/>
                <w:sz w:val="18"/>
                <w:szCs w:val="18"/>
                <w:color w:val="auto"/>
              </w:rPr>
              <w:t>3.0%</w:t>
            </w: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General and administrative expense increased by $7.9 million in fiscal 2013 compared to fiscal 2012. The increase was primarily attributed to an increase in legal expenses, a significant portion of which related to the CMU trial towards the end of the fiscal year (See “Note 10 — Commitments and Contingencies” in the Notes to the Consolidated Financial Statements). In addition, since fiscal 2013 was a 53-week year, overall general and administrative expense was higher due to the additional week.</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60" w:type="dxa"/>
            <w:vAlign w:val="bottom"/>
          </w:tcPr>
          <w:p>
            <w:pPr>
              <w:spacing w:after="0"/>
              <w:rPr>
                <w:sz w:val="14"/>
                <w:szCs w:val="14"/>
                <w:color w:val="auto"/>
              </w:rPr>
            </w:pPr>
          </w:p>
        </w:tc>
        <w:tc>
          <w:tcPr>
            <w:tcW w:w="3000" w:type="dxa"/>
            <w:vAlign w:val="bottom"/>
            <w:gridSpan w:val="3"/>
          </w:tcPr>
          <w:p>
            <w:pPr>
              <w:jc w:val="right"/>
              <w:ind w:right="1520"/>
              <w:spacing w:after="0"/>
              <w:rPr>
                <w:sz w:val="20"/>
                <w:szCs w:val="20"/>
                <w:color w:val="auto"/>
              </w:rPr>
            </w:pPr>
            <w:r>
              <w:rPr>
                <w:rFonts w:ascii="Arial" w:cs="Arial" w:eastAsia="Arial" w:hAnsi="Arial"/>
                <w:sz w:val="14"/>
                <w:szCs w:val="14"/>
                <w:b w:val="1"/>
                <w:bCs w:val="1"/>
                <w:color w:val="auto"/>
              </w:rPr>
              <w:t>Year Ended</w:t>
            </w:r>
          </w:p>
        </w:tc>
        <w:tc>
          <w:tcPr>
            <w:tcW w:w="96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60" w:type="dxa"/>
            <w:vAlign w:val="bottom"/>
          </w:tcPr>
          <w:p>
            <w:pPr>
              <w:spacing w:after="0"/>
              <w:rPr>
                <w:sz w:val="11"/>
                <w:szCs w:val="11"/>
                <w:color w:val="auto"/>
              </w:rPr>
            </w:pPr>
          </w:p>
        </w:tc>
        <w:tc>
          <w:tcPr>
            <w:tcW w:w="860" w:type="dxa"/>
            <w:vAlign w:val="bottom"/>
            <w:tcBorders>
              <w:top w:val="single" w:sz="8" w:color="auto"/>
            </w:tcBorders>
          </w:tcPr>
          <w:p>
            <w:pPr>
              <w:jc w:val="right"/>
              <w:ind w:right="104"/>
              <w:spacing w:after="0" w:line="129" w:lineRule="exact"/>
              <w:rPr>
                <w:sz w:val="20"/>
                <w:szCs w:val="20"/>
                <w:color w:val="auto"/>
              </w:rPr>
            </w:pPr>
            <w:r>
              <w:rPr>
                <w:rFonts w:ascii="Arial" w:cs="Arial" w:eastAsia="Arial" w:hAnsi="Arial"/>
                <w:sz w:val="14"/>
                <w:szCs w:val="14"/>
                <w:b w:val="1"/>
                <w:bCs w:val="1"/>
                <w:color w:val="auto"/>
                <w:w w:val="87"/>
              </w:rPr>
              <w:t>February 2,</w:t>
            </w:r>
          </w:p>
        </w:tc>
        <w:tc>
          <w:tcPr>
            <w:tcW w:w="14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28,</w:t>
            </w:r>
          </w:p>
        </w:tc>
        <w:tc>
          <w:tcPr>
            <w:tcW w:w="74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60" w:type="dxa"/>
            <w:vAlign w:val="bottom"/>
          </w:tcPr>
          <w:p>
            <w:pPr>
              <w:spacing w:after="0"/>
              <w:rPr>
                <w:sz w:val="14"/>
                <w:szCs w:val="14"/>
                <w:color w:val="auto"/>
              </w:rPr>
            </w:pPr>
          </w:p>
        </w:tc>
        <w:tc>
          <w:tcPr>
            <w:tcW w:w="860" w:type="dxa"/>
            <w:vAlign w:val="bottom"/>
          </w:tcPr>
          <w:p>
            <w:pPr>
              <w:jc w:val="right"/>
              <w:ind w:right="304"/>
              <w:spacing w:after="0"/>
              <w:rPr>
                <w:sz w:val="20"/>
                <w:szCs w:val="20"/>
                <w:color w:val="auto"/>
              </w:rPr>
            </w:pPr>
            <w:r>
              <w:rPr>
                <w:rFonts w:ascii="Arial" w:cs="Arial" w:eastAsia="Arial" w:hAnsi="Arial"/>
                <w:sz w:val="14"/>
                <w:szCs w:val="14"/>
                <w:b w:val="1"/>
                <w:bCs w:val="1"/>
                <w:color w:val="auto"/>
              </w:rPr>
              <w:t>2013</w:t>
            </w:r>
          </w:p>
        </w:tc>
        <w:tc>
          <w:tcPr>
            <w:tcW w:w="14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2012</w:t>
            </w:r>
          </w:p>
        </w:tc>
        <w:tc>
          <w:tcPr>
            <w:tcW w:w="740" w:type="dxa"/>
            <w:vAlign w:val="bottom"/>
          </w:tcPr>
          <w:p>
            <w:pPr>
              <w:spacing w:after="0"/>
              <w:rPr>
                <w:sz w:val="14"/>
                <w:szCs w:val="14"/>
                <w:color w:val="auto"/>
              </w:rPr>
            </w:pPr>
          </w:p>
        </w:tc>
        <w:tc>
          <w:tcPr>
            <w:tcW w:w="9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46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2"/>
          </w:tcPr>
          <w:p>
            <w:pPr>
              <w:jc w:val="right"/>
              <w:ind w:right="140"/>
              <w:spacing w:after="0" w:line="142" w:lineRule="exact"/>
              <w:rPr>
                <w:sz w:val="20"/>
                <w:szCs w:val="20"/>
                <w:color w:val="auto"/>
              </w:rPr>
            </w:pPr>
            <w:r>
              <w:rPr>
                <w:rFonts w:ascii="Arial" w:cs="Arial" w:eastAsia="Arial" w:hAnsi="Arial"/>
                <w:sz w:val="14"/>
                <w:szCs w:val="14"/>
                <w:b w:val="1"/>
                <w:bCs w:val="1"/>
                <w:color w:val="auto"/>
                <w:w w:val="84"/>
              </w:rPr>
              <w:t>(in thousands, except percentages)</w:t>
            </w:r>
          </w:p>
        </w:tc>
        <w:tc>
          <w:tcPr>
            <w:tcW w:w="7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860" w:type="dxa"/>
            <w:vAlign w:val="bottom"/>
            <w:shd w:val="clear" w:color="auto" w:fill="CCEEFF"/>
          </w:tcPr>
          <w:p>
            <w:pPr>
              <w:jc w:val="right"/>
              <w:ind w:right="84"/>
              <w:spacing w:after="0"/>
              <w:rPr>
                <w:sz w:val="20"/>
                <w:szCs w:val="20"/>
                <w:color w:val="auto"/>
              </w:rPr>
            </w:pPr>
            <w:r>
              <w:rPr>
                <w:rFonts w:ascii="Arial" w:cs="Arial" w:eastAsia="Arial" w:hAnsi="Arial"/>
                <w:sz w:val="18"/>
                <w:szCs w:val="18"/>
                <w:color w:val="auto"/>
                <w:w w:val="90"/>
              </w:rPr>
              <w:t>$  52,700</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49,357</w:t>
            </w:r>
          </w:p>
        </w:tc>
        <w:tc>
          <w:tcPr>
            <w:tcW w:w="7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r>
        <w:trPr>
          <w:trHeight w:val="222"/>
        </w:trPr>
        <w:tc>
          <w:tcPr>
            <w:tcW w:w="7460" w:type="dxa"/>
            <w:vAlign w:val="bottom"/>
          </w:tcPr>
          <w:p>
            <w:pPr>
              <w:spacing w:after="0"/>
              <w:rPr>
                <w:sz w:val="20"/>
                <w:szCs w:val="20"/>
                <w:color w:val="auto"/>
              </w:rPr>
            </w:pPr>
            <w:r>
              <w:rPr>
                <w:rFonts w:ascii="Arial" w:cs="Arial" w:eastAsia="Arial" w:hAnsi="Arial"/>
                <w:sz w:val="18"/>
                <w:szCs w:val="18"/>
                <w:color w:val="auto"/>
              </w:rPr>
              <w:t>% of net revenue</w:t>
            </w:r>
          </w:p>
        </w:tc>
        <w:tc>
          <w:tcPr>
            <w:tcW w:w="860" w:type="dxa"/>
            <w:vAlign w:val="bottom"/>
          </w:tcPr>
          <w:p>
            <w:pPr>
              <w:jc w:val="right"/>
              <w:spacing w:after="0"/>
              <w:rPr>
                <w:sz w:val="20"/>
                <w:szCs w:val="20"/>
                <w:color w:val="auto"/>
              </w:rPr>
            </w:pPr>
            <w:r>
              <w:rPr>
                <w:rFonts w:ascii="Arial" w:cs="Arial" w:eastAsia="Arial" w:hAnsi="Arial"/>
                <w:sz w:val="18"/>
                <w:szCs w:val="18"/>
                <w:color w:val="auto"/>
              </w:rPr>
              <w:t>1.7%</w:t>
            </w:r>
          </w:p>
        </w:tc>
        <w:tc>
          <w:tcPr>
            <w:tcW w:w="2140" w:type="dxa"/>
            <w:vAlign w:val="bottom"/>
            <w:gridSpan w:val="2"/>
          </w:tcPr>
          <w:p>
            <w:pPr>
              <w:jc w:val="right"/>
              <w:ind w:right="600"/>
              <w:spacing w:after="0"/>
              <w:rPr>
                <w:sz w:val="20"/>
                <w:szCs w:val="20"/>
                <w:color w:val="auto"/>
              </w:rPr>
            </w:pPr>
            <w:r>
              <w:rPr>
                <w:rFonts w:ascii="Arial" w:cs="Arial" w:eastAsia="Arial" w:hAnsi="Arial"/>
                <w:sz w:val="18"/>
                <w:szCs w:val="18"/>
                <w:color w:val="auto"/>
              </w:rPr>
              <w:t>1.4%</w:t>
            </w:r>
          </w:p>
        </w:tc>
        <w:tc>
          <w:tcPr>
            <w:tcW w:w="7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Amortization and write-off of acquired intangible assets increased by $3.3 million in fiscal 2013 compared to fiscal 2012. This increase was primarily due to additional amortization expense related to the intangible assets acquired in the fourth quarter of fiscal 2012 and the additional week of expense since fiscal 2013 was a 53-week year.</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60" w:type="dxa"/>
            <w:vAlign w:val="bottom"/>
          </w:tcPr>
          <w:p>
            <w:pPr>
              <w:spacing w:after="0"/>
              <w:rPr>
                <w:sz w:val="14"/>
                <w:szCs w:val="14"/>
                <w:color w:val="auto"/>
              </w:rPr>
            </w:pPr>
          </w:p>
        </w:tc>
        <w:tc>
          <w:tcPr>
            <w:tcW w:w="3000" w:type="dxa"/>
            <w:vAlign w:val="bottom"/>
            <w:gridSpan w:val="3"/>
          </w:tcPr>
          <w:p>
            <w:pPr>
              <w:jc w:val="right"/>
              <w:ind w:right="1520"/>
              <w:spacing w:after="0"/>
              <w:rPr>
                <w:sz w:val="20"/>
                <w:szCs w:val="20"/>
                <w:color w:val="auto"/>
              </w:rPr>
            </w:pPr>
            <w:r>
              <w:rPr>
                <w:rFonts w:ascii="Arial" w:cs="Arial" w:eastAsia="Arial" w:hAnsi="Arial"/>
                <w:sz w:val="14"/>
                <w:szCs w:val="14"/>
                <w:b w:val="1"/>
                <w:bCs w:val="1"/>
                <w:color w:val="auto"/>
              </w:rPr>
              <w:t>Year Ended</w:t>
            </w:r>
          </w:p>
        </w:tc>
        <w:tc>
          <w:tcPr>
            <w:tcW w:w="96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60" w:type="dxa"/>
            <w:vAlign w:val="bottom"/>
          </w:tcPr>
          <w:p>
            <w:pPr>
              <w:spacing w:after="0"/>
              <w:rPr>
                <w:sz w:val="11"/>
                <w:szCs w:val="11"/>
                <w:color w:val="auto"/>
              </w:rPr>
            </w:pPr>
          </w:p>
        </w:tc>
        <w:tc>
          <w:tcPr>
            <w:tcW w:w="860" w:type="dxa"/>
            <w:vAlign w:val="bottom"/>
            <w:tcBorders>
              <w:top w:val="single" w:sz="8" w:color="auto"/>
            </w:tcBorders>
          </w:tcPr>
          <w:p>
            <w:pPr>
              <w:jc w:val="right"/>
              <w:ind w:right="104"/>
              <w:spacing w:after="0" w:line="129" w:lineRule="exact"/>
              <w:rPr>
                <w:sz w:val="20"/>
                <w:szCs w:val="20"/>
                <w:color w:val="auto"/>
              </w:rPr>
            </w:pPr>
            <w:r>
              <w:rPr>
                <w:rFonts w:ascii="Arial" w:cs="Arial" w:eastAsia="Arial" w:hAnsi="Arial"/>
                <w:sz w:val="14"/>
                <w:szCs w:val="14"/>
                <w:b w:val="1"/>
                <w:bCs w:val="1"/>
                <w:color w:val="auto"/>
                <w:w w:val="87"/>
              </w:rPr>
              <w:t>February 2,</w:t>
            </w:r>
          </w:p>
        </w:tc>
        <w:tc>
          <w:tcPr>
            <w:tcW w:w="14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28,</w:t>
            </w:r>
          </w:p>
        </w:tc>
        <w:tc>
          <w:tcPr>
            <w:tcW w:w="740" w:type="dxa"/>
            <w:vAlign w:val="bottom"/>
          </w:tcPr>
          <w:p>
            <w:pPr>
              <w:spacing w:after="0"/>
              <w:rPr>
                <w:sz w:val="11"/>
                <w:szCs w:val="11"/>
                <w:color w:val="auto"/>
              </w:rPr>
            </w:pPr>
          </w:p>
        </w:tc>
        <w:tc>
          <w:tcPr>
            <w:tcW w:w="96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60" w:type="dxa"/>
            <w:vAlign w:val="bottom"/>
          </w:tcPr>
          <w:p>
            <w:pPr>
              <w:spacing w:after="0"/>
              <w:rPr>
                <w:sz w:val="14"/>
                <w:szCs w:val="14"/>
                <w:color w:val="auto"/>
              </w:rPr>
            </w:pPr>
          </w:p>
        </w:tc>
        <w:tc>
          <w:tcPr>
            <w:tcW w:w="860" w:type="dxa"/>
            <w:vAlign w:val="bottom"/>
          </w:tcPr>
          <w:p>
            <w:pPr>
              <w:jc w:val="right"/>
              <w:ind w:right="304"/>
              <w:spacing w:after="0"/>
              <w:rPr>
                <w:sz w:val="20"/>
                <w:szCs w:val="20"/>
                <w:color w:val="auto"/>
              </w:rPr>
            </w:pPr>
            <w:r>
              <w:rPr>
                <w:rFonts w:ascii="Arial" w:cs="Arial" w:eastAsia="Arial" w:hAnsi="Arial"/>
                <w:sz w:val="14"/>
                <w:szCs w:val="14"/>
                <w:b w:val="1"/>
                <w:bCs w:val="1"/>
                <w:color w:val="auto"/>
              </w:rPr>
              <w:t>2013</w:t>
            </w:r>
          </w:p>
        </w:tc>
        <w:tc>
          <w:tcPr>
            <w:tcW w:w="14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2012</w:t>
            </w:r>
          </w:p>
        </w:tc>
        <w:tc>
          <w:tcPr>
            <w:tcW w:w="740" w:type="dxa"/>
            <w:vAlign w:val="bottom"/>
          </w:tcPr>
          <w:p>
            <w:pPr>
              <w:spacing w:after="0"/>
              <w:rPr>
                <w:sz w:val="14"/>
                <w:szCs w:val="14"/>
                <w:color w:val="auto"/>
              </w:rPr>
            </w:pPr>
          </w:p>
        </w:tc>
        <w:tc>
          <w:tcPr>
            <w:tcW w:w="96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46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2"/>
          </w:tcPr>
          <w:p>
            <w:pPr>
              <w:jc w:val="right"/>
              <w:ind w:right="140"/>
              <w:spacing w:after="0" w:line="142" w:lineRule="exact"/>
              <w:rPr>
                <w:sz w:val="20"/>
                <w:szCs w:val="20"/>
                <w:color w:val="auto"/>
              </w:rPr>
            </w:pPr>
            <w:r>
              <w:rPr>
                <w:rFonts w:ascii="Arial" w:cs="Arial" w:eastAsia="Arial" w:hAnsi="Arial"/>
                <w:sz w:val="14"/>
                <w:szCs w:val="14"/>
                <w:b w:val="1"/>
                <w:bCs w:val="1"/>
                <w:color w:val="auto"/>
                <w:w w:val="84"/>
              </w:rPr>
              <w:t>(in thousands, except percentages)</w:t>
            </w:r>
          </w:p>
        </w:tc>
        <w:tc>
          <w:tcPr>
            <w:tcW w:w="7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860" w:type="dxa"/>
            <w:vAlign w:val="bottom"/>
            <w:shd w:val="clear" w:color="auto" w:fill="CCEEFF"/>
          </w:tcPr>
          <w:p>
            <w:pPr>
              <w:jc w:val="right"/>
              <w:ind w:right="84"/>
              <w:spacing w:after="0"/>
              <w:rPr>
                <w:sz w:val="20"/>
                <w:szCs w:val="20"/>
                <w:color w:val="auto"/>
              </w:rPr>
            </w:pPr>
            <w:r>
              <w:rPr>
                <w:rFonts w:ascii="Arial" w:cs="Arial" w:eastAsia="Arial" w:hAnsi="Arial"/>
                <w:sz w:val="18"/>
                <w:szCs w:val="18"/>
                <w:color w:val="auto"/>
                <w:w w:val="90"/>
              </w:rPr>
              <w:t>$  15,533</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14,913</w:t>
            </w:r>
          </w:p>
        </w:tc>
        <w:tc>
          <w:tcPr>
            <w:tcW w:w="7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22"/>
        </w:trPr>
        <w:tc>
          <w:tcPr>
            <w:tcW w:w="7460" w:type="dxa"/>
            <w:vAlign w:val="bottom"/>
          </w:tcPr>
          <w:p>
            <w:pPr>
              <w:spacing w:after="0"/>
              <w:rPr>
                <w:sz w:val="20"/>
                <w:szCs w:val="20"/>
                <w:color w:val="auto"/>
              </w:rPr>
            </w:pPr>
            <w:r>
              <w:rPr>
                <w:rFonts w:ascii="Arial" w:cs="Arial" w:eastAsia="Arial" w:hAnsi="Arial"/>
                <w:sz w:val="18"/>
                <w:szCs w:val="18"/>
                <w:color w:val="auto"/>
              </w:rPr>
              <w:t>% of net revenue</w:t>
            </w:r>
          </w:p>
        </w:tc>
        <w:tc>
          <w:tcPr>
            <w:tcW w:w="860" w:type="dxa"/>
            <w:vAlign w:val="bottom"/>
          </w:tcPr>
          <w:p>
            <w:pPr>
              <w:jc w:val="right"/>
              <w:spacing w:after="0"/>
              <w:rPr>
                <w:sz w:val="20"/>
                <w:szCs w:val="20"/>
                <w:color w:val="auto"/>
              </w:rPr>
            </w:pPr>
            <w:r>
              <w:rPr>
                <w:rFonts w:ascii="Arial" w:cs="Arial" w:eastAsia="Arial" w:hAnsi="Arial"/>
                <w:sz w:val="18"/>
                <w:szCs w:val="18"/>
                <w:color w:val="auto"/>
              </w:rPr>
              <w:t>0.5%</w:t>
            </w:r>
          </w:p>
        </w:tc>
        <w:tc>
          <w:tcPr>
            <w:tcW w:w="2140" w:type="dxa"/>
            <w:vAlign w:val="bottom"/>
            <w:gridSpan w:val="2"/>
          </w:tcPr>
          <w:p>
            <w:pPr>
              <w:jc w:val="right"/>
              <w:ind w:right="600"/>
              <w:spacing w:after="0"/>
              <w:rPr>
                <w:sz w:val="20"/>
                <w:szCs w:val="20"/>
                <w:color w:val="auto"/>
              </w:rPr>
            </w:pPr>
            <w:r>
              <w:rPr>
                <w:rFonts w:ascii="Arial" w:cs="Arial" w:eastAsia="Arial" w:hAnsi="Arial"/>
                <w:sz w:val="18"/>
                <w:szCs w:val="18"/>
                <w:color w:val="auto"/>
              </w:rPr>
              <w:t>0.4%</w:t>
            </w:r>
          </w:p>
        </w:tc>
        <w:tc>
          <w:tcPr>
            <w:tcW w:w="7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Interest and other income, net, consists primarily of interest earned on cash, cash equivalents and short-term investment balances, gains and losses on the sale of marketable and equity securities and foreign currency impacts, net of interest. The increase in interest and other income, net in fiscal 2013 compared to fiscal 2012 was primarily due to higher gains on sales of marketable securities. This was partially offset by lower interest income in fiscal 2013 from lower average cash and investment balances, as well as a lower rate of return.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40" w:type="dxa"/>
            <w:vAlign w:val="bottom"/>
          </w:tcPr>
          <w:p>
            <w:pPr>
              <w:spacing w:after="0"/>
              <w:rPr>
                <w:sz w:val="14"/>
                <w:szCs w:val="14"/>
                <w:color w:val="auto"/>
              </w:rPr>
            </w:pPr>
          </w:p>
        </w:tc>
        <w:tc>
          <w:tcPr>
            <w:tcW w:w="2980" w:type="dxa"/>
            <w:vAlign w:val="bottom"/>
            <w:gridSpan w:val="3"/>
          </w:tcPr>
          <w:p>
            <w:pPr>
              <w:jc w:val="right"/>
              <w:ind w:right="1520"/>
              <w:spacing w:after="0"/>
              <w:rPr>
                <w:sz w:val="20"/>
                <w:szCs w:val="20"/>
                <w:color w:val="auto"/>
              </w:rPr>
            </w:pPr>
            <w:r>
              <w:rPr>
                <w:rFonts w:ascii="Arial" w:cs="Arial" w:eastAsia="Arial" w:hAnsi="Arial"/>
                <w:sz w:val="14"/>
                <w:szCs w:val="14"/>
                <w:b w:val="1"/>
                <w:bCs w:val="1"/>
                <w:color w:val="auto"/>
              </w:rPr>
              <w:t>Year Ended</w:t>
            </w:r>
          </w:p>
        </w:tc>
        <w:tc>
          <w:tcPr>
            <w:tcW w:w="100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40" w:type="dxa"/>
            <w:vAlign w:val="bottom"/>
          </w:tcPr>
          <w:p>
            <w:pPr>
              <w:spacing w:after="0"/>
              <w:rPr>
                <w:sz w:val="11"/>
                <w:szCs w:val="11"/>
                <w:color w:val="auto"/>
              </w:rPr>
            </w:pPr>
          </w:p>
        </w:tc>
        <w:tc>
          <w:tcPr>
            <w:tcW w:w="860" w:type="dxa"/>
            <w:vAlign w:val="bottom"/>
            <w:tcBorders>
              <w:top w:val="single" w:sz="8" w:color="auto"/>
            </w:tcBorders>
          </w:tcPr>
          <w:p>
            <w:pPr>
              <w:jc w:val="right"/>
              <w:ind w:right="104"/>
              <w:spacing w:after="0" w:line="129" w:lineRule="exact"/>
              <w:rPr>
                <w:sz w:val="20"/>
                <w:szCs w:val="20"/>
                <w:color w:val="auto"/>
              </w:rPr>
            </w:pPr>
            <w:r>
              <w:rPr>
                <w:rFonts w:ascii="Arial" w:cs="Arial" w:eastAsia="Arial" w:hAnsi="Arial"/>
                <w:sz w:val="14"/>
                <w:szCs w:val="14"/>
                <w:b w:val="1"/>
                <w:bCs w:val="1"/>
                <w:color w:val="auto"/>
                <w:w w:val="87"/>
              </w:rPr>
              <w:t>February 2,</w:t>
            </w:r>
          </w:p>
        </w:tc>
        <w:tc>
          <w:tcPr>
            <w:tcW w:w="13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January 28,</w:t>
            </w:r>
          </w:p>
        </w:tc>
        <w:tc>
          <w:tcPr>
            <w:tcW w:w="740" w:type="dxa"/>
            <w:vAlign w:val="bottom"/>
          </w:tcPr>
          <w:p>
            <w:pPr>
              <w:spacing w:after="0"/>
              <w:rPr>
                <w:sz w:val="11"/>
                <w:szCs w:val="11"/>
                <w:color w:val="auto"/>
              </w:rPr>
            </w:pPr>
          </w:p>
        </w:tc>
        <w:tc>
          <w:tcPr>
            <w:tcW w:w="10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40" w:type="dxa"/>
            <w:vAlign w:val="bottom"/>
          </w:tcPr>
          <w:p>
            <w:pPr>
              <w:spacing w:after="0"/>
              <w:rPr>
                <w:sz w:val="14"/>
                <w:szCs w:val="14"/>
                <w:color w:val="auto"/>
              </w:rPr>
            </w:pPr>
          </w:p>
        </w:tc>
        <w:tc>
          <w:tcPr>
            <w:tcW w:w="860" w:type="dxa"/>
            <w:vAlign w:val="bottom"/>
          </w:tcPr>
          <w:p>
            <w:pPr>
              <w:jc w:val="right"/>
              <w:ind w:right="304"/>
              <w:spacing w:after="0"/>
              <w:rPr>
                <w:sz w:val="20"/>
                <w:szCs w:val="20"/>
                <w:color w:val="auto"/>
              </w:rPr>
            </w:pPr>
            <w:r>
              <w:rPr>
                <w:rFonts w:ascii="Arial" w:cs="Arial" w:eastAsia="Arial" w:hAnsi="Arial"/>
                <w:sz w:val="14"/>
                <w:szCs w:val="14"/>
                <w:b w:val="1"/>
                <w:bCs w:val="1"/>
                <w:color w:val="auto"/>
              </w:rPr>
              <w:t>2013</w:t>
            </w:r>
          </w:p>
        </w:tc>
        <w:tc>
          <w:tcPr>
            <w:tcW w:w="1380" w:type="dxa"/>
            <w:vAlign w:val="bottom"/>
          </w:tcPr>
          <w:p>
            <w:pPr>
              <w:jc w:val="right"/>
              <w:ind w:right="144"/>
              <w:spacing w:after="0"/>
              <w:rPr>
                <w:sz w:val="20"/>
                <w:szCs w:val="20"/>
                <w:color w:val="auto"/>
              </w:rPr>
            </w:pPr>
            <w:r>
              <w:rPr>
                <w:rFonts w:ascii="Arial" w:cs="Arial" w:eastAsia="Arial" w:hAnsi="Arial"/>
                <w:sz w:val="14"/>
                <w:szCs w:val="14"/>
                <w:b w:val="1"/>
                <w:bCs w:val="1"/>
                <w:color w:val="auto"/>
              </w:rPr>
              <w:t>2012</w:t>
            </w:r>
          </w:p>
        </w:tc>
        <w:tc>
          <w:tcPr>
            <w:tcW w:w="740" w:type="dxa"/>
            <w:vAlign w:val="bottom"/>
          </w:tcPr>
          <w:p>
            <w:pPr>
              <w:spacing w:after="0"/>
              <w:rPr>
                <w:sz w:val="14"/>
                <w:szCs w:val="14"/>
                <w:color w:val="auto"/>
              </w:rPr>
            </w:pPr>
          </w:p>
        </w:tc>
        <w:tc>
          <w:tcPr>
            <w:tcW w:w="10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in 2013</w:t>
            </w:r>
          </w:p>
        </w:tc>
        <w:tc>
          <w:tcPr>
            <w:tcW w:w="0" w:type="dxa"/>
            <w:vAlign w:val="bottom"/>
          </w:tcPr>
          <w:p>
            <w:pPr>
              <w:spacing w:after="0"/>
              <w:rPr>
                <w:sz w:val="1"/>
                <w:szCs w:val="1"/>
                <w:color w:val="auto"/>
              </w:rPr>
            </w:pPr>
          </w:p>
        </w:tc>
      </w:tr>
      <w:tr>
        <w:trPr>
          <w:trHeight w:val="142"/>
        </w:trPr>
        <w:tc>
          <w:tcPr>
            <w:tcW w:w="744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2120" w:type="dxa"/>
            <w:vAlign w:val="bottom"/>
            <w:tcBorders>
              <w:top w:val="single" w:sz="8" w:color="auto"/>
            </w:tcBorders>
            <w:gridSpan w:val="2"/>
          </w:tcPr>
          <w:p>
            <w:pPr>
              <w:jc w:val="right"/>
              <w:ind w:right="140"/>
              <w:spacing w:after="0" w:line="142" w:lineRule="exact"/>
              <w:rPr>
                <w:sz w:val="20"/>
                <w:szCs w:val="20"/>
                <w:color w:val="auto"/>
              </w:rPr>
            </w:pPr>
            <w:r>
              <w:rPr>
                <w:rFonts w:ascii="Arial" w:cs="Arial" w:eastAsia="Arial" w:hAnsi="Arial"/>
                <w:sz w:val="14"/>
                <w:szCs w:val="14"/>
                <w:b w:val="1"/>
                <w:bCs w:val="1"/>
                <w:color w:val="auto"/>
                <w:w w:val="83"/>
              </w:rPr>
              <w:t>(in thousands, except percentages)</w:t>
            </w:r>
          </w:p>
        </w:tc>
        <w:tc>
          <w:tcPr>
            <w:tcW w:w="7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860" w:type="dxa"/>
            <w:vAlign w:val="bottom"/>
            <w:shd w:val="clear" w:color="auto" w:fill="CCEEFF"/>
          </w:tcPr>
          <w:p>
            <w:pPr>
              <w:jc w:val="right"/>
              <w:ind w:right="104"/>
              <w:spacing w:after="0"/>
              <w:rPr>
                <w:sz w:val="20"/>
                <w:szCs w:val="20"/>
                <w:color w:val="auto"/>
              </w:rPr>
            </w:pPr>
            <w:r>
              <w:rPr>
                <w:rFonts w:ascii="Arial" w:cs="Arial" w:eastAsia="Arial" w:hAnsi="Arial"/>
                <w:sz w:val="18"/>
                <w:szCs w:val="18"/>
                <w:color w:val="auto"/>
              </w:rPr>
              <w:t>$  3,605</w:t>
            </w:r>
          </w:p>
        </w:tc>
        <w:tc>
          <w:tcPr>
            <w:tcW w:w="212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  3,968</w:t>
            </w:r>
          </w:p>
        </w:tc>
        <w:tc>
          <w:tcPr>
            <w:tcW w:w="10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(9.1)%</w:t>
            </w:r>
          </w:p>
        </w:tc>
        <w:tc>
          <w:tcPr>
            <w:tcW w:w="0" w:type="dxa"/>
            <w:vAlign w:val="bottom"/>
          </w:tcPr>
          <w:p>
            <w:pPr>
              <w:spacing w:after="0"/>
              <w:rPr>
                <w:sz w:val="1"/>
                <w:szCs w:val="1"/>
                <w:color w:val="auto"/>
              </w:rPr>
            </w:pPr>
          </w:p>
        </w:tc>
      </w:tr>
      <w:tr>
        <w:trPr>
          <w:trHeight w:val="222"/>
        </w:trPr>
        <w:tc>
          <w:tcPr>
            <w:tcW w:w="7440" w:type="dxa"/>
            <w:vAlign w:val="bottom"/>
          </w:tcPr>
          <w:p>
            <w:pPr>
              <w:spacing w:after="0"/>
              <w:rPr>
                <w:sz w:val="20"/>
                <w:szCs w:val="20"/>
                <w:color w:val="auto"/>
              </w:rPr>
            </w:pPr>
            <w:r>
              <w:rPr>
                <w:rFonts w:ascii="Arial" w:cs="Arial" w:eastAsia="Arial" w:hAnsi="Arial"/>
                <w:sz w:val="18"/>
                <w:szCs w:val="18"/>
                <w:color w:val="auto"/>
              </w:rPr>
              <w:t>% of net revenue</w:t>
            </w:r>
          </w:p>
        </w:tc>
        <w:tc>
          <w:tcPr>
            <w:tcW w:w="860" w:type="dxa"/>
            <w:vAlign w:val="bottom"/>
          </w:tcPr>
          <w:p>
            <w:pPr>
              <w:jc w:val="right"/>
              <w:spacing w:after="0"/>
              <w:rPr>
                <w:sz w:val="20"/>
                <w:szCs w:val="20"/>
                <w:color w:val="auto"/>
              </w:rPr>
            </w:pPr>
            <w:r>
              <w:rPr>
                <w:rFonts w:ascii="Arial" w:cs="Arial" w:eastAsia="Arial" w:hAnsi="Arial"/>
                <w:sz w:val="18"/>
                <w:szCs w:val="18"/>
                <w:color w:val="auto"/>
              </w:rPr>
              <w:t>0.1%</w:t>
            </w:r>
          </w:p>
        </w:tc>
        <w:tc>
          <w:tcPr>
            <w:tcW w:w="2120" w:type="dxa"/>
            <w:vAlign w:val="bottom"/>
            <w:gridSpan w:val="2"/>
          </w:tcPr>
          <w:p>
            <w:pPr>
              <w:jc w:val="right"/>
              <w:ind w:right="600"/>
              <w:spacing w:after="0"/>
              <w:rPr>
                <w:sz w:val="20"/>
                <w:szCs w:val="20"/>
                <w:color w:val="auto"/>
              </w:rPr>
            </w:pPr>
            <w:r>
              <w:rPr>
                <w:rFonts w:ascii="Arial" w:cs="Arial" w:eastAsia="Arial" w:hAnsi="Arial"/>
                <w:sz w:val="18"/>
                <w:szCs w:val="18"/>
                <w:color w:val="auto"/>
              </w:rPr>
              <w:t>0.1%</w:t>
            </w:r>
          </w:p>
        </w:tc>
        <w:tc>
          <w:tcPr>
            <w:tcW w:w="7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During fiscal 2013, the provision for income taxes consisted of the current income tax liability of $20.1 million, which was primarily offset by net reductions in unrecognized tax benefits of $18.8 million due to the expiration of the statutes of limitations in multiple jurisdictions less increases in unrecognized tax benefits including interest and penalties. The fiscal 2013 provision for income taxes also included $2.3 million in tax expense that mainly resulted from tax provision-to-tax return adjustments in various countries. This compares to the provision for income taxes in fiscal 2012 consisting of the current income tax liability of $12.4 million, which was primarily offset by net reductions in unrecognized tax benefits of $6.1 million due to the expiration of the statutes of limitations in multiple jurisdictions less increases in unrecognized tax benefits including interest and penalties. The fiscal 2012 provision for income taxes also included a benefit of $2.3 million from a decrease in tax expense that mainly resulted from tax provision-to-tax return adjustments in various countries and from the settlements of audits in non-U.S. jurisdictions.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principal source of liquidity as of February 1, 2014 consisted of approximately $2.0 billion of cash, cash equivalents and short-term investments.</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Net cash provided by operating activities was $448.0 million for fiscal 2014 compared to $729.0 million for fiscal 2013 and $771.2 million for fiscal 2012. The cash inflows from operations for fiscal 2014 were primarily due to $623.0 million of net income adjusted for non-cash items and negative working capital changes of $175.0 million. The negative impact on working capital was primarily driven by an increase in accounts receivable from higher revenue levels and higher inventories due to the ramp up of new products.</w:t>
      </w:r>
    </w:p>
    <w:p>
      <w:pPr>
        <w:spacing w:after="0" w:line="143"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The cash inflows from operations for fiscal 2013 were primarily due to $592.0 million of net income adjusted for non-cash items and positive working capital changes of $137.0 million. The positive change in working capital for fiscal 2013 was primarily driven by a decrease in inventories due to increased shipment towards the end of the current year and a decrease in accounts receivable due to improved collections in the fourth quarter of fiscal 2013 compared to the fourth quarter of fiscal 2012.</w:t>
      </w:r>
    </w:p>
    <w:p>
      <w:pPr>
        <w:spacing w:after="0" w:line="143"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The cash inflows from operations for fiscal 2012 were primarily due to $884.5 million of net income adjusted for non-cash items. Within working capital during fiscal 2012, accounts receivable decreased due to lower levels of revenue in the fourth quarter of fiscal 2012. Inventories increased due primarily to two factors: (1) the floods in Thailand which increased our inventories of hard drive products at the end of fiscal 2012, and (2) the increased use of “hubs” managed by third-party logistics providers. When products are shipped to these third-party managed locations, the inventory remains on our books until pulled by the customer. Accounts payable decreased due to lower levels of purchasing activities near the end of fiscal 2012.</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and (Used in) Investing Activities</w:t>
      </w:r>
    </w:p>
    <w:p>
      <w:pPr>
        <w:spacing w:after="0" w:line="90" w:lineRule="exact"/>
        <w:rPr>
          <w:sz w:val="20"/>
          <w:szCs w:val="20"/>
          <w:color w:val="auto"/>
        </w:rPr>
      </w:pPr>
    </w:p>
    <w:p>
      <w:pPr>
        <w:ind w:right="360" w:firstLine="456"/>
        <w:spacing w:after="0" w:line="298" w:lineRule="auto"/>
        <w:rPr>
          <w:sz w:val="20"/>
          <w:szCs w:val="20"/>
          <w:color w:val="auto"/>
        </w:rPr>
      </w:pPr>
      <w:r>
        <w:rPr>
          <w:rFonts w:ascii="Arial" w:cs="Arial" w:eastAsia="Arial" w:hAnsi="Arial"/>
          <w:sz w:val="16"/>
          <w:szCs w:val="16"/>
          <w:color w:val="auto"/>
        </w:rPr>
        <w:t>Net cash provided by investing activities was $74.8 million for fiscal 2014 compared to net cash provided by investing activities of $178.8 million for fiscal 2013 and net cash used in investing activities of $590.1 million for fiscal 2012. For fiscal 2014, net cash provided by investing activities was primarily generated from the sales and maturities of available-for-sale securities of $995.0 million less purchases of available-for-sale securities of $837.9 million. In addition, we paid $66.6 million for the purchase of property and equipment and $17.6 million for the purchase of technology licenses.</w:t>
      </w:r>
    </w:p>
    <w:p>
      <w:pPr>
        <w:spacing w:after="0" w:line="113"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For fiscal 2013, net cash provided by investing activities was primarily generated from net sale and maturities of available-for-sale securities of $291.8 million. The net cash inflow from available-for-sale securities in fiscal 2013 was partially offset by the purchases of $68.2 million of property and equipment, and $35.0 million of IP licenses.</w:t>
      </w:r>
    </w:p>
    <w:p>
      <w:pPr>
        <w:spacing w:after="0" w:line="140"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For fiscal 2012, net cash used in investing activities was primarily due to net purchases of available-for-sale securities of $393.5 million. In addition, we paid $93.9 million for acquisitions, purchased $88.8 million of property and equipment mainly to support additional capacity, and purchased $13.8 million of technology licenses in fiscal 2012.</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Net cash used in financing activities was $309.0 million for fiscal 2014 compared to $940.8 million for fiscal 2013 and $1.2 billion for fiscal 2012. For fiscal 2014, net cash used in financing activities was primarily attributable to repurchases under our share repurchase program. We also made payments of our quarterly dividends of $119.4 million. The cash outflow was partially offset by net proceeds of $194.1 million from the issuance of our common shares under our share-based plans less the minimum tax withholding on behalf of employees for net share settlements.</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380"/>
          </w:cols>
          <w:pgMar w:left="240" w:top="459" w:right="27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For fiscal 2013, net cash used in financing activities was primarily attributable to repurchases under our share repurchase program of 91.0 million of our common shares in the open market for $959.1 million. Of this amount, $22.2 million was unpaid and included in accrued liabilities as of February 2, 2013. We also paid cash dividends of $98.8 million in fiscal 2013. The cash outflow was partially offset by net proceeds of $94.8 million from the issuance of our common shares under our share-based plans less the minimum tax withholding paid on behalf of employees for net share settlements.</w:t>
      </w:r>
    </w:p>
    <w:p>
      <w:pPr>
        <w:spacing w:after="0" w:line="113"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For fiscal 2012, net cash used in financing activities was primarily attributable to repurchases under our share repurchase program of 87.8 million of its common shares in the open market for $1.3 billion. The cash outflow was partially offset net by proceeds of $97.9 million from the issuance of common shares under our share-based plans less the minimum tax withholding paid on behalf of employees for net share settlements.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plan to appeal the final judgment issued by the District Court in the CMU litigation, regardless of the dollar amount of the final judgment. The parties are currently engaged in discussions before a Special Master concerning the bonding of the judgment pending appeal. During October 2013, we entered into indemnity agreements with a consortium of insurers that would potentially provide financial assurance that each of the insurers will be indemnified by us should a loss occur under a surety bond. As of February 1, 2014 and as of the date of this filing, no final judgment has been issued and no surety bond has been issued. Therefore, these indemnity agreements have had no impact to our Consolidated Balance Sheets as of February 1, 2014. We expect that under a surety bond, the surety companies would agree to guarantee to the District Court our payment of a specific amount, to be determined. However, the terms of any surety bond arrangements have not been finalized and we cannot be certain that a surety bond will be available to us in sufficient amount to cover the full amount of a final judgment or on commercially reasonable terms. If we cannot obtain a surety bond in sufficient amount or on commercially reasonable terms, or if the District Court in the CMU litigation does not approve alternative arrangements to stay execution of the judgment pending our appeal, our business could be harmed. For example, if, under a surety bond, we must post our cash, cash equivalents and short term investments as collateral, we may be restricted from using such assets in the operation of our business and such assets would be classified as restricted cash in future filings.</w:t>
      </w:r>
    </w:p>
    <w:p>
      <w:pPr>
        <w:spacing w:after="0" w:line="12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February 1, 2014, we were not involved in any unconsolidated SPE transactions.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requires repayment of all expenses incurred through the date of cancellation. As of February 1, 2014, these foundries had incurred approximately $270.9 million of manufacturing costs and expenses relating to our outstanding purchase orders.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February 1, 2014 and the effect that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8"/>
          </w:tcPr>
          <w:p>
            <w:pPr>
              <w:ind w:left="20"/>
              <w:spacing w:after="0"/>
              <w:rPr>
                <w:sz w:val="20"/>
                <w:szCs w:val="20"/>
                <w:color w:val="auto"/>
              </w:rPr>
            </w:pPr>
            <w:r>
              <w:rPr>
                <w:rFonts w:ascii="Arial" w:cs="Arial" w:eastAsia="Arial" w:hAnsi="Arial"/>
                <w:sz w:val="14"/>
                <w:szCs w:val="14"/>
                <w:b w:val="1"/>
                <w:bCs w:val="1"/>
                <w:color w:val="auto"/>
                <w:w w:val="87"/>
              </w:rPr>
              <w:t>Payment Obligations by Fiscal Year</w:t>
            </w:r>
          </w:p>
        </w:tc>
        <w:tc>
          <w:tcPr>
            <w:tcW w:w="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w w:val="96"/>
              </w:rPr>
              <w:t>2015</w:t>
            </w:r>
          </w:p>
        </w:tc>
        <w:tc>
          <w:tcPr>
            <w:tcW w:w="280" w:type="dxa"/>
            <w:vAlign w:val="bottom"/>
          </w:tcPr>
          <w:p>
            <w:pPr>
              <w:spacing w:after="0"/>
              <w:rPr>
                <w:sz w:val="12"/>
                <w:szCs w:val="12"/>
                <w:color w:val="auto"/>
              </w:rPr>
            </w:pPr>
          </w:p>
        </w:tc>
        <w:tc>
          <w:tcPr>
            <w:tcW w:w="500" w:type="dxa"/>
            <w:vAlign w:val="bottom"/>
          </w:tcPr>
          <w:p>
            <w:pPr>
              <w:jc w:val="right"/>
              <w:ind w:right="52"/>
              <w:spacing w:after="0" w:line="142" w:lineRule="exact"/>
              <w:rPr>
                <w:sz w:val="20"/>
                <w:szCs w:val="20"/>
                <w:color w:val="auto"/>
              </w:rPr>
            </w:pPr>
            <w:r>
              <w:rPr>
                <w:rFonts w:ascii="Arial" w:cs="Arial" w:eastAsia="Arial" w:hAnsi="Arial"/>
                <w:sz w:val="14"/>
                <w:szCs w:val="14"/>
                <w:b w:val="1"/>
                <w:bCs w:val="1"/>
                <w:color w:val="auto"/>
              </w:rPr>
              <w:t>2016</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0" w:type="dxa"/>
            <w:vAlign w:val="bottom"/>
          </w:tcPr>
          <w:p>
            <w:pPr>
              <w:ind w:left="20"/>
              <w:spacing w:after="0" w:line="142" w:lineRule="exact"/>
              <w:rPr>
                <w:sz w:val="20"/>
                <w:szCs w:val="20"/>
                <w:color w:val="auto"/>
              </w:rPr>
            </w:pPr>
            <w:r>
              <w:rPr>
                <w:rFonts w:ascii="Arial" w:cs="Arial" w:eastAsia="Arial" w:hAnsi="Arial"/>
                <w:sz w:val="14"/>
                <w:szCs w:val="14"/>
                <w:b w:val="1"/>
                <w:bCs w:val="1"/>
                <w:color w:val="auto"/>
              </w:rPr>
              <w:t>2017</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0" w:type="dxa"/>
            <w:vAlign w:val="bottom"/>
          </w:tcPr>
          <w:p>
            <w:pPr>
              <w:jc w:val="right"/>
              <w:ind w:right="32"/>
              <w:spacing w:after="0" w:line="142" w:lineRule="exact"/>
              <w:rPr>
                <w:sz w:val="20"/>
                <w:szCs w:val="20"/>
                <w:color w:val="auto"/>
              </w:rPr>
            </w:pPr>
            <w:r>
              <w:rPr>
                <w:rFonts w:ascii="Arial" w:cs="Arial" w:eastAsia="Arial" w:hAnsi="Arial"/>
                <w:sz w:val="14"/>
                <w:szCs w:val="14"/>
                <w:b w:val="1"/>
                <w:bCs w:val="1"/>
                <w:color w:val="auto"/>
                <w:w w:val="89"/>
              </w:rPr>
              <w:t>2018</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4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3"/>
              </w:rPr>
              <w:t>2019</w:t>
            </w:r>
          </w:p>
        </w:tc>
        <w:tc>
          <w:tcPr>
            <w:tcW w:w="2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60" w:type="dxa"/>
            <w:vAlign w:val="bottom"/>
            <w:gridSpan w:val="3"/>
          </w:tcPr>
          <w:p>
            <w:pPr>
              <w:ind w:left="40"/>
              <w:spacing w:after="0" w:line="142" w:lineRule="exact"/>
              <w:rPr>
                <w:sz w:val="20"/>
                <w:szCs w:val="20"/>
                <w:color w:val="auto"/>
              </w:rPr>
            </w:pPr>
            <w:r>
              <w:rPr>
                <w:rFonts w:ascii="Arial" w:cs="Arial" w:eastAsia="Arial" w:hAnsi="Arial"/>
                <w:sz w:val="14"/>
                <w:szCs w:val="14"/>
                <w:b w:val="1"/>
                <w:bCs w:val="1"/>
                <w:color w:val="auto"/>
              </w:rPr>
              <w:t>Thereafter</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jc w:val="right"/>
              <w:ind w:right="92"/>
              <w:spacing w:after="0" w:line="142" w:lineRule="exact"/>
              <w:rPr>
                <w:sz w:val="20"/>
                <w:szCs w:val="20"/>
                <w:color w:val="auto"/>
              </w:rPr>
            </w:pPr>
            <w:r>
              <w:rPr>
                <w:rFonts w:ascii="Arial" w:cs="Arial" w:eastAsia="Arial" w:hAnsi="Arial"/>
                <w:sz w:val="14"/>
                <w:szCs w:val="14"/>
                <w:b w:val="1"/>
                <w:bCs w:val="1"/>
                <w:color w:val="auto"/>
                <w:w w:val="95"/>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820" w:type="dxa"/>
            <w:vAlign w:val="bottom"/>
            <w:tcBorders>
              <w:top w:val="single" w:sz="8" w:color="CCEEFF"/>
            </w:tcBorders>
            <w:shd w:val="clear" w:color="auto" w:fill="CCEEFF"/>
          </w:tcPr>
          <w:p>
            <w:pPr>
              <w:spacing w:after="0" w:line="129" w:lineRule="exact"/>
              <w:rPr>
                <w:sz w:val="20"/>
                <w:szCs w:val="20"/>
                <w:color w:val="auto"/>
              </w:rPr>
            </w:pPr>
            <w:r>
              <w:rPr>
                <w:rFonts w:ascii="Arial" w:cs="Arial" w:eastAsia="Arial" w:hAnsi="Arial"/>
                <w:sz w:val="14"/>
                <w:szCs w:val="14"/>
                <w:color w:val="auto"/>
              </w:rPr>
              <w:t>Contractual obligations:</w:t>
            </w:r>
          </w:p>
        </w:tc>
        <w:tc>
          <w:tcPr>
            <w:tcW w:w="100" w:type="dxa"/>
            <w:vAlign w:val="bottom"/>
            <w:tcBorders>
              <w:top w:val="single" w:sz="8" w:color="auto"/>
            </w:tcBorders>
            <w:shd w:val="clear" w:color="auto" w:fill="CCEEFF"/>
          </w:tcPr>
          <w:p>
            <w:pPr>
              <w:spacing w:after="0"/>
              <w:rPr>
                <w:sz w:val="11"/>
                <w:szCs w:val="11"/>
                <w:color w:val="auto"/>
              </w:rPr>
            </w:pPr>
          </w:p>
        </w:tc>
        <w:tc>
          <w:tcPr>
            <w:tcW w:w="460" w:type="dxa"/>
            <w:vAlign w:val="bottom"/>
            <w:tcBorders>
              <w:top w:val="single" w:sz="8" w:color="auto"/>
            </w:tcBorders>
            <w:shd w:val="clear" w:color="auto" w:fill="CCEEFF"/>
          </w:tcPr>
          <w:p>
            <w:pPr>
              <w:spacing w:after="0"/>
              <w:rPr>
                <w:sz w:val="11"/>
                <w:szCs w:val="11"/>
                <w:color w:val="auto"/>
              </w:rPr>
            </w:pPr>
          </w:p>
        </w:tc>
        <w:tc>
          <w:tcPr>
            <w:tcW w:w="280" w:type="dxa"/>
            <w:vAlign w:val="bottom"/>
            <w:tcBorders>
              <w:top w:val="single" w:sz="8" w:color="CCEEFF"/>
            </w:tcBorders>
            <w:shd w:val="clear" w:color="auto" w:fill="CCEEFF"/>
          </w:tcPr>
          <w:p>
            <w:pPr>
              <w:spacing w:after="0"/>
              <w:rPr>
                <w:sz w:val="11"/>
                <w:szCs w:val="11"/>
                <w:color w:val="auto"/>
              </w:rPr>
            </w:pPr>
          </w:p>
        </w:tc>
        <w:tc>
          <w:tcPr>
            <w:tcW w:w="500" w:type="dxa"/>
            <w:vAlign w:val="bottom"/>
            <w:tcBorders>
              <w:top w:val="single" w:sz="8" w:color="auto"/>
            </w:tcBorders>
            <w:shd w:val="clear" w:color="auto" w:fill="CCEEFF"/>
          </w:tcPr>
          <w:p>
            <w:pPr>
              <w:spacing w:after="0"/>
              <w:rPr>
                <w:sz w:val="11"/>
                <w:szCs w:val="11"/>
                <w:color w:val="auto"/>
              </w:rPr>
            </w:pPr>
          </w:p>
        </w:tc>
        <w:tc>
          <w:tcPr>
            <w:tcW w:w="2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400" w:type="dxa"/>
            <w:vAlign w:val="bottom"/>
            <w:tcBorders>
              <w:top w:val="single" w:sz="8" w:color="auto"/>
            </w:tcBorders>
            <w:shd w:val="clear" w:color="auto" w:fill="CCEEFF"/>
          </w:tcPr>
          <w:p>
            <w:pPr>
              <w:spacing w:after="0"/>
              <w:rPr>
                <w:sz w:val="11"/>
                <w:szCs w:val="11"/>
                <w:color w:val="auto"/>
              </w:rPr>
            </w:pPr>
          </w:p>
        </w:tc>
        <w:tc>
          <w:tcPr>
            <w:tcW w:w="28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400" w:type="dxa"/>
            <w:vAlign w:val="bottom"/>
            <w:tcBorders>
              <w:top w:val="single" w:sz="8" w:color="auto"/>
            </w:tcBorders>
            <w:shd w:val="clear" w:color="auto" w:fill="CCEEFF"/>
          </w:tcPr>
          <w:p>
            <w:pPr>
              <w:spacing w:after="0"/>
              <w:rPr>
                <w:sz w:val="11"/>
                <w:szCs w:val="11"/>
                <w:color w:val="auto"/>
              </w:rPr>
            </w:pPr>
          </w:p>
        </w:tc>
        <w:tc>
          <w:tcPr>
            <w:tcW w:w="280" w:type="dxa"/>
            <w:vAlign w:val="bottom"/>
            <w:tcBorders>
              <w:top w:val="single" w:sz="8" w:color="CCEEFF"/>
            </w:tcBorders>
            <w:shd w:val="clear" w:color="auto" w:fill="CCEEFF"/>
          </w:tcPr>
          <w:p>
            <w:pPr>
              <w:spacing w:after="0"/>
              <w:rPr>
                <w:sz w:val="11"/>
                <w:szCs w:val="11"/>
                <w:color w:val="auto"/>
              </w:rPr>
            </w:pPr>
          </w:p>
        </w:tc>
        <w:tc>
          <w:tcPr>
            <w:tcW w:w="80" w:type="dxa"/>
            <w:vAlign w:val="bottom"/>
            <w:tcBorders>
              <w:top w:val="single" w:sz="8" w:color="auto"/>
            </w:tcBorders>
            <w:shd w:val="clear" w:color="auto" w:fill="CCEEFF"/>
          </w:tcPr>
          <w:p>
            <w:pPr>
              <w:spacing w:after="0"/>
              <w:rPr>
                <w:sz w:val="11"/>
                <w:szCs w:val="11"/>
                <w:color w:val="auto"/>
              </w:rPr>
            </w:pPr>
          </w:p>
        </w:tc>
        <w:tc>
          <w:tcPr>
            <w:tcW w:w="340" w:type="dxa"/>
            <w:vAlign w:val="bottom"/>
            <w:tcBorders>
              <w:top w:val="single" w:sz="8" w:color="auto"/>
            </w:tcBorders>
            <w:shd w:val="clear" w:color="auto" w:fill="CCEEFF"/>
          </w:tcPr>
          <w:p>
            <w:pPr>
              <w:spacing w:after="0"/>
              <w:rPr>
                <w:sz w:val="11"/>
                <w:szCs w:val="11"/>
                <w:color w:val="auto"/>
              </w:rPr>
            </w:pPr>
          </w:p>
        </w:tc>
        <w:tc>
          <w:tcPr>
            <w:tcW w:w="240" w:type="dxa"/>
            <w:vAlign w:val="bottom"/>
            <w:tcBorders>
              <w:top w:val="single" w:sz="8" w:color="CCEEFF"/>
            </w:tcBorders>
            <w:shd w:val="clear" w:color="auto" w:fill="CCEEFF"/>
          </w:tcPr>
          <w:p>
            <w:pPr>
              <w:spacing w:after="0"/>
              <w:rPr>
                <w:sz w:val="11"/>
                <w:szCs w:val="11"/>
                <w:color w:val="auto"/>
              </w:rPr>
            </w:pPr>
          </w:p>
        </w:tc>
        <w:tc>
          <w:tcPr>
            <w:tcW w:w="60" w:type="dxa"/>
            <w:vAlign w:val="bottom"/>
            <w:tcBorders>
              <w:top w:val="single" w:sz="8" w:color="CCEEFF"/>
            </w:tcBorders>
            <w:shd w:val="clear" w:color="auto" w:fill="CCEEFF"/>
          </w:tcPr>
          <w:p>
            <w:pPr>
              <w:spacing w:after="0"/>
              <w:rPr>
                <w:sz w:val="11"/>
                <w:szCs w:val="11"/>
                <w:color w:val="auto"/>
              </w:rPr>
            </w:pPr>
          </w:p>
        </w:tc>
        <w:tc>
          <w:tcPr>
            <w:tcW w:w="240" w:type="dxa"/>
            <w:vAlign w:val="bottom"/>
            <w:tcBorders>
              <w:top w:val="single" w:sz="8" w:color="auto"/>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spacing w:after="0"/>
              <w:rPr>
                <w:sz w:val="11"/>
                <w:szCs w:val="11"/>
                <w:color w:val="auto"/>
              </w:rPr>
            </w:pPr>
          </w:p>
        </w:tc>
        <w:tc>
          <w:tcPr>
            <w:tcW w:w="140" w:type="dxa"/>
            <w:vAlign w:val="bottom"/>
            <w:tcBorders>
              <w:top w:val="single" w:sz="8" w:color="CCEEFF"/>
            </w:tcBorders>
            <w:shd w:val="clear" w:color="auto" w:fill="CCEEFF"/>
          </w:tcPr>
          <w:p>
            <w:pPr>
              <w:spacing w:after="0"/>
              <w:rPr>
                <w:sz w:val="11"/>
                <w:szCs w:val="11"/>
                <w:color w:val="auto"/>
              </w:rPr>
            </w:pPr>
          </w:p>
        </w:tc>
        <w:tc>
          <w:tcPr>
            <w:tcW w:w="160" w:type="dxa"/>
            <w:vAlign w:val="bottom"/>
            <w:tcBorders>
              <w:top w:val="single" w:sz="8" w:color="CCEEFF"/>
            </w:tcBorders>
            <w:shd w:val="clear" w:color="auto" w:fill="CCEEFF"/>
          </w:tcPr>
          <w:p>
            <w:pPr>
              <w:spacing w:after="0"/>
              <w:rPr>
                <w:sz w:val="11"/>
                <w:szCs w:val="11"/>
                <w:color w:val="auto"/>
              </w:rPr>
            </w:pPr>
          </w:p>
        </w:tc>
        <w:tc>
          <w:tcPr>
            <w:tcW w:w="100" w:type="dxa"/>
            <w:vAlign w:val="bottom"/>
            <w:tcBorders>
              <w:top w:val="single" w:sz="8" w:color="auto"/>
            </w:tcBorders>
            <w:shd w:val="clear" w:color="auto" w:fill="CCEEFF"/>
          </w:tcPr>
          <w:p>
            <w:pPr>
              <w:spacing w:after="0"/>
              <w:rPr>
                <w:sz w:val="11"/>
                <w:szCs w:val="11"/>
                <w:color w:val="auto"/>
              </w:rPr>
            </w:pPr>
          </w:p>
        </w:tc>
        <w:tc>
          <w:tcPr>
            <w:tcW w:w="500" w:type="dxa"/>
            <w:vAlign w:val="bottom"/>
            <w:tcBorders>
              <w:top w:val="single" w:sz="8" w:color="auto"/>
            </w:tcBorders>
            <w:shd w:val="clear" w:color="auto" w:fill="CCEEFF"/>
          </w:tcPr>
          <w:p>
            <w:pPr>
              <w:spacing w:after="0"/>
              <w:rPr>
                <w:sz w:val="11"/>
                <w:szCs w:val="11"/>
                <w:color w:val="auto"/>
              </w:rPr>
            </w:pPr>
          </w:p>
        </w:tc>
        <w:tc>
          <w:tcPr>
            <w:tcW w:w="10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820" w:type="dxa"/>
            <w:vAlign w:val="bottom"/>
          </w:tcPr>
          <w:p>
            <w:pPr>
              <w:ind w:left="440"/>
              <w:spacing w:after="0" w:line="149" w:lineRule="exact"/>
              <w:rPr>
                <w:sz w:val="20"/>
                <w:szCs w:val="20"/>
                <w:color w:val="auto"/>
              </w:rPr>
            </w:pPr>
            <w:r>
              <w:rPr>
                <w:rFonts w:ascii="Arial" w:cs="Arial" w:eastAsia="Arial" w:hAnsi="Arial"/>
                <w:sz w:val="14"/>
                <w:szCs w:val="14"/>
                <w:color w:val="auto"/>
              </w:rPr>
              <w:t>Facilities operating leases, net</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rPr>
              <w:t>23,341</w:t>
            </w:r>
          </w:p>
        </w:tc>
        <w:tc>
          <w:tcPr>
            <w:tcW w:w="2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w w:val="88"/>
              </w:rPr>
              <w:t>$ 17,705</w:t>
            </w:r>
          </w:p>
        </w:tc>
        <w:tc>
          <w:tcPr>
            <w:tcW w:w="8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6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5,659</w:t>
            </w:r>
          </w:p>
        </w:tc>
        <w:tc>
          <w:tcPr>
            <w:tcW w:w="100" w:type="dxa"/>
            <w:vAlign w:val="bottom"/>
          </w:tcPr>
          <w:p>
            <w:pPr>
              <w:jc w:val="right"/>
              <w:spacing w:after="0" w:line="149" w:lineRule="exact"/>
              <w:rPr>
                <w:sz w:val="20"/>
                <w:szCs w:val="20"/>
                <w:color w:val="auto"/>
              </w:rPr>
            </w:pPr>
            <w:r>
              <w:rPr>
                <w:rFonts w:ascii="Arial" w:cs="Arial" w:eastAsia="Arial" w:hAnsi="Arial"/>
                <w:sz w:val="14"/>
                <w:szCs w:val="14"/>
                <w:color w:val="auto"/>
                <w:w w:val="76"/>
              </w:rPr>
              <w:t>$</w:t>
            </w: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rPr>
              <w:t>376</w:t>
            </w:r>
          </w:p>
        </w:tc>
        <w:tc>
          <w:tcPr>
            <w:tcW w:w="3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w:t>
            </w:r>
          </w:p>
        </w:tc>
        <w:tc>
          <w:tcPr>
            <w:tcW w:w="340" w:type="dxa"/>
            <w:vAlign w:val="bottom"/>
          </w:tcPr>
          <w:p>
            <w:pPr>
              <w:jc w:val="right"/>
              <w:spacing w:after="0" w:line="149" w:lineRule="exact"/>
              <w:rPr>
                <w:sz w:val="20"/>
                <w:szCs w:val="20"/>
                <w:color w:val="auto"/>
              </w:rPr>
            </w:pPr>
            <w:r>
              <w:rPr>
                <w:rFonts w:ascii="Arial" w:cs="Arial" w:eastAsia="Arial" w:hAnsi="Arial"/>
                <w:sz w:val="14"/>
                <w:szCs w:val="14"/>
                <w:color w:val="auto"/>
              </w:rPr>
              <w:t>72</w:t>
            </w:r>
          </w:p>
        </w:tc>
        <w:tc>
          <w:tcPr>
            <w:tcW w:w="240" w:type="dxa"/>
            <w:vAlign w:val="bottom"/>
          </w:tcPr>
          <w:p>
            <w:pPr>
              <w:spacing w:after="0"/>
              <w:rPr>
                <w:sz w:val="12"/>
                <w:szCs w:val="12"/>
                <w:color w:val="auto"/>
              </w:rPr>
            </w:pPr>
          </w:p>
        </w:tc>
        <w:tc>
          <w:tcPr>
            <w:tcW w:w="300" w:type="dxa"/>
            <w:vAlign w:val="bottom"/>
            <w:gridSpan w:val="2"/>
          </w:tcPr>
          <w:p>
            <w:pPr>
              <w:jc w:val="right"/>
              <w:ind w:right="112"/>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527</w:t>
            </w:r>
          </w:p>
        </w:tc>
        <w:tc>
          <w:tcPr>
            <w:tcW w:w="26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47,680</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CAD and other operating leases</w:t>
            </w:r>
          </w:p>
        </w:tc>
        <w:tc>
          <w:tcPr>
            <w:tcW w:w="10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52,265</w:t>
            </w:r>
          </w:p>
        </w:tc>
        <w:tc>
          <w:tcPr>
            <w:tcW w:w="2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43,994</w:t>
            </w:r>
          </w:p>
        </w:tc>
        <w:tc>
          <w:tcPr>
            <w:tcW w:w="8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w w:val="88"/>
              </w:rPr>
              <w:t>27,046</w:t>
            </w:r>
          </w:p>
        </w:tc>
        <w:tc>
          <w:tcPr>
            <w:tcW w:w="100" w:type="dxa"/>
            <w:vAlign w:val="bottom"/>
            <w:shd w:val="clear" w:color="auto" w:fill="CCEEFF"/>
          </w:tcPr>
          <w:p>
            <w:pPr>
              <w:spacing w:after="0"/>
              <w:rPr>
                <w:sz w:val="12"/>
                <w:szCs w:val="12"/>
                <w:color w:val="auto"/>
              </w:rPr>
            </w:pP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6,079</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1,078</w:t>
            </w:r>
          </w:p>
        </w:tc>
        <w:tc>
          <w:tcPr>
            <w:tcW w:w="2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620" w:type="dxa"/>
            <w:vAlign w:val="bottom"/>
            <w:gridSpan w:val="2"/>
            <w:shd w:val="clear" w:color="auto" w:fill="CCEEFF"/>
          </w:tcPr>
          <w:p>
            <w:pPr>
              <w:ind w:left="180"/>
              <w:spacing w:after="0" w:line="149" w:lineRule="exact"/>
              <w:rPr>
                <w:sz w:val="20"/>
                <w:szCs w:val="20"/>
                <w:color w:val="auto"/>
              </w:rPr>
            </w:pPr>
            <w:r>
              <w:rPr>
                <w:rFonts w:ascii="Arial" w:cs="Arial" w:eastAsia="Arial" w:hAnsi="Arial"/>
                <w:sz w:val="14"/>
                <w:szCs w:val="14"/>
                <w:color w:val="auto"/>
              </w:rPr>
              <w:t>1,258</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4"/>
              </w:rPr>
              <w:t>131,720</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tcPr>
          <w:p>
            <w:pPr>
              <w:ind w:left="440"/>
              <w:spacing w:after="0" w:line="149" w:lineRule="exact"/>
              <w:rPr>
                <w:sz w:val="20"/>
                <w:szCs w:val="20"/>
                <w:color w:val="auto"/>
              </w:rPr>
            </w:pPr>
            <w:r>
              <w:rPr>
                <w:rFonts w:ascii="Arial" w:cs="Arial" w:eastAsia="Arial" w:hAnsi="Arial"/>
                <w:sz w:val="14"/>
                <w:szCs w:val="14"/>
                <w:color w:val="auto"/>
              </w:rPr>
              <w:t>Purchase commitments to foundries</w:t>
            </w:r>
          </w:p>
        </w:tc>
        <w:tc>
          <w:tcPr>
            <w:tcW w:w="100" w:type="dxa"/>
            <w:vAlign w:val="bottom"/>
          </w:tcPr>
          <w:p>
            <w:pPr>
              <w:spacing w:after="0"/>
              <w:rPr>
                <w:sz w:val="12"/>
                <w:szCs w:val="12"/>
                <w:color w:val="auto"/>
              </w:rPr>
            </w:pP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w w:val="86"/>
              </w:rPr>
              <w:t>270,898</w:t>
            </w:r>
          </w:p>
        </w:tc>
        <w:tc>
          <w:tcPr>
            <w:tcW w:w="280" w:type="dxa"/>
            <w:vAlign w:val="bottom"/>
          </w:tcPr>
          <w:p>
            <w:pPr>
              <w:spacing w:after="0"/>
              <w:rPr>
                <w:sz w:val="12"/>
                <w:szCs w:val="12"/>
                <w:color w:val="auto"/>
              </w:rPr>
            </w:pPr>
          </w:p>
        </w:tc>
        <w:tc>
          <w:tcPr>
            <w:tcW w:w="78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68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w w:val="94"/>
              </w:rPr>
              <w:t>270,898</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Capital purchase obligations</w:t>
            </w:r>
          </w:p>
        </w:tc>
        <w:tc>
          <w:tcPr>
            <w:tcW w:w="10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36,341</w:t>
            </w:r>
          </w:p>
        </w:tc>
        <w:tc>
          <w:tcPr>
            <w:tcW w:w="2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34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8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62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36,341</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tcPr>
          <w:p>
            <w:pPr>
              <w:ind w:left="440"/>
              <w:spacing w:after="0" w:line="149" w:lineRule="exact"/>
              <w:rPr>
                <w:sz w:val="20"/>
                <w:szCs w:val="20"/>
                <w:color w:val="auto"/>
              </w:rPr>
            </w:pPr>
            <w:r>
              <w:rPr>
                <w:rFonts w:ascii="Arial" w:cs="Arial" w:eastAsia="Arial" w:hAnsi="Arial"/>
                <w:sz w:val="14"/>
                <w:szCs w:val="14"/>
                <w:color w:val="auto"/>
              </w:rPr>
              <w:t>Technology license obligations</w:t>
            </w:r>
          </w:p>
        </w:tc>
        <w:tc>
          <w:tcPr>
            <w:tcW w:w="100" w:type="dxa"/>
            <w:vAlign w:val="bottom"/>
          </w:tcPr>
          <w:p>
            <w:pPr>
              <w:spacing w:after="0"/>
              <w:rPr>
                <w:sz w:val="12"/>
                <w:szCs w:val="12"/>
                <w:color w:val="auto"/>
              </w:rPr>
            </w:pPr>
          </w:p>
        </w:tc>
        <w:tc>
          <w:tcPr>
            <w:tcW w:w="460" w:type="dxa"/>
            <w:vAlign w:val="bottom"/>
          </w:tcPr>
          <w:p>
            <w:pPr>
              <w:jc w:val="right"/>
              <w:spacing w:after="0" w:line="149" w:lineRule="exact"/>
              <w:rPr>
                <w:sz w:val="20"/>
                <w:szCs w:val="20"/>
                <w:color w:val="auto"/>
              </w:rPr>
            </w:pPr>
            <w:r>
              <w:rPr>
                <w:rFonts w:ascii="Arial" w:cs="Arial" w:eastAsia="Arial" w:hAnsi="Arial"/>
                <w:sz w:val="14"/>
                <w:szCs w:val="14"/>
                <w:color w:val="auto"/>
              </w:rPr>
              <w:t>14,913</w:t>
            </w:r>
          </w:p>
        </w:tc>
        <w:tc>
          <w:tcPr>
            <w:tcW w:w="280" w:type="dxa"/>
            <w:vAlign w:val="bottom"/>
          </w:tcPr>
          <w:p>
            <w:pPr>
              <w:spacing w:after="0"/>
              <w:rPr>
                <w:sz w:val="12"/>
                <w:szCs w:val="12"/>
                <w:color w:val="auto"/>
              </w:rPr>
            </w:pPr>
          </w:p>
        </w:tc>
        <w:tc>
          <w:tcPr>
            <w:tcW w:w="7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13,145</w:t>
            </w:r>
          </w:p>
        </w:tc>
        <w:tc>
          <w:tcPr>
            <w:tcW w:w="80" w:type="dxa"/>
            <w:vAlign w:val="bottom"/>
          </w:tcPr>
          <w:p>
            <w:pPr>
              <w:spacing w:after="0"/>
              <w:rPr>
                <w:sz w:val="12"/>
                <w:szCs w:val="12"/>
                <w:color w:val="auto"/>
              </w:rPr>
            </w:pPr>
          </w:p>
        </w:tc>
        <w:tc>
          <w:tcPr>
            <w:tcW w:w="6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7,869</w:t>
            </w:r>
          </w:p>
        </w:tc>
        <w:tc>
          <w:tcPr>
            <w:tcW w:w="100" w:type="dxa"/>
            <w:vAlign w:val="bottom"/>
          </w:tcPr>
          <w:p>
            <w:pPr>
              <w:spacing w:after="0"/>
              <w:rPr>
                <w:sz w:val="12"/>
                <w:szCs w:val="12"/>
                <w:color w:val="auto"/>
              </w:rPr>
            </w:pPr>
          </w:p>
        </w:tc>
        <w:tc>
          <w:tcPr>
            <w:tcW w:w="400" w:type="dxa"/>
            <w:vAlign w:val="bottom"/>
          </w:tcPr>
          <w:p>
            <w:pPr>
              <w:jc w:val="right"/>
              <w:spacing w:after="0" w:line="149" w:lineRule="exact"/>
              <w:rPr>
                <w:sz w:val="20"/>
                <w:szCs w:val="20"/>
                <w:color w:val="auto"/>
              </w:rPr>
            </w:pPr>
            <w:r>
              <w:rPr>
                <w:rFonts w:ascii="Arial" w:cs="Arial" w:eastAsia="Arial" w:hAnsi="Arial"/>
                <w:sz w:val="14"/>
                <w:szCs w:val="14"/>
                <w:color w:val="auto"/>
              </w:rPr>
              <w:t>9,180</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45,107</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20" w:type="dxa"/>
            <w:vAlign w:val="bottom"/>
            <w:shd w:val="clear" w:color="auto" w:fill="CCEEFF"/>
          </w:tcPr>
          <w:p>
            <w:pPr>
              <w:ind w:left="440"/>
              <w:spacing w:after="0" w:line="149" w:lineRule="exact"/>
              <w:rPr>
                <w:sz w:val="20"/>
                <w:szCs w:val="20"/>
                <w:color w:val="auto"/>
              </w:rPr>
            </w:pPr>
            <w:r>
              <w:rPr>
                <w:rFonts w:ascii="Arial" w:cs="Arial" w:eastAsia="Arial" w:hAnsi="Arial"/>
                <w:sz w:val="14"/>
                <w:szCs w:val="14"/>
                <w:color w:val="auto"/>
              </w:rPr>
              <w:t>Other non-current obligations (1)</w:t>
            </w:r>
          </w:p>
        </w:tc>
        <w:tc>
          <w:tcPr>
            <w:tcW w:w="100" w:type="dxa"/>
            <w:vAlign w:val="bottom"/>
            <w:shd w:val="clear" w:color="auto" w:fill="CCEEFF"/>
          </w:tcPr>
          <w:p>
            <w:pPr>
              <w:spacing w:after="0"/>
              <w:rPr>
                <w:sz w:val="12"/>
                <w:szCs w:val="12"/>
                <w:color w:val="auto"/>
              </w:rPr>
            </w:pPr>
          </w:p>
        </w:tc>
        <w:tc>
          <w:tcPr>
            <w:tcW w:w="4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9,424</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419</w:t>
            </w:r>
          </w:p>
        </w:tc>
        <w:tc>
          <w:tcPr>
            <w:tcW w:w="100" w:type="dxa"/>
            <w:vAlign w:val="bottom"/>
            <w:shd w:val="clear" w:color="auto" w:fill="CCEEFF"/>
          </w:tcPr>
          <w:p>
            <w:pPr>
              <w:spacing w:after="0"/>
              <w:rPr>
                <w:sz w:val="12"/>
                <w:szCs w:val="12"/>
                <w:color w:val="auto"/>
              </w:rPr>
            </w:pPr>
          </w:p>
        </w:tc>
        <w:tc>
          <w:tcPr>
            <w:tcW w:w="4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2,430</w:t>
            </w:r>
          </w:p>
        </w:tc>
        <w:tc>
          <w:tcPr>
            <w:tcW w:w="2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620" w:type="dxa"/>
            <w:vAlign w:val="bottom"/>
            <w:gridSpan w:val="2"/>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12,273</w:t>
            </w: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820" w:type="dxa"/>
            <w:vAlign w:val="bottom"/>
            <w:vMerge w:val="restart"/>
          </w:tcPr>
          <w:p>
            <w:pPr>
              <w:spacing w:after="0"/>
              <w:rPr>
                <w:sz w:val="20"/>
                <w:szCs w:val="20"/>
                <w:color w:val="auto"/>
              </w:rPr>
            </w:pPr>
            <w:r>
              <w:rPr>
                <w:rFonts w:ascii="Arial" w:cs="Arial" w:eastAsia="Arial" w:hAnsi="Arial"/>
                <w:sz w:val="14"/>
                <w:szCs w:val="14"/>
                <w:color w:val="auto"/>
              </w:rPr>
              <w:t>Total contractual cash obligations</w:t>
            </w: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5820" w:type="dxa"/>
            <w:vAlign w:val="bottom"/>
            <w:vMerge w:val="continue"/>
          </w:tcPr>
          <w:p>
            <w:pPr>
              <w:spacing w:after="0"/>
              <w:rPr>
                <w:sz w:val="13"/>
                <w:szCs w:val="13"/>
                <w:color w:val="auto"/>
              </w:rPr>
            </w:pP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460" w:type="dxa"/>
            <w:vAlign w:val="bottom"/>
          </w:tcPr>
          <w:p>
            <w:pPr>
              <w:jc w:val="right"/>
              <w:spacing w:after="0" w:line="155" w:lineRule="exact"/>
              <w:rPr>
                <w:sz w:val="20"/>
                <w:szCs w:val="20"/>
                <w:color w:val="auto"/>
              </w:rPr>
            </w:pPr>
            <w:r>
              <w:rPr>
                <w:rFonts w:ascii="Arial" w:cs="Arial" w:eastAsia="Arial" w:hAnsi="Arial"/>
                <w:sz w:val="14"/>
                <w:szCs w:val="14"/>
                <w:color w:val="auto"/>
                <w:w w:val="86"/>
              </w:rPr>
              <w:t>397,758</w:t>
            </w:r>
          </w:p>
        </w:tc>
        <w:tc>
          <w:tcPr>
            <w:tcW w:w="280" w:type="dxa"/>
            <w:vAlign w:val="bottom"/>
          </w:tcPr>
          <w:p>
            <w:pPr>
              <w:spacing w:after="0"/>
              <w:rPr>
                <w:sz w:val="13"/>
                <w:szCs w:val="13"/>
                <w:color w:val="auto"/>
              </w:rPr>
            </w:pPr>
          </w:p>
        </w:tc>
        <w:tc>
          <w:tcPr>
            <w:tcW w:w="500" w:type="dxa"/>
            <w:vAlign w:val="bottom"/>
          </w:tcPr>
          <w:p>
            <w:pPr>
              <w:jc w:val="right"/>
              <w:spacing w:after="0" w:line="155" w:lineRule="exact"/>
              <w:rPr>
                <w:sz w:val="20"/>
                <w:szCs w:val="20"/>
                <w:color w:val="auto"/>
              </w:rPr>
            </w:pPr>
            <w:r>
              <w:rPr>
                <w:rFonts w:ascii="Arial" w:cs="Arial" w:eastAsia="Arial" w:hAnsi="Arial"/>
                <w:sz w:val="14"/>
                <w:szCs w:val="14"/>
                <w:color w:val="auto"/>
                <w:w w:val="88"/>
              </w:rPr>
              <w:t>$ 84,268</w:t>
            </w:r>
          </w:p>
        </w:tc>
        <w:tc>
          <w:tcPr>
            <w:tcW w:w="280" w:type="dxa"/>
            <w:vAlign w:val="bottom"/>
          </w:tcPr>
          <w:p>
            <w:pPr>
              <w:spacing w:after="0"/>
              <w:rPr>
                <w:sz w:val="13"/>
                <w:szCs w:val="13"/>
                <w:color w:val="auto"/>
              </w:rPr>
            </w:pPr>
          </w:p>
        </w:tc>
        <w:tc>
          <w:tcPr>
            <w:tcW w:w="8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680" w:type="dxa"/>
            <w:vAlign w:val="bottom"/>
            <w:gridSpan w:val="2"/>
          </w:tcPr>
          <w:p>
            <w:pPr>
              <w:jc w:val="right"/>
              <w:ind w:right="280"/>
              <w:spacing w:after="0" w:line="155" w:lineRule="exact"/>
              <w:rPr>
                <w:sz w:val="20"/>
                <w:szCs w:val="20"/>
                <w:color w:val="auto"/>
              </w:rPr>
            </w:pPr>
            <w:r>
              <w:rPr>
                <w:rFonts w:ascii="Arial" w:cs="Arial" w:eastAsia="Arial" w:hAnsi="Arial"/>
                <w:sz w:val="14"/>
                <w:szCs w:val="14"/>
                <w:color w:val="auto"/>
                <w:w w:val="88"/>
              </w:rPr>
              <w:t>40,993</w:t>
            </w:r>
          </w:p>
        </w:tc>
        <w:tc>
          <w:tcPr>
            <w:tcW w:w="100" w:type="dxa"/>
            <w:vAlign w:val="bottom"/>
          </w:tcPr>
          <w:p>
            <w:pPr>
              <w:jc w:val="right"/>
              <w:spacing w:after="0" w:line="155" w:lineRule="exact"/>
              <w:rPr>
                <w:sz w:val="20"/>
                <w:szCs w:val="20"/>
                <w:color w:val="auto"/>
              </w:rPr>
            </w:pPr>
            <w:r>
              <w:rPr>
                <w:rFonts w:ascii="Arial" w:cs="Arial" w:eastAsia="Arial" w:hAnsi="Arial"/>
                <w:sz w:val="14"/>
                <w:szCs w:val="14"/>
                <w:color w:val="auto"/>
                <w:w w:val="76"/>
              </w:rPr>
              <w:t>$</w:t>
            </w:r>
          </w:p>
        </w:tc>
        <w:tc>
          <w:tcPr>
            <w:tcW w:w="400" w:type="dxa"/>
            <w:vAlign w:val="bottom"/>
          </w:tcPr>
          <w:p>
            <w:pPr>
              <w:jc w:val="right"/>
              <w:spacing w:after="0" w:line="155" w:lineRule="exact"/>
              <w:rPr>
                <w:sz w:val="20"/>
                <w:szCs w:val="20"/>
                <w:color w:val="auto"/>
              </w:rPr>
            </w:pPr>
            <w:r>
              <w:rPr>
                <w:rFonts w:ascii="Arial" w:cs="Arial" w:eastAsia="Arial" w:hAnsi="Arial"/>
                <w:sz w:val="14"/>
                <w:szCs w:val="14"/>
                <w:color w:val="auto"/>
                <w:w w:val="88"/>
              </w:rPr>
              <w:t>15,635</w:t>
            </w:r>
          </w:p>
        </w:tc>
        <w:tc>
          <w:tcPr>
            <w:tcW w:w="360" w:type="dxa"/>
            <w:vAlign w:val="bottom"/>
            <w:gridSpan w:val="2"/>
          </w:tcPr>
          <w:p>
            <w:pPr>
              <w:jc w:val="right"/>
              <w:spacing w:after="0" w:line="155" w:lineRule="exact"/>
              <w:rPr>
                <w:sz w:val="20"/>
                <w:szCs w:val="20"/>
                <w:color w:val="auto"/>
              </w:rPr>
            </w:pPr>
            <w:r>
              <w:rPr>
                <w:rFonts w:ascii="Arial" w:cs="Arial" w:eastAsia="Arial" w:hAnsi="Arial"/>
                <w:sz w:val="14"/>
                <w:szCs w:val="14"/>
                <w:color w:val="auto"/>
              </w:rPr>
              <w:t>$</w:t>
            </w:r>
          </w:p>
        </w:tc>
        <w:tc>
          <w:tcPr>
            <w:tcW w:w="340" w:type="dxa"/>
            <w:vAlign w:val="bottom"/>
          </w:tcPr>
          <w:p>
            <w:pPr>
              <w:jc w:val="right"/>
              <w:spacing w:after="0" w:line="155" w:lineRule="exact"/>
              <w:rPr>
                <w:sz w:val="20"/>
                <w:szCs w:val="20"/>
                <w:color w:val="auto"/>
              </w:rPr>
            </w:pPr>
            <w:r>
              <w:rPr>
                <w:rFonts w:ascii="Arial" w:cs="Arial" w:eastAsia="Arial" w:hAnsi="Arial"/>
                <w:sz w:val="14"/>
                <w:szCs w:val="14"/>
                <w:color w:val="auto"/>
                <w:w w:val="91"/>
              </w:rPr>
              <w:t>3,580</w:t>
            </w:r>
          </w:p>
        </w:tc>
        <w:tc>
          <w:tcPr>
            <w:tcW w:w="240" w:type="dxa"/>
            <w:vAlign w:val="bottom"/>
          </w:tcPr>
          <w:p>
            <w:pPr>
              <w:spacing w:after="0"/>
              <w:rPr>
                <w:sz w:val="13"/>
                <w:szCs w:val="13"/>
                <w:color w:val="auto"/>
              </w:rPr>
            </w:pPr>
          </w:p>
        </w:tc>
        <w:tc>
          <w:tcPr>
            <w:tcW w:w="300" w:type="dxa"/>
            <w:vAlign w:val="bottom"/>
            <w:gridSpan w:val="2"/>
          </w:tcPr>
          <w:p>
            <w:pPr>
              <w:jc w:val="right"/>
              <w:ind w:right="112"/>
              <w:spacing w:after="0" w:line="155" w:lineRule="exact"/>
              <w:rPr>
                <w:sz w:val="20"/>
                <w:szCs w:val="20"/>
                <w:color w:val="auto"/>
              </w:rPr>
            </w:pPr>
            <w:r>
              <w:rPr>
                <w:rFonts w:ascii="Arial" w:cs="Arial" w:eastAsia="Arial" w:hAnsi="Arial"/>
                <w:sz w:val="14"/>
                <w:szCs w:val="14"/>
                <w:color w:val="auto"/>
              </w:rPr>
              <w:t>$</w:t>
            </w:r>
          </w:p>
        </w:tc>
        <w:tc>
          <w:tcPr>
            <w:tcW w:w="620" w:type="dxa"/>
            <w:vAlign w:val="bottom"/>
            <w:gridSpan w:val="2"/>
          </w:tcPr>
          <w:p>
            <w:pPr>
              <w:ind w:left="180"/>
              <w:spacing w:after="0" w:line="155" w:lineRule="exact"/>
              <w:rPr>
                <w:sz w:val="20"/>
                <w:szCs w:val="20"/>
                <w:color w:val="auto"/>
              </w:rPr>
            </w:pPr>
            <w:r>
              <w:rPr>
                <w:rFonts w:ascii="Arial" w:cs="Arial" w:eastAsia="Arial" w:hAnsi="Arial"/>
                <w:sz w:val="14"/>
                <w:szCs w:val="14"/>
                <w:color w:val="auto"/>
              </w:rPr>
              <w:t>1,785</w:t>
            </w:r>
          </w:p>
        </w:tc>
        <w:tc>
          <w:tcPr>
            <w:tcW w:w="260" w:type="dxa"/>
            <w:vAlign w:val="bottom"/>
            <w:gridSpan w:val="2"/>
          </w:tcPr>
          <w:p>
            <w:pPr>
              <w:jc w:val="right"/>
              <w:ind w:right="40"/>
              <w:spacing w:after="0" w:line="155"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55" w:lineRule="exact"/>
              <w:rPr>
                <w:sz w:val="20"/>
                <w:szCs w:val="20"/>
                <w:color w:val="auto"/>
              </w:rPr>
            </w:pPr>
            <w:r>
              <w:rPr>
                <w:rFonts w:ascii="Arial" w:cs="Arial" w:eastAsia="Arial" w:hAnsi="Arial"/>
                <w:sz w:val="14"/>
                <w:szCs w:val="14"/>
                <w:color w:val="auto"/>
                <w:w w:val="94"/>
              </w:rPr>
              <w:t>544,019</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5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77470</wp:posOffset>
            </wp:positionV>
            <wp:extent cx="72898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1" w:lineRule="exact"/>
        <w:rPr>
          <w:sz w:val="20"/>
          <w:szCs w:val="20"/>
          <w:color w:val="auto"/>
        </w:rPr>
      </w:pPr>
    </w:p>
    <w:p>
      <w:pPr>
        <w:ind w:left="340" w:hanging="332"/>
        <w:spacing w:after="0"/>
        <w:tabs>
          <w:tab w:leader="none" w:pos="340" w:val="left"/>
        </w:tabs>
        <w:numPr>
          <w:ilvl w:val="0"/>
          <w:numId w:val="20"/>
        </w:numPr>
        <w:rPr>
          <w:rFonts w:ascii="Arial" w:cs="Arial" w:eastAsia="Arial" w:hAnsi="Arial"/>
          <w:sz w:val="14"/>
          <w:szCs w:val="14"/>
          <w:color w:val="auto"/>
        </w:rPr>
      </w:pPr>
      <w:r>
        <w:rPr>
          <w:rFonts w:ascii="Arial" w:cs="Arial" w:eastAsia="Arial" w:hAnsi="Arial"/>
          <w:sz w:val="14"/>
          <w:szCs w:val="14"/>
          <w:color w:val="auto"/>
        </w:rPr>
        <w:t>Amounts represent anticipated future cash payments, including anticipated interest payments not recorded in the consolidated balance sheet.</w:t>
      </w:r>
    </w:p>
    <w:p>
      <w:pPr>
        <w:spacing w:after="0" w:line="152"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addition to the above commitments and contingencies, as of February 1, 2014, we have $43.2 million of unrecognized tax benefits as liabilities. We also have a liability for potential interest and penalties of $29.6 million as of February 1, 2014. During the next 12 months, it is reasonably possible that the amount of unrecognized tax benefits could increase or decrease significantly due to changes in tax law jurisdictions, new tax audits and changes in the U.S. dollar as compared to foreign currencies within the next 12 months. Excluding these factors, uncertain tax positions may decrease by as much as $20 million from the lapse of the statutes of limitation in various jurisdictions during the next 12 months.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Prospective Capital Needs</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 Specifically, with respect to the CMU litigation, a jury has awarded past damages of $1.17 billion, and CMU has sought pre-judgment damages of up to $322 million, post-judgment interest, attorneys’ fees, and an injunction and/or ongoing royalties. Due to the finding of willfulness during post trial proceedings, the judge could enhance the damages by an amount up to triple the damages awarded by the jury at trial. We intend to appeal the final judgment and we would seek to stay any award of damages pending the appeal. We strongly believe that we do not infringe on the methods described in the CMU patents and that our products use our own internally developed patented read channel technology. See the section entitled “Off-Balance Sheet Arrangements” above for a discussion of the effects on liquidity from the CMU litigation.</w:t>
      </w:r>
    </w:p>
    <w:p>
      <w:pPr>
        <w:spacing w:after="0" w:line="12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Please see “Note 1 — The Company and its Significant Accounting Policies — Recent Accounting Pronouncements” for further details in our Notes to the Consolidated Financial Statements set forth in Part II, Item 8 of this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Please see “Note 14 — Related Party Transactions” for further details in our Notes to the Consolidated Financial Statements set forth in Part II, Item 8 of this Form 10-K.</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w:t>
      </w:r>
      <w:r>
        <w:rPr>
          <w:rFonts w:ascii="Arial" w:cs="Arial" w:eastAsia="Arial" w:hAnsi="Arial"/>
          <w:sz w:val="16"/>
          <w:szCs w:val="16"/>
          <w:i w:val="1"/>
          <w:iCs w:val="1"/>
          <w:color w:val="auto"/>
        </w:rPr>
        <w:t xml:space="preserve"> </w:t>
      </w:r>
      <w:r>
        <w:rPr>
          <w:rFonts w:ascii="Arial" w:cs="Arial" w:eastAsia="Arial" w:hAnsi="Arial"/>
          <w:sz w:val="16"/>
          <w:szCs w:val="16"/>
          <w:color w:val="auto"/>
        </w:rPr>
        <w:t>of February 1, 2014.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and corporate debt securities. These investments are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jc w:val="both"/>
        <w:ind w:right="40" w:firstLine="456"/>
        <w:spacing w:after="0" w:line="255" w:lineRule="auto"/>
        <w:rPr>
          <w:sz w:val="20"/>
          <w:szCs w:val="20"/>
          <w:color w:val="auto"/>
        </w:rPr>
      </w:pPr>
      <w:r>
        <w:rPr>
          <w:rFonts w:ascii="Arial" w:cs="Arial" w:eastAsia="Arial" w:hAnsi="Arial"/>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February 1, 2014, a hypothetical 100 basis point increase in interest rates across all maturities would result in a $13.8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4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As of February 1, 2014, our investment portfolio included $19.2 million in par value of auction rate securities. Beginning in February 2008, liquidity issues in the global credit markets resulted in a failure of auction rate securities, as the amount of securities submitted for sale in those auctions exceeded the amount of bids. Since this time, many of the issuers have refinanced their debt and paid down the auction rate securities which have resulted in a smaller pool of outstanding securities. Although these securities have continued to pay interest and show an improvement in the underlying collateralization,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As of February 1, 2014 the fair value of auction rate securities in our investment portfolio was $2.9 million less than par value and the fair value was recorded in long-term investments.</w:t>
      </w:r>
    </w:p>
    <w:p>
      <w:pPr>
        <w:spacing w:after="0" w:line="118"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Based on our balance of approximately $2.0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459" w:right="25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privately-held companies for strategic purposes. We account for these investments under the cost</w:t>
      </w:r>
      <w:r>
        <w:rPr>
          <w:rFonts w:ascii="Arial" w:cs="Arial" w:eastAsia="Arial" w:hAnsi="Arial"/>
          <w:sz w:val="18"/>
          <w:szCs w:val="18"/>
          <w:i w:val="1"/>
          <w:iCs w:val="1"/>
          <w:color w:val="auto"/>
        </w:rPr>
        <w:t xml:space="preserve"> </w:t>
      </w:r>
      <w:r>
        <w:rPr>
          <w:rFonts w:ascii="Arial" w:cs="Arial" w:eastAsia="Arial" w:hAnsi="Arial"/>
          <w:sz w:val="18"/>
          <w:szCs w:val="18"/>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$14.6 million at February 1, 2014,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300" w:firstLine="456"/>
        <w:spacing w:after="0" w:line="286"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w:t>
      </w:r>
      <w:r>
        <w:rPr>
          <w:rFonts w:ascii="Arial" w:cs="Arial" w:eastAsia="Arial" w:hAnsi="Arial"/>
          <w:sz w:val="16"/>
          <w:szCs w:val="16"/>
          <w:i w:val="1"/>
          <w:iCs w:val="1"/>
          <w:color w:val="auto"/>
        </w:rPr>
        <w:t xml:space="preserve"> </w:t>
      </w:r>
      <w:r>
        <w:rPr>
          <w:rFonts w:ascii="Arial" w:cs="Arial" w:eastAsia="Arial" w:hAnsi="Arial"/>
          <w:sz w:val="16"/>
          <w:szCs w:val="16"/>
          <w:color w:val="auto"/>
        </w:rPr>
        <w:t>many countries, we pay certain payroll and other operating expenses in local currencies and these expenses may be higher or lower in U.S. dollar</w:t>
      </w:r>
    </w:p>
    <w:p>
      <w:pPr>
        <w:spacing w:after="0" w:line="290" w:lineRule="auto"/>
        <w:rPr>
          <w:sz w:val="20"/>
          <w:szCs w:val="20"/>
          <w:color w:val="auto"/>
        </w:rPr>
      </w:pPr>
      <w:r>
        <w:rPr>
          <w:rFonts w:ascii="Arial" w:cs="Arial" w:eastAsia="Arial" w:hAnsi="Arial"/>
          <w:sz w:val="16"/>
          <w:szCs w:val="16"/>
          <w:color w:val="auto"/>
        </w:rPr>
        <w:t>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0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3.7%. We expect our hedges of foreign currency exposures to be highly effective and offset a significant portion of the short-term impact of changes in exchange rates.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5400" w:type="dxa"/>
            <w:vAlign w:val="bottom"/>
            <w:gridSpan w:val="5"/>
          </w:tcPr>
          <w:p>
            <w:pPr>
              <w:ind w:left="26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20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8"/>
        </w:trPr>
        <w:tc>
          <w:tcPr>
            <w:tcW w:w="7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960" w:type="dxa"/>
            <w:vAlign w:val="bottom"/>
          </w:tcPr>
          <w:p>
            <w:pPr>
              <w:jc w:val="center"/>
              <w:spacing w:after="0"/>
              <w:rPr>
                <w:sz w:val="20"/>
                <w:szCs w:val="20"/>
                <w:color w:val="auto"/>
              </w:rPr>
            </w:pPr>
            <w:r>
              <w:rPr>
                <w:rFonts w:ascii="Arial" w:cs="Arial" w:eastAsia="Arial" w:hAnsi="Arial"/>
                <w:sz w:val="18"/>
                <w:szCs w:val="18"/>
                <w:b w:val="1"/>
                <w:bCs w:val="1"/>
                <w:color w:val="auto"/>
              </w:rPr>
              <w:t>INDEX</w:t>
            </w:r>
          </w:p>
        </w:tc>
        <w:tc>
          <w:tcPr>
            <w:tcW w:w="2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48"/>
        </w:trPr>
        <w:tc>
          <w:tcPr>
            <w:tcW w:w="6180" w:type="dxa"/>
            <w:vAlign w:val="bottom"/>
            <w:gridSpan w:val="6"/>
            <w:vMerge w:val="restart"/>
          </w:tcPr>
          <w:p>
            <w:pPr>
              <w:spacing w:after="0"/>
              <w:rPr>
                <w:rFonts w:ascii="Arial" w:cs="Arial" w:eastAsia="Arial" w:hAnsi="Arial"/>
                <w:sz w:val="18"/>
                <w:szCs w:val="18"/>
                <w:color w:val="0000EE"/>
              </w:rPr>
            </w:pPr>
            <w:hyperlink w:anchor="page62">
              <w:r>
                <w:rPr>
                  <w:rFonts w:ascii="Arial" w:cs="Arial" w:eastAsia="Arial" w:hAnsi="Arial"/>
                  <w:sz w:val="18"/>
                  <w:szCs w:val="18"/>
                  <w:color w:val="0000EE"/>
                </w:rPr>
                <w:t>Report of Independent Registered Public Accounting Firm</w:t>
              </w:r>
            </w:hyperlink>
          </w:p>
        </w:tc>
        <w:tc>
          <w:tcPr>
            <w:tcW w:w="2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56"/>
        </w:trPr>
        <w:tc>
          <w:tcPr>
            <w:tcW w:w="6180" w:type="dxa"/>
            <w:vAlign w:val="bottom"/>
            <w:gridSpan w:val="6"/>
            <w:vMerge w:val="continue"/>
          </w:tcPr>
          <w:p>
            <w:pPr>
              <w:spacing w:after="0"/>
              <w:rPr>
                <w:sz w:val="13"/>
                <w:szCs w:val="13"/>
                <w:color w:val="auto"/>
              </w:rPr>
            </w:pPr>
          </w:p>
        </w:tc>
        <w:tc>
          <w:tcPr>
            <w:tcW w:w="20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320" w:type="dxa"/>
            <w:vAlign w:val="bottom"/>
          </w:tcPr>
          <w:p>
            <w:pPr>
              <w:jc w:val="right"/>
              <w:spacing w:after="0" w:line="142" w:lineRule="exact"/>
              <w:rPr>
                <w:sz w:val="20"/>
                <w:szCs w:val="20"/>
                <w:color w:val="auto"/>
              </w:rPr>
            </w:pPr>
            <w:r>
              <w:rPr>
                <w:rFonts w:ascii="Arial" w:cs="Arial" w:eastAsia="Arial" w:hAnsi="Arial"/>
                <w:sz w:val="16"/>
                <w:szCs w:val="16"/>
                <w:color w:val="auto"/>
              </w:rPr>
              <w:t>60</w:t>
            </w:r>
          </w:p>
        </w:tc>
        <w:tc>
          <w:tcPr>
            <w:tcW w:w="0" w:type="dxa"/>
            <w:vAlign w:val="bottom"/>
          </w:tcPr>
          <w:p>
            <w:pPr>
              <w:spacing w:after="0"/>
              <w:rPr>
                <w:sz w:val="1"/>
                <w:szCs w:val="1"/>
                <w:color w:val="auto"/>
              </w:rPr>
            </w:pPr>
          </w:p>
        </w:tc>
      </w:tr>
      <w:tr>
        <w:trPr>
          <w:trHeight w:val="20"/>
        </w:trPr>
        <w:tc>
          <w:tcPr>
            <w:tcW w:w="1440" w:type="dxa"/>
            <w:vAlign w:val="bottom"/>
            <w:gridSpan w:val="2"/>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80" w:type="dxa"/>
            <w:vAlign w:val="bottom"/>
            <w:gridSpan w:val="6"/>
          </w:tcPr>
          <w:p>
            <w:pPr>
              <w:spacing w:after="0"/>
              <w:rPr>
                <w:rFonts w:ascii="Arial" w:cs="Arial" w:eastAsia="Arial" w:hAnsi="Arial"/>
                <w:sz w:val="18"/>
                <w:szCs w:val="18"/>
                <w:color w:val="0000EE"/>
              </w:rPr>
            </w:pPr>
            <w:hyperlink w:anchor="page63">
              <w:r>
                <w:rPr>
                  <w:rFonts w:ascii="Arial" w:cs="Arial" w:eastAsia="Arial" w:hAnsi="Arial"/>
                  <w:sz w:val="18"/>
                  <w:szCs w:val="18"/>
                  <w:color w:val="0000EE"/>
                </w:rPr>
                <w:t>Consolidated Balance Sheets as of February 1, 2014 and February 2, 2013</w:t>
              </w:r>
            </w:hyperlink>
          </w:p>
        </w:tc>
        <w:tc>
          <w:tcPr>
            <w:tcW w:w="20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0"/>
        </w:trPr>
        <w:tc>
          <w:tcPr>
            <w:tcW w:w="1440" w:type="dxa"/>
            <w:vAlign w:val="bottom"/>
            <w:gridSpan w:val="2"/>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2140" w:type="dxa"/>
            <w:vAlign w:val="bottom"/>
            <w:gridSpan w:val="2"/>
            <w:shd w:val="clear" w:color="auto" w:fill="0000EE"/>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180" w:type="dxa"/>
            <w:vAlign w:val="bottom"/>
            <w:gridSpan w:val="6"/>
          </w:tcPr>
          <w:p>
            <w:pPr>
              <w:spacing w:after="0" w:line="196" w:lineRule="exact"/>
              <w:rPr>
                <w:rFonts w:ascii="Arial" w:cs="Arial" w:eastAsia="Arial" w:hAnsi="Arial"/>
                <w:sz w:val="18"/>
                <w:szCs w:val="18"/>
                <w:color w:val="0000EE"/>
                <w:w w:val="88"/>
              </w:rPr>
            </w:pPr>
            <w:hyperlink w:anchor="page64">
              <w:r>
                <w:rPr>
                  <w:rFonts w:ascii="Arial" w:cs="Arial" w:eastAsia="Arial" w:hAnsi="Arial"/>
                  <w:sz w:val="18"/>
                  <w:szCs w:val="18"/>
                  <w:color w:val="0000EE"/>
                  <w:w w:val="88"/>
                </w:rPr>
                <w:t>Consolidated Statements of Operations for the years ended February 1, 2014, February</w:t>
              </w:r>
            </w:hyperlink>
          </w:p>
        </w:tc>
        <w:tc>
          <w:tcPr>
            <w:tcW w:w="4820" w:type="dxa"/>
            <w:vAlign w:val="bottom"/>
            <w:gridSpan w:val="5"/>
          </w:tcPr>
          <w:p>
            <w:pPr>
              <w:ind w:left="20"/>
              <w:spacing w:after="0" w:line="196" w:lineRule="exact"/>
              <w:rPr>
                <w:rFonts w:ascii="Arial" w:cs="Arial" w:eastAsia="Arial" w:hAnsi="Arial"/>
                <w:sz w:val="18"/>
                <w:szCs w:val="18"/>
                <w:color w:val="0000EE"/>
              </w:rPr>
            </w:pPr>
            <w:hyperlink w:anchor="page64">
              <w:r>
                <w:rPr>
                  <w:rFonts w:ascii="Arial" w:cs="Arial" w:eastAsia="Arial" w:hAnsi="Arial"/>
                  <w:sz w:val="18"/>
                  <w:szCs w:val="18"/>
                  <w:color w:val="0000EE"/>
                </w:rPr>
                <w:t>2, 2013 and January 28, 2012</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0"/>
        </w:trPr>
        <w:tc>
          <w:tcPr>
            <w:tcW w:w="1440" w:type="dxa"/>
            <w:vAlign w:val="bottom"/>
            <w:gridSpan w:val="2"/>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5180" w:type="dxa"/>
            <w:vAlign w:val="bottom"/>
            <w:gridSpan w:val="4"/>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000" w:type="dxa"/>
            <w:vAlign w:val="bottom"/>
            <w:gridSpan w:val="11"/>
          </w:tcPr>
          <w:p>
            <w:pPr>
              <w:spacing w:after="0" w:line="196" w:lineRule="exact"/>
              <w:rPr>
                <w:rFonts w:ascii="Arial" w:cs="Arial" w:eastAsia="Arial" w:hAnsi="Arial"/>
                <w:sz w:val="18"/>
                <w:szCs w:val="18"/>
                <w:color w:val="0000EE"/>
              </w:rPr>
            </w:pPr>
            <w:hyperlink w:anchor="page65">
              <w:r>
                <w:rPr>
                  <w:rFonts w:ascii="Arial" w:cs="Arial" w:eastAsia="Arial" w:hAnsi="Arial"/>
                  <w:sz w:val="18"/>
                  <w:szCs w:val="18"/>
                  <w:color w:val="0000EE"/>
                </w:rPr>
                <w:t>Consolidated Statements of Comprehensive Income for the years ended February 1, 2014, February 2, 2013 and January 28, 2012</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196"/>
        </w:trPr>
        <w:tc>
          <w:tcPr>
            <w:tcW w:w="6180" w:type="dxa"/>
            <w:vAlign w:val="bottom"/>
            <w:tcBorders>
              <w:top w:val="single" w:sz="8" w:color="0000EE"/>
            </w:tcBorders>
            <w:gridSpan w:val="6"/>
          </w:tcPr>
          <w:p>
            <w:pPr>
              <w:spacing w:after="0" w:line="196" w:lineRule="exact"/>
              <w:rPr>
                <w:rFonts w:ascii="Arial" w:cs="Arial" w:eastAsia="Arial" w:hAnsi="Arial"/>
                <w:sz w:val="18"/>
                <w:szCs w:val="18"/>
                <w:color w:val="0000EE"/>
                <w:w w:val="88"/>
              </w:rPr>
            </w:pPr>
            <w:hyperlink w:anchor="page66">
              <w:r>
                <w:rPr>
                  <w:rFonts w:ascii="Arial" w:cs="Arial" w:eastAsia="Arial" w:hAnsi="Arial"/>
                  <w:sz w:val="18"/>
                  <w:szCs w:val="18"/>
                  <w:color w:val="0000EE"/>
                  <w:w w:val="88"/>
                </w:rPr>
                <w:t>Consolidated Statements of Shareholders’ Equity for the years ended February 1, 2014,</w:t>
              </w:r>
            </w:hyperlink>
          </w:p>
        </w:tc>
        <w:tc>
          <w:tcPr>
            <w:tcW w:w="2980" w:type="dxa"/>
            <w:vAlign w:val="bottom"/>
            <w:tcBorders>
              <w:top w:val="single" w:sz="8" w:color="0000EE"/>
            </w:tcBorders>
            <w:gridSpan w:val="4"/>
          </w:tcPr>
          <w:p>
            <w:pPr>
              <w:ind w:left="60"/>
              <w:spacing w:after="0" w:line="196" w:lineRule="exact"/>
              <w:rPr>
                <w:rFonts w:ascii="Arial" w:cs="Arial" w:eastAsia="Arial" w:hAnsi="Arial"/>
                <w:sz w:val="18"/>
                <w:szCs w:val="18"/>
                <w:color w:val="0000EE"/>
                <w:w w:val="91"/>
              </w:rPr>
            </w:pPr>
            <w:hyperlink w:anchor="page66">
              <w:r>
                <w:rPr>
                  <w:rFonts w:ascii="Arial" w:cs="Arial" w:eastAsia="Arial" w:hAnsi="Arial"/>
                  <w:sz w:val="18"/>
                  <w:szCs w:val="18"/>
                  <w:color w:val="0000EE"/>
                  <w:w w:val="91"/>
                </w:rPr>
                <w:t>February 2, 2013 and January 28, 2012</w:t>
              </w:r>
            </w:hyperlink>
          </w:p>
        </w:tc>
        <w:tc>
          <w:tcPr>
            <w:tcW w:w="184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196"/>
        </w:trPr>
        <w:tc>
          <w:tcPr>
            <w:tcW w:w="6180" w:type="dxa"/>
            <w:vAlign w:val="bottom"/>
            <w:tcBorders>
              <w:top w:val="single" w:sz="8" w:color="0000EE"/>
            </w:tcBorders>
            <w:gridSpan w:val="6"/>
          </w:tcPr>
          <w:p>
            <w:pPr>
              <w:spacing w:after="0" w:line="196" w:lineRule="exact"/>
              <w:rPr>
                <w:rFonts w:ascii="Arial" w:cs="Arial" w:eastAsia="Arial" w:hAnsi="Arial"/>
                <w:sz w:val="18"/>
                <w:szCs w:val="18"/>
                <w:color w:val="0000EE"/>
                <w:w w:val="87"/>
              </w:rPr>
            </w:pPr>
            <w:hyperlink w:anchor="page67">
              <w:r>
                <w:rPr>
                  <w:rFonts w:ascii="Arial" w:cs="Arial" w:eastAsia="Arial" w:hAnsi="Arial"/>
                  <w:sz w:val="18"/>
                  <w:szCs w:val="18"/>
                  <w:color w:val="0000EE"/>
                  <w:w w:val="87"/>
                </w:rPr>
                <w:t>Consolidated Statements of Cash Flows for the years ended February 1, 2014, February</w:t>
              </w:r>
            </w:hyperlink>
          </w:p>
        </w:tc>
        <w:tc>
          <w:tcPr>
            <w:tcW w:w="2800" w:type="dxa"/>
            <w:vAlign w:val="bottom"/>
            <w:tcBorders>
              <w:top w:val="single" w:sz="8" w:color="0000EE"/>
            </w:tcBorders>
            <w:gridSpan w:val="3"/>
          </w:tcPr>
          <w:p>
            <w:pPr>
              <w:ind w:left="60"/>
              <w:spacing w:after="0" w:line="196" w:lineRule="exact"/>
              <w:rPr>
                <w:rFonts w:ascii="Arial" w:cs="Arial" w:eastAsia="Arial" w:hAnsi="Arial"/>
                <w:sz w:val="18"/>
                <w:szCs w:val="18"/>
                <w:color w:val="0000EE"/>
              </w:rPr>
            </w:pPr>
            <w:hyperlink w:anchor="page67">
              <w:r>
                <w:rPr>
                  <w:rFonts w:ascii="Arial" w:cs="Arial" w:eastAsia="Arial" w:hAnsi="Arial"/>
                  <w:sz w:val="18"/>
                  <w:szCs w:val="18"/>
                  <w:color w:val="0000EE"/>
                </w:rPr>
                <w:t>2, 2013 and January 28, 2012</w:t>
              </w:r>
            </w:hyperlink>
          </w:p>
        </w:tc>
        <w:tc>
          <w:tcPr>
            <w:tcW w:w="2020" w:type="dxa"/>
            <w:vAlign w:val="bottom"/>
            <w:gridSpan w:val="2"/>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196"/>
        </w:trPr>
        <w:tc>
          <w:tcPr>
            <w:tcW w:w="6180" w:type="dxa"/>
            <w:vAlign w:val="bottom"/>
            <w:tcBorders>
              <w:top w:val="single" w:sz="8" w:color="0000EE"/>
            </w:tcBorders>
            <w:gridSpan w:val="6"/>
          </w:tcPr>
          <w:p>
            <w:pPr>
              <w:spacing w:after="0" w:line="196" w:lineRule="exact"/>
              <w:rPr>
                <w:rFonts w:ascii="Arial" w:cs="Arial" w:eastAsia="Arial" w:hAnsi="Arial"/>
                <w:sz w:val="18"/>
                <w:szCs w:val="18"/>
                <w:color w:val="0000EE"/>
              </w:rPr>
            </w:pPr>
            <w:hyperlink w:anchor="page68">
              <w:r>
                <w:rPr>
                  <w:rFonts w:ascii="Arial" w:cs="Arial" w:eastAsia="Arial" w:hAnsi="Arial"/>
                  <w:sz w:val="18"/>
                  <w:szCs w:val="18"/>
                  <w:color w:val="0000EE"/>
                </w:rPr>
                <w:t>Notes to Consolidated Financial Statements</w:t>
              </w:r>
            </w:hyperlink>
          </w:p>
        </w:tc>
        <w:tc>
          <w:tcPr>
            <w:tcW w:w="208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196"/>
        </w:trPr>
        <w:tc>
          <w:tcPr>
            <w:tcW w:w="308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106">
              <w:r>
                <w:rPr>
                  <w:rFonts w:ascii="Arial" w:cs="Arial" w:eastAsia="Arial" w:hAnsi="Arial"/>
                  <w:sz w:val="18"/>
                  <w:szCs w:val="18"/>
                  <w:color w:val="0000EE"/>
                </w:rPr>
                <w:t>Supplementary Data</w:t>
              </w:r>
            </w:hyperlink>
          </w:p>
        </w:tc>
        <w:tc>
          <w:tcPr>
            <w:tcW w:w="3100" w:type="dxa"/>
            <w:vAlign w:val="bottom"/>
            <w:gridSpan w:val="3"/>
          </w:tcPr>
          <w:p>
            <w:pPr>
              <w:spacing w:after="0"/>
              <w:rPr>
                <w:sz w:val="17"/>
                <w:szCs w:val="17"/>
                <w:color w:val="auto"/>
              </w:rPr>
            </w:pPr>
          </w:p>
        </w:tc>
        <w:tc>
          <w:tcPr>
            <w:tcW w:w="20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w w:val="99"/>
              </w:rPr>
              <w:t>104</w:t>
            </w:r>
          </w:p>
        </w:tc>
        <w:tc>
          <w:tcPr>
            <w:tcW w:w="0" w:type="dxa"/>
            <w:vAlign w:val="bottom"/>
          </w:tcPr>
          <w:p>
            <w:pPr>
              <w:spacing w:after="0"/>
              <w:rPr>
                <w:sz w:val="1"/>
                <w:szCs w:val="1"/>
                <w:color w:val="auto"/>
              </w:rPr>
            </w:pPr>
          </w:p>
        </w:tc>
      </w:tr>
      <w:tr>
        <w:trPr>
          <w:trHeight w:val="383"/>
        </w:trPr>
        <w:tc>
          <w:tcPr>
            <w:tcW w:w="780" w:type="dxa"/>
            <w:vAlign w:val="bottom"/>
            <w:tcBorders>
              <w:top w:val="single" w:sz="8" w:color="0000EE"/>
            </w:tcBorders>
          </w:tcPr>
          <w:p>
            <w:pPr>
              <w:spacing w:after="0"/>
              <w:rPr>
                <w:sz w:val="24"/>
                <w:szCs w:val="24"/>
                <w:color w:val="auto"/>
              </w:rPr>
            </w:pPr>
          </w:p>
        </w:tc>
        <w:tc>
          <w:tcPr>
            <w:tcW w:w="660" w:type="dxa"/>
            <w:vAlign w:val="bottom"/>
            <w:tcBorders>
              <w:top w:val="single" w:sz="8" w:color="0000EE"/>
            </w:tcBorders>
          </w:tcPr>
          <w:p>
            <w:pPr>
              <w:spacing w:after="0"/>
              <w:rPr>
                <w:sz w:val="24"/>
                <w:szCs w:val="24"/>
                <w:color w:val="auto"/>
              </w:rPr>
            </w:pPr>
          </w:p>
        </w:tc>
        <w:tc>
          <w:tcPr>
            <w:tcW w:w="4740" w:type="dxa"/>
            <w:vAlign w:val="bottom"/>
            <w:gridSpan w:val="4"/>
          </w:tcPr>
          <w:p>
            <w:pPr>
              <w:jc w:val="right"/>
              <w:ind w:right="292"/>
              <w:spacing w:after="0"/>
              <w:rPr>
                <w:sz w:val="20"/>
                <w:szCs w:val="20"/>
                <w:color w:val="auto"/>
              </w:rPr>
            </w:pPr>
            <w:r>
              <w:rPr>
                <w:rFonts w:ascii="Arial" w:cs="Arial" w:eastAsia="Arial" w:hAnsi="Arial"/>
                <w:sz w:val="18"/>
                <w:szCs w:val="18"/>
                <w:color w:val="auto"/>
              </w:rPr>
              <w:t>59</w:t>
            </w:r>
          </w:p>
        </w:tc>
        <w:tc>
          <w:tcPr>
            <w:tcW w:w="20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80" w:firstLine="2700"/>
        <w:spacing w:after="0" w:line="441"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spacing w:after="0" w:line="2" w:lineRule="exact"/>
        <w:rPr>
          <w:sz w:val="20"/>
          <w:szCs w:val="20"/>
          <w:color w:val="auto"/>
        </w:rPr>
      </w:pPr>
    </w:p>
    <w:p>
      <w:pPr>
        <w:ind w:right="20" w:firstLine="456"/>
        <w:spacing w:after="0" w:line="284" w:lineRule="auto"/>
        <w:rPr>
          <w:sz w:val="20"/>
          <w:szCs w:val="20"/>
          <w:color w:val="auto"/>
        </w:rPr>
      </w:pPr>
      <w:r>
        <w:rPr>
          <w:rFonts w:ascii="Arial" w:cs="Arial" w:eastAsia="Arial" w:hAnsi="Arial"/>
          <w:sz w:val="16"/>
          <w:szCs w:val="16"/>
          <w:color w:val="auto"/>
        </w:rPr>
        <w:t xml:space="preserve">In our opinion, the consolidated financial statements listed in the index appearing under Item 15(a)(1) present fairly, in all material respects, the financial position of Marvell Technology Group Ltd. and its subsidiaries at February 1, 2014 and February 2, 2013, and the results of their operations and their cash flows for each of the three years in the period ended February 1, 2014 in conformity with accounting principles generally accepted in the United States of America. In addition, in our opinion, the financial statement schedule listed in the index appearing under Item 15(a)(2) presents fairly, in all material respects, the information set forth therein when read in conjunction with the related consolidated financial statements. Also in our opinion, the Company maintained, in all material respects, effective internal control over financial reporting as of February 1, 2014,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(1992) </w:t>
      </w:r>
      <w:r>
        <w:rPr>
          <w:rFonts w:ascii="Arial" w:cs="Arial" w:eastAsia="Arial" w:hAnsi="Arial"/>
          <w:sz w:val="16"/>
          <w:szCs w:val="16"/>
          <w:color w:val="auto"/>
        </w:rPr>
        <w:t>issued by the Committee of Sponsoring Organizations of the Treadway Commission (COSO). The Company’s management is responsible for these</w:t>
      </w:r>
      <w:r>
        <w:rPr>
          <w:rFonts w:ascii="Arial" w:cs="Arial" w:eastAsia="Arial" w:hAnsi="Arial"/>
          <w:sz w:val="16"/>
          <w:szCs w:val="16"/>
          <w:i w:val="1"/>
          <w:iCs w:val="1"/>
          <w:color w:val="auto"/>
        </w:rPr>
        <w:t xml:space="preserve"> </w:t>
      </w:r>
      <w:r>
        <w:rPr>
          <w:rFonts w:ascii="Arial" w:cs="Arial" w:eastAsia="Arial" w:hAnsi="Arial"/>
          <w:sz w:val="16"/>
          <w:szCs w:val="16"/>
          <w:color w:val="auto"/>
        </w:rPr>
        <w:t>financial statements and financial statement schedule, for maintaining effective internal control over financial reporting and for its assessment of the effectiveness of internal control over financial reporting, included in Management’s Report on Internal Control over Financial Reporting appearing under Item 9A. Our responsibility is to express opinions on these financial statements, on the financial statement schedule, and on the Company’s internal control over financial reporting based on our integrated audits. We conducted our audits in accordance with the standards of the Public Company Accounting Oversight Board (United States). Those standards require that we plan and perform the audits to obtain reasonable assurance about whether the financial statements are free of material misstatement and whether effective internal control over financial reporting was maintained in all material respects. Our audits of the financial statements included examining, on a test basis, evidence supporting the amounts and disclosures in the financial statements, assessing the accounting principles used and significant estimates made by management, and evaluating the overall financial statement presentation.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audits also included performing such other procedures as we considered necessary in the circumstances. We believe that our audits provide a reasonable basis for our opinions.</w:t>
      </w:r>
    </w:p>
    <w:p>
      <w:pPr>
        <w:spacing w:after="0" w:line="13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11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March 27, 2014</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00"/>
          </w:cols>
          <w:pgMar w:left="240" w:top="459" w:right="25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CONSOLIDATED BALANCE SHEETS</w:t>
      </w:r>
    </w:p>
    <w:p>
      <w:pPr>
        <w:spacing w:after="0" w:line="21" w:lineRule="exact"/>
        <w:rPr>
          <w:sz w:val="20"/>
          <w:szCs w:val="20"/>
          <w:color w:val="auto"/>
        </w:rPr>
      </w:pPr>
    </w:p>
    <w:p>
      <w:pPr>
        <w:ind w:left="4140"/>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4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7"/>
              </w:rPr>
              <w:t>February 1,</w:t>
            </w:r>
          </w:p>
        </w:tc>
        <w:tc>
          <w:tcPr>
            <w:tcW w:w="420" w:type="dxa"/>
            <w:vAlign w:val="bottom"/>
          </w:tcPr>
          <w:p>
            <w:pPr>
              <w:spacing w:after="0"/>
              <w:rPr>
                <w:sz w:val="14"/>
                <w:szCs w:val="14"/>
                <w:color w:val="auto"/>
              </w:rPr>
            </w:pPr>
          </w:p>
        </w:tc>
        <w:tc>
          <w:tcPr>
            <w:tcW w:w="940" w:type="dxa"/>
            <w:vAlign w:val="bottom"/>
            <w:gridSpan w:val="3"/>
          </w:tcPr>
          <w:p>
            <w:pPr>
              <w:ind w:left="8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92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2014</w:t>
            </w:r>
          </w:p>
        </w:tc>
        <w:tc>
          <w:tcPr>
            <w:tcW w:w="4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40" w:type="dxa"/>
            <w:vAlign w:val="bottom"/>
            <w:shd w:val="clear" w:color="auto" w:fill="CCEEFF"/>
          </w:tcPr>
          <w:p>
            <w:pPr>
              <w:ind w:left="414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751,953</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1,003,655</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1,167,037</w:t>
            </w:r>
          </w:p>
        </w:tc>
        <w:tc>
          <w:tcPr>
            <w:tcW w:w="0" w:type="dxa"/>
            <w:vAlign w:val="bottom"/>
          </w:tcPr>
          <w:p>
            <w:pPr>
              <w:spacing w:after="0"/>
              <w:rPr>
                <w:sz w:val="1"/>
                <w:szCs w:val="1"/>
                <w:color w:val="auto"/>
              </w:rPr>
            </w:pPr>
          </w:p>
        </w:tc>
      </w:tr>
      <w:tr>
        <w:trPr>
          <w:trHeight w:val="208"/>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4"/>
              </w:rPr>
              <w:t>Accounts receivable, net of provision for sales returns and allowances of $2,294 and $7,921 in fiscal 2014 and 2013,</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respectively</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453,496</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330,238</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347,861</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250,420</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56,952</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77,282</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11,506</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8,416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2,839,220</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2,585,346</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356,165</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372,971</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16,769</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2,029,945</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2,032,138</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49,035</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89,655</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160,366</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164,885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5,451,010</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5,261,764</w:t>
            </w:r>
          </w:p>
        </w:tc>
        <w:tc>
          <w:tcPr>
            <w:tcW w:w="0" w:type="dxa"/>
            <w:vAlign w:val="bottom"/>
          </w:tcPr>
          <w:p>
            <w:pPr>
              <w:spacing w:after="0"/>
              <w:rPr>
                <w:sz w:val="1"/>
                <w:szCs w:val="1"/>
                <w:color w:val="auto"/>
              </w:rPr>
            </w:pPr>
          </w:p>
        </w:tc>
      </w:tr>
      <w:tr>
        <w:trPr>
          <w:trHeight w:val="20"/>
        </w:trPr>
        <w:tc>
          <w:tcPr>
            <w:tcW w:w="9240" w:type="dxa"/>
            <w:vAlign w:val="bottom"/>
            <w:vMerge w:val="restart"/>
          </w:tcPr>
          <w:p>
            <w:pPr>
              <w:ind w:left="256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2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316,389</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286,552</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161,762</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143,991</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111,408</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117,195</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61,747</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651,306</w:t>
            </w: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607,888</w:t>
            </w:r>
          </w:p>
        </w:tc>
        <w:tc>
          <w:tcPr>
            <w:tcW w:w="0" w:type="dxa"/>
            <w:vAlign w:val="bottom"/>
          </w:tcPr>
          <w:p>
            <w:pPr>
              <w:spacing w:after="0"/>
              <w:rPr>
                <w:sz w:val="1"/>
                <w:szCs w:val="1"/>
                <w:color w:val="auto"/>
              </w:rPr>
            </w:pPr>
          </w:p>
        </w:tc>
      </w:tr>
      <w:tr>
        <w:trPr>
          <w:trHeight w:val="217"/>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81,325</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112,871</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Other non-current liabilities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42,469</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56,410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775,100</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777,169</w:t>
            </w:r>
          </w:p>
        </w:tc>
        <w:tc>
          <w:tcPr>
            <w:tcW w:w="0" w:type="dxa"/>
            <w:vAlign w:val="bottom"/>
          </w:tcPr>
          <w:p>
            <w:pPr>
              <w:spacing w:after="0"/>
              <w:rPr>
                <w:sz w:val="1"/>
                <w:szCs w:val="1"/>
                <w:color w:val="auto"/>
              </w:rPr>
            </w:pPr>
          </w:p>
        </w:tc>
      </w:tr>
      <w:tr>
        <w:trPr>
          <w:trHeight w:val="221"/>
        </w:trPr>
        <w:tc>
          <w:tcPr>
            <w:tcW w:w="924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100" w:type="dxa"/>
            <w:vAlign w:val="bottom"/>
          </w:tcPr>
          <w:p>
            <w:pPr>
              <w:spacing w:after="0"/>
              <w:rPr>
                <w:sz w:val="18"/>
                <w:szCs w:val="18"/>
                <w:color w:val="auto"/>
              </w:rPr>
            </w:pPr>
          </w:p>
        </w:tc>
        <w:tc>
          <w:tcPr>
            <w:tcW w:w="72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3"/>
              </w:rPr>
              <w:t>Common stock, $0.002 par value; 992,000 shares authorized; 502,405 and 508,338 shares issued and outstanding in</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fiscal 2014 and 2013, respectively</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1,005</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1,017</w:t>
            </w: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2,941,650</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2,945,643</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1,148</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1,732,658</w:t>
            </w:r>
          </w:p>
        </w:tc>
        <w:tc>
          <w:tcPr>
            <w:tcW w:w="4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1,536,787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4,675,910</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4,484,595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5,451,010</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5,261,764</w:t>
            </w:r>
          </w:p>
        </w:tc>
        <w:tc>
          <w:tcPr>
            <w:tcW w:w="0" w:type="dxa"/>
            <w:vAlign w:val="bottom"/>
          </w:tcPr>
          <w:p>
            <w:pPr>
              <w:spacing w:after="0"/>
              <w:rPr>
                <w:sz w:val="1"/>
                <w:szCs w:val="1"/>
                <w:color w:val="auto"/>
              </w:rPr>
            </w:pPr>
          </w:p>
        </w:tc>
      </w:tr>
      <w:tr>
        <w:trPr>
          <w:trHeight w:val="20"/>
        </w:trPr>
        <w:tc>
          <w:tcPr>
            <w:tcW w:w="9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3"/>
          </w:tcPr>
          <w:p>
            <w:pPr>
              <w:jc w:val="center"/>
              <w:ind w:right="20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9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gridSpan w:val="4"/>
          </w:tcPr>
          <w:p>
            <w:pPr>
              <w:jc w:val="right"/>
              <w:ind w:right="320"/>
              <w:spacing w:after="0" w:line="129" w:lineRule="exact"/>
              <w:rPr>
                <w:sz w:val="20"/>
                <w:szCs w:val="20"/>
                <w:color w:val="auto"/>
              </w:rPr>
            </w:pPr>
            <w:r>
              <w:rPr>
                <w:rFonts w:ascii="Arial" w:cs="Arial" w:eastAsia="Arial" w:hAnsi="Arial"/>
                <w:sz w:val="14"/>
                <w:szCs w:val="14"/>
                <w:b w:val="1"/>
                <w:bCs w:val="1"/>
                <w:color w:val="auto"/>
                <w:w w:val="95"/>
              </w:rPr>
              <w:t>February 1,</w:t>
            </w:r>
          </w:p>
        </w:tc>
        <w:tc>
          <w:tcPr>
            <w:tcW w:w="180" w:type="dxa"/>
            <w:vAlign w:val="bottom"/>
          </w:tcPr>
          <w:p>
            <w:pPr>
              <w:spacing w:after="0"/>
              <w:rPr>
                <w:sz w:val="11"/>
                <w:szCs w:val="11"/>
                <w:color w:val="auto"/>
              </w:rPr>
            </w:pPr>
          </w:p>
        </w:tc>
        <w:tc>
          <w:tcPr>
            <w:tcW w:w="1040" w:type="dxa"/>
            <w:vAlign w:val="bottom"/>
            <w:gridSpan w:val="3"/>
          </w:tcPr>
          <w:p>
            <w:pPr>
              <w:jc w:val="center"/>
              <w:ind w:right="220"/>
              <w:spacing w:after="0" w:line="129" w:lineRule="exact"/>
              <w:rPr>
                <w:sz w:val="20"/>
                <w:szCs w:val="20"/>
                <w:color w:val="auto"/>
              </w:rPr>
            </w:pPr>
            <w:r>
              <w:rPr>
                <w:rFonts w:ascii="Arial" w:cs="Arial" w:eastAsia="Arial" w:hAnsi="Arial"/>
                <w:sz w:val="14"/>
                <w:szCs w:val="14"/>
                <w:b w:val="1"/>
                <w:bCs w:val="1"/>
                <w:color w:val="auto"/>
                <w:w w:val="92"/>
              </w:rPr>
              <w:t>February 2,</w:t>
            </w:r>
          </w:p>
        </w:tc>
        <w:tc>
          <w:tcPr>
            <w:tcW w:w="200" w:type="dxa"/>
            <w:vAlign w:val="bottom"/>
          </w:tcPr>
          <w:p>
            <w:pPr>
              <w:spacing w:after="0"/>
              <w:rPr>
                <w:sz w:val="11"/>
                <w:szCs w:val="11"/>
                <w:color w:val="auto"/>
              </w:rPr>
            </w:pPr>
          </w:p>
        </w:tc>
        <w:tc>
          <w:tcPr>
            <w:tcW w:w="8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5"/>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9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2014</w:t>
            </w:r>
          </w:p>
        </w:tc>
        <w:tc>
          <w:tcPr>
            <w:tcW w:w="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3"/>
              </w:rPr>
              <w:t>2013</w:t>
            </w:r>
          </w:p>
        </w:tc>
        <w:tc>
          <w:tcPr>
            <w:tcW w:w="2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3,404,400</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3,168,630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3,393,040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1,663,730</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7"/>
              </w:rPr>
              <w:t>1,493,497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1,465,805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1,156,885</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1,057,445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1,013,678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152,698</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161,817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159,434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106,471</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108,514</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100,620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43,925</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52,700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49,357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9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3,123,709</w:t>
            </w:r>
          </w:p>
        </w:tc>
        <w:tc>
          <w:tcPr>
            <w:tcW w:w="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2,873,973</w:t>
            </w: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2,788,894</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280,691</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294,657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604,146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25,566</w:t>
            </w: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15,533</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14,913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306,257</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310,190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619,059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3"/>
          </w:tcPr>
          <w:p>
            <w:pPr>
              <w:jc w:val="right"/>
              <w:ind w:right="200"/>
              <w:spacing w:after="0"/>
              <w:rPr>
                <w:sz w:val="20"/>
                <w:szCs w:val="20"/>
                <w:color w:val="auto"/>
              </w:rPr>
            </w:pPr>
            <w:r>
              <w:rPr>
                <w:rFonts w:ascii="Arial" w:cs="Arial" w:eastAsia="Arial" w:hAnsi="Arial"/>
                <w:sz w:val="18"/>
                <w:szCs w:val="18"/>
                <w:color w:val="auto"/>
              </w:rPr>
              <w:t>(9,063)</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3,605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3,968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9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315,320</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306,585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615,091</w:t>
            </w: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9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0.64</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0.55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960" w:type="dxa"/>
            <w:vAlign w:val="bottom"/>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0.63</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0.54</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496,518</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555,310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607,857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504,413</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563,123</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623,268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Cash dividends declared per share</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98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0.24</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0.18</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060"/>
        <w:spacing w:after="0"/>
        <w:rPr>
          <w:sz w:val="20"/>
          <w:szCs w:val="20"/>
          <w:color w:val="auto"/>
        </w:rPr>
      </w:pPr>
      <w:r>
        <w:rPr>
          <w:rFonts w:ascii="Arial" w:cs="Arial" w:eastAsia="Arial" w:hAnsi="Arial"/>
          <w:sz w:val="18"/>
          <w:szCs w:val="18"/>
          <w:b w:val="1"/>
          <w:bCs w:val="1"/>
          <w:color w:val="auto"/>
        </w:rPr>
        <w:t>CONSOLIDATED STATEMENTS OF COMPREHENSIVE INCOME</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6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220" w:type="dxa"/>
            <w:vAlign w:val="bottom"/>
            <w:tcBorders>
              <w:bottom w:val="single" w:sz="8" w:color="auto"/>
            </w:tcBorders>
            <w:gridSpan w:val="2"/>
          </w:tcPr>
          <w:p>
            <w:pPr>
              <w:jc w:val="center"/>
              <w:ind w:right="54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160" w:type="dxa"/>
            <w:vAlign w:val="bottom"/>
          </w:tcPr>
          <w:p>
            <w:pPr>
              <w:spacing w:after="0"/>
              <w:rPr>
                <w:sz w:val="11"/>
                <w:szCs w:val="11"/>
                <w:color w:val="auto"/>
              </w:rPr>
            </w:pPr>
          </w:p>
        </w:tc>
        <w:tc>
          <w:tcPr>
            <w:tcW w:w="1240" w:type="dxa"/>
            <w:vAlign w:val="bottom"/>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90"/>
              </w:rPr>
              <w:t>February 1,</w:t>
            </w:r>
          </w:p>
        </w:tc>
        <w:tc>
          <w:tcPr>
            <w:tcW w:w="1220" w:type="dxa"/>
            <w:vAlign w:val="bottom"/>
            <w:gridSpan w:val="2"/>
          </w:tcPr>
          <w:p>
            <w:pPr>
              <w:jc w:val="center"/>
              <w:ind w:right="540"/>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5"/>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816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2014</w:t>
            </w:r>
          </w:p>
        </w:tc>
        <w:tc>
          <w:tcPr>
            <w:tcW w:w="2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2013</w:t>
            </w:r>
          </w:p>
        </w:tc>
        <w:tc>
          <w:tcPr>
            <w:tcW w:w="54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81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$ 315,320</w:t>
            </w: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$ 306,585</w:t>
            </w:r>
          </w:p>
        </w:tc>
        <w:tc>
          <w:tcPr>
            <w:tcW w:w="54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$ 615,091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16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change in unrealized gain (loss) on marketable securities</w:t>
            </w:r>
          </w:p>
        </w:tc>
        <w:tc>
          <w:tcPr>
            <w:tcW w:w="124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(208)</w:t>
            </w:r>
          </w:p>
        </w:tc>
        <w:tc>
          <w:tcPr>
            <w:tcW w:w="12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(960)</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198</w:t>
            </w:r>
          </w:p>
        </w:tc>
        <w:tc>
          <w:tcPr>
            <w:tcW w:w="0" w:type="dxa"/>
            <w:vAlign w:val="bottom"/>
          </w:tcPr>
          <w:p>
            <w:pPr>
              <w:spacing w:after="0"/>
              <w:rPr>
                <w:sz w:val="1"/>
                <w:szCs w:val="1"/>
                <w:color w:val="auto"/>
              </w:rPr>
            </w:pPr>
          </w:p>
        </w:tc>
      </w:tr>
      <w:tr>
        <w:trPr>
          <w:trHeight w:val="216"/>
        </w:trPr>
        <w:tc>
          <w:tcPr>
            <w:tcW w:w="8160" w:type="dxa"/>
            <w:vAlign w:val="bottom"/>
          </w:tcPr>
          <w:p>
            <w:pPr>
              <w:ind w:left="440"/>
              <w:spacing w:after="0"/>
              <w:rPr>
                <w:sz w:val="20"/>
                <w:szCs w:val="20"/>
                <w:color w:val="auto"/>
              </w:rPr>
            </w:pPr>
            <w:r>
              <w:rPr>
                <w:rFonts w:ascii="Arial" w:cs="Arial" w:eastAsia="Arial" w:hAnsi="Arial"/>
                <w:sz w:val="18"/>
                <w:szCs w:val="18"/>
                <w:color w:val="auto"/>
              </w:rPr>
              <w:t>Net change in unrealized gain (loss) on auction rate securities</w:t>
            </w:r>
          </w:p>
        </w:tc>
        <w:tc>
          <w:tcPr>
            <w:tcW w:w="1240" w:type="dxa"/>
            <w:vAlign w:val="bottom"/>
            <w:gridSpan w:val="3"/>
          </w:tcPr>
          <w:p>
            <w:pPr>
              <w:jc w:val="right"/>
              <w:ind w:right="480"/>
              <w:spacing w:after="0"/>
              <w:rPr>
                <w:sz w:val="20"/>
                <w:szCs w:val="20"/>
                <w:color w:val="auto"/>
              </w:rPr>
            </w:pPr>
            <w:r>
              <w:rPr>
                <w:rFonts w:ascii="Arial" w:cs="Arial" w:eastAsia="Arial" w:hAnsi="Arial"/>
                <w:sz w:val="18"/>
                <w:szCs w:val="18"/>
                <w:color w:val="auto"/>
              </w:rPr>
              <w:t>(190)</w:t>
            </w:r>
          </w:p>
        </w:tc>
        <w:tc>
          <w:tcPr>
            <w:tcW w:w="1220" w:type="dxa"/>
            <w:vAlign w:val="bottom"/>
            <w:gridSpan w:val="2"/>
          </w:tcPr>
          <w:p>
            <w:pPr>
              <w:jc w:val="right"/>
              <w:ind w:right="480"/>
              <w:spacing w:after="0"/>
              <w:rPr>
                <w:sz w:val="20"/>
                <w:szCs w:val="20"/>
                <w:color w:val="auto"/>
              </w:rPr>
            </w:pPr>
            <w:r>
              <w:rPr>
                <w:rFonts w:ascii="Arial" w:cs="Arial" w:eastAsia="Arial" w:hAnsi="Arial"/>
                <w:sz w:val="18"/>
                <w:szCs w:val="18"/>
                <w:color w:val="auto"/>
              </w:rPr>
              <w:t>(1,396)</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339</w:t>
            </w:r>
          </w:p>
        </w:tc>
        <w:tc>
          <w:tcPr>
            <w:tcW w:w="0" w:type="dxa"/>
            <w:vAlign w:val="bottom"/>
          </w:tcPr>
          <w:p>
            <w:pPr>
              <w:spacing w:after="0"/>
              <w:rPr>
                <w:sz w:val="1"/>
                <w:szCs w:val="1"/>
                <w:color w:val="auto"/>
              </w:rPr>
            </w:pPr>
          </w:p>
        </w:tc>
      </w:tr>
      <w:tr>
        <w:trPr>
          <w:trHeight w:val="216"/>
        </w:trPr>
        <w:tc>
          <w:tcPr>
            <w:tcW w:w="8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change in unrealized gain (loss) on cash flow hedges</w:t>
            </w:r>
          </w:p>
        </w:tc>
        <w:tc>
          <w:tcPr>
            <w:tcW w:w="124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(153)</w:t>
            </w:r>
          </w:p>
        </w:tc>
        <w:tc>
          <w:tcPr>
            <w:tcW w:w="12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2,728</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(848)</w:t>
            </w:r>
          </w:p>
        </w:tc>
        <w:tc>
          <w:tcPr>
            <w:tcW w:w="0" w:type="dxa"/>
            <w:vAlign w:val="bottom"/>
          </w:tcPr>
          <w:p>
            <w:pPr>
              <w:spacing w:after="0"/>
              <w:rPr>
                <w:sz w:val="1"/>
                <w:szCs w:val="1"/>
                <w:color w:val="auto"/>
              </w:rPr>
            </w:pPr>
          </w:p>
        </w:tc>
      </w:tr>
      <w:tr>
        <w:trPr>
          <w:trHeight w:val="216"/>
        </w:trPr>
        <w:tc>
          <w:tcPr>
            <w:tcW w:w="8160" w:type="dxa"/>
            <w:vAlign w:val="bottom"/>
          </w:tcPr>
          <w:p>
            <w:pPr>
              <w:ind w:left="440"/>
              <w:spacing w:after="0"/>
              <w:rPr>
                <w:sz w:val="20"/>
                <w:szCs w:val="20"/>
                <w:color w:val="auto"/>
              </w:rPr>
            </w:pPr>
            <w:r>
              <w:rPr>
                <w:rFonts w:ascii="Arial" w:cs="Arial" w:eastAsia="Arial" w:hAnsi="Arial"/>
                <w:sz w:val="18"/>
                <w:szCs w:val="18"/>
                <w:color w:val="auto"/>
              </w:rPr>
              <w:t>Other</w:t>
            </w:r>
          </w:p>
        </w:tc>
        <w:tc>
          <w:tcPr>
            <w:tcW w:w="700" w:type="dxa"/>
            <w:vAlign w:val="bottom"/>
          </w:tcPr>
          <w:p>
            <w:pPr>
              <w:jc w:val="right"/>
              <w:ind w:right="17"/>
              <w:spacing w:after="0"/>
              <w:rPr>
                <w:sz w:val="20"/>
                <w:szCs w:val="20"/>
                <w:color w:val="auto"/>
              </w:rPr>
            </w:pPr>
            <w:r>
              <w:rPr>
                <w:rFonts w:ascii="Arial" w:cs="Arial" w:eastAsia="Arial" w:hAnsi="Arial"/>
                <w:sz w:val="18"/>
                <w:szCs w:val="18"/>
                <w:color w:val="auto"/>
              </w:rPr>
              <w:t>—</w:t>
            </w:r>
          </w:p>
        </w:tc>
        <w:tc>
          <w:tcPr>
            <w:tcW w:w="540" w:type="dxa"/>
            <w:vAlign w:val="bottom"/>
            <w:gridSpan w:val="2"/>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7"/>
        </w:trPr>
        <w:tc>
          <w:tcPr>
            <w:tcW w:w="816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5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81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Other comprehensive income (loss), net</w:t>
            </w:r>
          </w:p>
        </w:tc>
        <w:tc>
          <w:tcPr>
            <w:tcW w:w="124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(551)</w:t>
            </w:r>
          </w:p>
        </w:tc>
        <w:tc>
          <w:tcPr>
            <w:tcW w:w="12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372</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(316)</w:t>
            </w:r>
          </w:p>
        </w:tc>
        <w:tc>
          <w:tcPr>
            <w:tcW w:w="0" w:type="dxa"/>
            <w:vAlign w:val="bottom"/>
          </w:tcPr>
          <w:p>
            <w:pPr>
              <w:spacing w:after="0"/>
              <w:rPr>
                <w:sz w:val="1"/>
                <w:szCs w:val="1"/>
                <w:color w:val="auto"/>
              </w:rPr>
            </w:pPr>
          </w:p>
        </w:tc>
      </w:tr>
      <w:tr>
        <w:trPr>
          <w:trHeight w:val="20"/>
        </w:trPr>
        <w:tc>
          <w:tcPr>
            <w:tcW w:w="8160" w:type="dxa"/>
            <w:vAlign w:val="bottom"/>
            <w:vMerge w:val="restart"/>
          </w:tcPr>
          <w:p>
            <w:pPr>
              <w:spacing w:after="0"/>
              <w:rPr>
                <w:sz w:val="20"/>
                <w:szCs w:val="20"/>
                <w:color w:val="auto"/>
              </w:rPr>
            </w:pPr>
            <w:r>
              <w:rPr>
                <w:rFonts w:ascii="Arial" w:cs="Arial" w:eastAsia="Arial" w:hAnsi="Arial"/>
                <w:sz w:val="18"/>
                <w:szCs w:val="18"/>
                <w:color w:val="auto"/>
              </w:rPr>
              <w:t>Comprehensive income</w:t>
            </w: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160" w:type="dxa"/>
            <w:vAlign w:val="bottom"/>
            <w:vMerge w:val="continue"/>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$ 314,769</w:t>
            </w:r>
          </w:p>
        </w:tc>
        <w:tc>
          <w:tcPr>
            <w:tcW w:w="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220" w:type="dxa"/>
            <w:vAlign w:val="bottom"/>
            <w:gridSpan w:val="2"/>
          </w:tcPr>
          <w:p>
            <w:pPr>
              <w:jc w:val="right"/>
              <w:ind w:right="540"/>
              <w:spacing w:after="0"/>
              <w:rPr>
                <w:sz w:val="20"/>
                <w:szCs w:val="20"/>
                <w:color w:val="auto"/>
              </w:rPr>
            </w:pPr>
            <w:r>
              <w:rPr>
                <w:rFonts w:ascii="Arial" w:cs="Arial" w:eastAsia="Arial" w:hAnsi="Arial"/>
                <w:sz w:val="18"/>
                <w:szCs w:val="18"/>
                <w:color w:val="auto"/>
                <w:w w:val="82"/>
              </w:rPr>
              <w:t>$ 306,957</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w w:val="84"/>
              </w:rPr>
              <w:t>$ 614,775</w:t>
            </w:r>
          </w:p>
        </w:tc>
        <w:tc>
          <w:tcPr>
            <w:tcW w:w="0" w:type="dxa"/>
            <w:vAlign w:val="bottom"/>
          </w:tcPr>
          <w:p>
            <w:pPr>
              <w:spacing w:after="0"/>
              <w:rPr>
                <w:sz w:val="1"/>
                <w:szCs w:val="1"/>
                <w:color w:val="auto"/>
              </w:rPr>
            </w:pPr>
          </w:p>
        </w:tc>
      </w:tr>
      <w:tr>
        <w:trPr>
          <w:trHeight w:val="20"/>
        </w:trPr>
        <w:tc>
          <w:tcPr>
            <w:tcW w:w="816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100"/>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8"/>
              </w:rPr>
              <w:t>Accumulated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1660" w:type="dxa"/>
            <w:vAlign w:val="bottom"/>
            <w:gridSpan w:val="4"/>
            <w:vMerge w:val="restart"/>
          </w:tcPr>
          <w:p>
            <w:pPr>
              <w:jc w:val="right"/>
              <w:ind w:right="480"/>
              <w:spacing w:after="0"/>
              <w:rPr>
                <w:sz w:val="20"/>
                <w:szCs w:val="20"/>
                <w:color w:val="auto"/>
              </w:rPr>
            </w:pPr>
            <w:r>
              <w:rPr>
                <w:rFonts w:ascii="Arial" w:cs="Arial" w:eastAsia="Arial" w:hAnsi="Arial"/>
                <w:sz w:val="14"/>
                <w:szCs w:val="14"/>
                <w:b w:val="1"/>
                <w:bCs w:val="1"/>
                <w:color w:val="auto"/>
              </w:rPr>
              <w:t>Common Stock</w:t>
            </w:r>
          </w:p>
        </w:tc>
        <w:tc>
          <w:tcPr>
            <w:tcW w:w="120" w:type="dxa"/>
            <w:vAlign w:val="bottom"/>
          </w:tcPr>
          <w:p>
            <w:pPr>
              <w:spacing w:after="0"/>
              <w:rPr>
                <w:sz w:val="12"/>
                <w:szCs w:val="12"/>
                <w:color w:val="auto"/>
              </w:rPr>
            </w:pPr>
          </w:p>
        </w:tc>
        <w:tc>
          <w:tcPr>
            <w:tcW w:w="106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rPr>
              <w:t>Additional</w:t>
            </w: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Other</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5100" w:type="dxa"/>
            <w:vAlign w:val="bottom"/>
          </w:tcPr>
          <w:p>
            <w:pPr>
              <w:spacing w:after="0"/>
              <w:rPr>
                <w:sz w:val="8"/>
                <w:szCs w:val="8"/>
                <w:color w:val="auto"/>
              </w:rPr>
            </w:pPr>
          </w:p>
        </w:tc>
        <w:tc>
          <w:tcPr>
            <w:tcW w:w="1660" w:type="dxa"/>
            <w:vAlign w:val="bottom"/>
            <w:gridSpan w:val="4"/>
            <w:vMerge w:val="continue"/>
          </w:tcPr>
          <w:p>
            <w:pPr>
              <w:spacing w:after="0"/>
              <w:rPr>
                <w:sz w:val="8"/>
                <w:szCs w:val="8"/>
                <w:color w:val="auto"/>
              </w:rPr>
            </w:pPr>
          </w:p>
        </w:tc>
        <w:tc>
          <w:tcPr>
            <w:tcW w:w="120" w:type="dxa"/>
            <w:vAlign w:val="bottom"/>
          </w:tcPr>
          <w:p>
            <w:pPr>
              <w:spacing w:after="0"/>
              <w:rPr>
                <w:sz w:val="8"/>
                <w:szCs w:val="8"/>
                <w:color w:val="auto"/>
              </w:rPr>
            </w:pPr>
          </w:p>
        </w:tc>
        <w:tc>
          <w:tcPr>
            <w:tcW w:w="1060" w:type="dxa"/>
            <w:vAlign w:val="bottom"/>
            <w:gridSpan w:val="2"/>
            <w:vMerge w:val="restart"/>
          </w:tcPr>
          <w:p>
            <w:pPr>
              <w:jc w:val="right"/>
              <w:ind w:right="400"/>
              <w:spacing w:after="0" w:line="149" w:lineRule="exact"/>
              <w:rPr>
                <w:sz w:val="20"/>
                <w:szCs w:val="20"/>
                <w:color w:val="auto"/>
              </w:rPr>
            </w:pPr>
            <w:r>
              <w:rPr>
                <w:rFonts w:ascii="Arial" w:cs="Arial" w:eastAsia="Arial" w:hAnsi="Arial"/>
                <w:sz w:val="14"/>
                <w:szCs w:val="14"/>
                <w:b w:val="1"/>
                <w:bCs w:val="1"/>
                <w:color w:val="auto"/>
              </w:rPr>
              <w:t>Paid-in</w:t>
            </w:r>
          </w:p>
        </w:tc>
        <w:tc>
          <w:tcPr>
            <w:tcW w:w="140" w:type="dxa"/>
            <w:vAlign w:val="bottom"/>
          </w:tcPr>
          <w:p>
            <w:pPr>
              <w:spacing w:after="0"/>
              <w:rPr>
                <w:sz w:val="8"/>
                <w:szCs w:val="8"/>
                <w:color w:val="auto"/>
              </w:rPr>
            </w:pPr>
          </w:p>
        </w:tc>
        <w:tc>
          <w:tcPr>
            <w:tcW w:w="1100" w:type="dxa"/>
            <w:vAlign w:val="bottom"/>
            <w:gridSpan w:val="3"/>
            <w:vMerge w:val="restart"/>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Comprehensive</w:t>
            </w: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20" w:type="dxa"/>
            <w:vAlign w:val="bottom"/>
            <w:gridSpan w:val="2"/>
            <w:vMerge w:val="restart"/>
          </w:tcPr>
          <w:p>
            <w:pPr>
              <w:jc w:val="right"/>
              <w:ind w:right="460"/>
              <w:spacing w:after="0" w:line="149" w:lineRule="exact"/>
              <w:rPr>
                <w:sz w:val="20"/>
                <w:szCs w:val="20"/>
                <w:color w:val="auto"/>
              </w:rPr>
            </w:pPr>
            <w:r>
              <w:rPr>
                <w:rFonts w:ascii="Arial" w:cs="Arial" w:eastAsia="Arial" w:hAnsi="Arial"/>
                <w:sz w:val="14"/>
                <w:szCs w:val="14"/>
                <w:b w:val="1"/>
                <w:bCs w:val="1"/>
                <w:color w:val="auto"/>
                <w:w w:val="91"/>
              </w:rPr>
              <w:t>Retained</w:t>
            </w:r>
          </w:p>
        </w:tc>
        <w:tc>
          <w:tcPr>
            <w:tcW w:w="8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5100" w:type="dxa"/>
            <w:vAlign w:val="bottom"/>
          </w:tcPr>
          <w:p>
            <w:pPr>
              <w:spacing w:after="0"/>
              <w:rPr>
                <w:sz w:val="3"/>
                <w:szCs w:val="3"/>
                <w:color w:val="auto"/>
              </w:rPr>
            </w:pPr>
          </w:p>
        </w:tc>
        <w:tc>
          <w:tcPr>
            <w:tcW w:w="640" w:type="dxa"/>
            <w:vAlign w:val="bottom"/>
            <w:tcBorders>
              <w:top w:val="single" w:sz="8" w:color="auto"/>
            </w:tcBorders>
          </w:tcPr>
          <w:p>
            <w:pPr>
              <w:spacing w:after="0"/>
              <w:rPr>
                <w:sz w:val="3"/>
                <w:szCs w:val="3"/>
                <w:color w:val="auto"/>
              </w:rPr>
            </w:pPr>
          </w:p>
        </w:tc>
        <w:tc>
          <w:tcPr>
            <w:tcW w:w="320" w:type="dxa"/>
            <w:vAlign w:val="bottom"/>
            <w:tcBorders>
              <w:top w:val="single" w:sz="8" w:color="auto"/>
            </w:tcBorders>
          </w:tcPr>
          <w:p>
            <w:pPr>
              <w:spacing w:after="0"/>
              <w:rPr>
                <w:sz w:val="3"/>
                <w:szCs w:val="3"/>
                <w:color w:val="auto"/>
              </w:rPr>
            </w:pPr>
          </w:p>
        </w:tc>
        <w:tc>
          <w:tcPr>
            <w:tcW w:w="500" w:type="dxa"/>
            <w:vAlign w:val="bottom"/>
            <w:tcBorders>
              <w:top w:val="single" w:sz="8" w:color="auto"/>
            </w:tcBorders>
          </w:tcPr>
          <w:p>
            <w:pPr>
              <w:spacing w:after="0"/>
              <w:rPr>
                <w:sz w:val="3"/>
                <w:szCs w:val="3"/>
                <w:color w:val="auto"/>
              </w:rPr>
            </w:pPr>
          </w:p>
        </w:tc>
        <w:tc>
          <w:tcPr>
            <w:tcW w:w="2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060" w:type="dxa"/>
            <w:vAlign w:val="bottom"/>
            <w:gridSpan w:val="2"/>
            <w:vMerge w:val="continue"/>
          </w:tcPr>
          <w:p>
            <w:pPr>
              <w:spacing w:after="0"/>
              <w:rPr>
                <w:sz w:val="3"/>
                <w:szCs w:val="3"/>
                <w:color w:val="auto"/>
              </w:rPr>
            </w:pPr>
          </w:p>
        </w:tc>
        <w:tc>
          <w:tcPr>
            <w:tcW w:w="140" w:type="dxa"/>
            <w:vAlign w:val="bottom"/>
          </w:tcPr>
          <w:p>
            <w:pPr>
              <w:spacing w:after="0"/>
              <w:rPr>
                <w:sz w:val="3"/>
                <w:szCs w:val="3"/>
                <w:color w:val="auto"/>
              </w:rPr>
            </w:pPr>
          </w:p>
        </w:tc>
        <w:tc>
          <w:tcPr>
            <w:tcW w:w="1100" w:type="dxa"/>
            <w:vAlign w:val="bottom"/>
            <w:gridSpan w:val="3"/>
            <w:vMerge w:val="continue"/>
          </w:tcPr>
          <w:p>
            <w:pPr>
              <w:spacing w:after="0"/>
              <w:rPr>
                <w:sz w:val="3"/>
                <w:szCs w:val="3"/>
                <w:color w:val="auto"/>
              </w:rPr>
            </w:pPr>
          </w:p>
        </w:tc>
        <w:tc>
          <w:tcPr>
            <w:tcW w:w="1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020" w:type="dxa"/>
            <w:vAlign w:val="bottom"/>
            <w:gridSpan w:val="2"/>
            <w:vMerge w:val="continue"/>
          </w:tcPr>
          <w:p>
            <w:pPr>
              <w:spacing w:after="0"/>
              <w:rPr>
                <w:sz w:val="3"/>
                <w:szCs w:val="3"/>
                <w:color w:val="auto"/>
              </w:rPr>
            </w:pPr>
          </w:p>
        </w:tc>
        <w:tc>
          <w:tcPr>
            <w:tcW w:w="88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61"/>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9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Shares</w:t>
            </w: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90"/>
              </w:rPr>
              <w:t>Amount</w:t>
            </w:r>
          </w:p>
        </w:tc>
        <w:tc>
          <w:tcPr>
            <w:tcW w:w="120" w:type="dxa"/>
            <w:vAlign w:val="bottom"/>
          </w:tcPr>
          <w:p>
            <w:pPr>
              <w:spacing w:after="0"/>
              <w:rPr>
                <w:sz w:val="14"/>
                <w:szCs w:val="14"/>
                <w:color w:val="auto"/>
              </w:rPr>
            </w:pPr>
          </w:p>
        </w:tc>
        <w:tc>
          <w:tcPr>
            <w:tcW w:w="106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Capital</w:t>
            </w: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5"/>
              </w:rPr>
              <w:t>Income</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90"/>
              </w:rPr>
              <w:t>Earnings</w:t>
            </w:r>
          </w:p>
        </w:tc>
        <w:tc>
          <w:tcPr>
            <w:tcW w:w="98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Balance at January 29, 2011</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659,372</w:t>
            </w:r>
          </w:p>
        </w:tc>
        <w:tc>
          <w:tcPr>
            <w:tcW w:w="320" w:type="dxa"/>
            <w:vAlign w:val="bottom"/>
            <w:tcBorders>
              <w:top w:val="single" w:sz="8" w:color="CCEEFF"/>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$1,319</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$ 4,805,586</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9"/>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1,092</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3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$ 5,521,869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tcPr>
          <w:p>
            <w:pPr>
              <w:jc w:val="right"/>
              <w:spacing w:after="0"/>
              <w:rPr>
                <w:sz w:val="20"/>
                <w:szCs w:val="20"/>
                <w:color w:val="auto"/>
              </w:rPr>
            </w:pPr>
            <w:r>
              <w:rPr>
                <w:rFonts w:ascii="Arial" w:cs="Arial" w:eastAsia="Arial" w:hAnsi="Arial"/>
                <w:sz w:val="18"/>
                <w:szCs w:val="18"/>
                <w:color w:val="auto"/>
              </w:rPr>
              <w:t>7,210</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14</w:t>
            </w:r>
          </w:p>
        </w:tc>
        <w:tc>
          <w:tcPr>
            <w:tcW w:w="200" w:type="dxa"/>
            <w:vAlign w:val="bottom"/>
          </w:tcPr>
          <w:p>
            <w:pPr>
              <w:spacing w:after="0"/>
              <w:rPr>
                <w:sz w:val="18"/>
                <w:szCs w:val="18"/>
                <w:color w:val="auto"/>
              </w:rPr>
            </w:pP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36,989</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37,003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4,875</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60,844</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60,854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120,390</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120,390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Tax benefit from employee stock transactions</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3</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Repurchase of common stock</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(87,786)</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(176)</w:t>
            </w:r>
          </w:p>
        </w:tc>
        <w:tc>
          <w:tcPr>
            <w:tcW w:w="1180" w:type="dxa"/>
            <w:vAlign w:val="bottom"/>
            <w:gridSpan w:val="3"/>
          </w:tcPr>
          <w:p>
            <w:pPr>
              <w:jc w:val="right"/>
              <w:ind w:right="120"/>
              <w:spacing w:after="0"/>
              <w:rPr>
                <w:sz w:val="20"/>
                <w:szCs w:val="20"/>
                <w:color w:val="auto"/>
              </w:rPr>
            </w:pPr>
            <w:r>
              <w:rPr>
                <w:rFonts w:ascii="Arial" w:cs="Arial" w:eastAsia="Arial" w:hAnsi="Arial"/>
                <w:sz w:val="18"/>
                <w:szCs w:val="18"/>
                <w:color w:val="auto"/>
              </w:rPr>
              <w:t>(1,340,700)</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w w:val="99"/>
              </w:rPr>
              <w:t>(1,340,876)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615,091</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615,091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ind w:right="16"/>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(316)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(316)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1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January 28, 2012</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583,671</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3,683,112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776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5,014,018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tcPr>
          <w:p>
            <w:pPr>
              <w:jc w:val="right"/>
              <w:spacing w:after="0"/>
              <w:rPr>
                <w:sz w:val="20"/>
                <w:szCs w:val="20"/>
                <w:color w:val="auto"/>
              </w:rPr>
            </w:pPr>
            <w:r>
              <w:rPr>
                <w:rFonts w:ascii="Arial" w:cs="Arial" w:eastAsia="Arial" w:hAnsi="Arial"/>
                <w:sz w:val="18"/>
                <w:szCs w:val="18"/>
                <w:color w:val="auto"/>
              </w:rPr>
              <w:t>8,090</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17</w:t>
            </w:r>
          </w:p>
        </w:tc>
        <w:tc>
          <w:tcPr>
            <w:tcW w:w="200" w:type="dxa"/>
            <w:vAlign w:val="bottom"/>
          </w:tcPr>
          <w:p>
            <w:pPr>
              <w:spacing w:after="0"/>
              <w:rPr>
                <w:sz w:val="18"/>
                <w:szCs w:val="18"/>
                <w:color w:val="auto"/>
              </w:rPr>
            </w:pP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28,394</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28,411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7,578</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66,411</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66,426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126,683</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126,683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Tax deficiency from employee stock transactions</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(52)</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Repurchase of common stock</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(91,001)</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(182)</w:t>
            </w:r>
          </w:p>
        </w:tc>
        <w:tc>
          <w:tcPr>
            <w:tcW w:w="1180" w:type="dxa"/>
            <w:vAlign w:val="bottom"/>
            <w:gridSpan w:val="3"/>
          </w:tcPr>
          <w:p>
            <w:pPr>
              <w:jc w:val="right"/>
              <w:ind w:right="120"/>
              <w:spacing w:after="0"/>
              <w:rPr>
                <w:sz w:val="20"/>
                <w:szCs w:val="20"/>
                <w:color w:val="auto"/>
              </w:rPr>
            </w:pPr>
            <w:r>
              <w:rPr>
                <w:rFonts w:ascii="Arial" w:cs="Arial" w:eastAsia="Arial" w:hAnsi="Arial"/>
                <w:sz w:val="18"/>
                <w:szCs w:val="18"/>
                <w:color w:val="auto"/>
              </w:rPr>
              <w:t>(958,905)</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(959,087)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w w:val="98"/>
              </w:rPr>
              <w:t>Cash dividends declared and paid (cumulatively $0.18 per share)</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(98,761)</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(98,761)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Net income</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306,585</w:t>
            </w:r>
          </w:p>
        </w:tc>
        <w:tc>
          <w:tcPr>
            <w:tcW w:w="32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306,585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Other comprehensive income</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372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372</w:t>
            </w:r>
          </w:p>
        </w:tc>
        <w:tc>
          <w:tcPr>
            <w:tcW w:w="0" w:type="dxa"/>
            <w:vAlign w:val="bottom"/>
          </w:tcPr>
          <w:p>
            <w:pPr>
              <w:spacing w:after="0"/>
              <w:rPr>
                <w:sz w:val="1"/>
                <w:szCs w:val="1"/>
                <w:color w:val="auto"/>
              </w:rPr>
            </w:pPr>
          </w:p>
        </w:tc>
      </w:tr>
      <w:tr>
        <w:trPr>
          <w:trHeight w:val="20"/>
        </w:trPr>
        <w:tc>
          <w:tcPr>
            <w:tcW w:w="51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Balance at February 2, 2013</w:t>
            </w:r>
          </w:p>
        </w:tc>
        <w:tc>
          <w:tcPr>
            <w:tcW w:w="6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120" w:type="dxa"/>
            <w:vAlign w:val="bottom"/>
            <w:gridSpan w:val="2"/>
            <w:vMerge w:val="continue"/>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508,338</w:t>
            </w:r>
          </w:p>
        </w:tc>
        <w:tc>
          <w:tcPr>
            <w:tcW w:w="3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1,017</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2,945,643</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gridSpan w:val="2"/>
          </w:tcPr>
          <w:p>
            <w:pPr>
              <w:jc w:val="right"/>
              <w:ind w:right="200"/>
              <w:spacing w:after="0"/>
              <w:rPr>
                <w:sz w:val="20"/>
                <w:szCs w:val="20"/>
                <w:color w:val="auto"/>
              </w:rPr>
            </w:pPr>
            <w:r>
              <w:rPr>
                <w:rFonts w:ascii="Arial" w:cs="Arial" w:eastAsia="Arial" w:hAnsi="Arial"/>
                <w:sz w:val="18"/>
                <w:szCs w:val="18"/>
                <w:color w:val="auto"/>
              </w:rPr>
              <w:t>1,148</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1,536,787</w:t>
            </w:r>
          </w:p>
        </w:tc>
        <w:tc>
          <w:tcPr>
            <w:tcW w:w="320" w:type="dxa"/>
            <w:vAlign w:val="bottom"/>
          </w:tcPr>
          <w:p>
            <w:pPr>
              <w:spacing w:after="0"/>
              <w:rPr>
                <w:sz w:val="19"/>
                <w:szCs w:val="19"/>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4,484,595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17,479</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122,392</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122,427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w w:val="93"/>
              </w:rPr>
              <w:t>Issuance of common stock under the employee stock purchase plan</w:t>
            </w:r>
          </w:p>
        </w:tc>
        <w:tc>
          <w:tcPr>
            <w:tcW w:w="640" w:type="dxa"/>
            <w:vAlign w:val="bottom"/>
          </w:tcPr>
          <w:p>
            <w:pPr>
              <w:jc w:val="right"/>
              <w:spacing w:after="0"/>
              <w:rPr>
                <w:sz w:val="20"/>
                <w:szCs w:val="20"/>
                <w:color w:val="auto"/>
              </w:rPr>
            </w:pPr>
            <w:r>
              <w:rPr>
                <w:rFonts w:ascii="Arial" w:cs="Arial" w:eastAsia="Arial" w:hAnsi="Arial"/>
                <w:sz w:val="18"/>
                <w:szCs w:val="18"/>
                <w:color w:val="auto"/>
              </w:rPr>
              <w:t>9,701</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19</w:t>
            </w:r>
          </w:p>
        </w:tc>
        <w:tc>
          <w:tcPr>
            <w:tcW w:w="200" w:type="dxa"/>
            <w:vAlign w:val="bottom"/>
          </w:tcPr>
          <w:p>
            <w:pPr>
              <w:spacing w:after="0"/>
              <w:rPr>
                <w:sz w:val="18"/>
                <w:szCs w:val="18"/>
                <w:color w:val="auto"/>
              </w:rPr>
            </w:pPr>
          </w:p>
        </w:tc>
        <w:tc>
          <w:tcPr>
            <w:tcW w:w="1180" w:type="dxa"/>
            <w:vAlign w:val="bottom"/>
            <w:gridSpan w:val="3"/>
          </w:tcPr>
          <w:p>
            <w:pPr>
              <w:jc w:val="right"/>
              <w:ind w:right="180"/>
              <w:spacing w:after="0"/>
              <w:rPr>
                <w:sz w:val="20"/>
                <w:szCs w:val="20"/>
                <w:color w:val="auto"/>
              </w:rPr>
            </w:pPr>
            <w:r>
              <w:rPr>
                <w:rFonts w:ascii="Arial" w:cs="Arial" w:eastAsia="Arial" w:hAnsi="Arial"/>
                <w:sz w:val="18"/>
                <w:szCs w:val="18"/>
                <w:color w:val="auto"/>
              </w:rPr>
              <w:t>71,644</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71,663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Share-based compensation</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156,126</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156,126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Tax deficiency from employee stock transactions</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180" w:type="dxa"/>
            <w:vAlign w:val="bottom"/>
            <w:gridSpan w:val="3"/>
          </w:tcPr>
          <w:p>
            <w:pPr>
              <w:jc w:val="right"/>
              <w:ind w:right="120"/>
              <w:spacing w:after="0"/>
              <w:rPr>
                <w:sz w:val="20"/>
                <w:szCs w:val="20"/>
                <w:color w:val="auto"/>
              </w:rPr>
            </w:pPr>
            <w:r>
              <w:rPr>
                <w:rFonts w:ascii="Arial" w:cs="Arial" w:eastAsia="Arial" w:hAnsi="Arial"/>
                <w:sz w:val="18"/>
                <w:szCs w:val="18"/>
                <w:color w:val="auto"/>
              </w:rPr>
              <w:t>(88)</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(33,113)</w:t>
            </w:r>
          </w:p>
        </w:tc>
        <w:tc>
          <w:tcPr>
            <w:tcW w:w="7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(66)</w:t>
            </w:r>
          </w:p>
        </w:tc>
        <w:tc>
          <w:tcPr>
            <w:tcW w:w="11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(354,067)</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(354,133)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w w:val="98"/>
              </w:rPr>
              <w:t>Cash dividends declared and paid (cumulatively $0.24 per share)</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w w:val="95"/>
              </w:rPr>
              <w:t>(119,449)</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(119,449)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315,320</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315,320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Arial" w:cs="Arial" w:eastAsia="Arial" w:hAnsi="Arial"/>
                <w:sz w:val="18"/>
                <w:szCs w:val="18"/>
                <w:color w:val="auto"/>
              </w:rPr>
              <w:t>Other comprehensive loss</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jc w:val="right"/>
              <w:ind w:right="16"/>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(551)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(551)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1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Balance at February 1, 2014</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502,405</w:t>
            </w:r>
          </w:p>
        </w:tc>
        <w:tc>
          <w:tcPr>
            <w:tcW w:w="3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1,005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$ 2,941,650</w:t>
            </w:r>
          </w:p>
        </w:tc>
        <w:tc>
          <w:tcPr>
            <w:tcW w:w="18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ind w:right="9"/>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597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1,732,658</w:t>
            </w:r>
          </w:p>
        </w:tc>
        <w:tc>
          <w:tcPr>
            <w:tcW w:w="3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0"/>
              </w:rPr>
              <w:t>$ 4,675,910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366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8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2"/>
          </w:tcPr>
          <w:p>
            <w:pPr>
              <w:jc w:val="right"/>
              <w:ind w:right="540"/>
              <w:spacing w:after="0"/>
              <w:rPr>
                <w:sz w:val="20"/>
                <w:szCs w:val="20"/>
                <w:color w:val="auto"/>
              </w:rPr>
            </w:pPr>
            <w:r>
              <w:rPr>
                <w:rFonts w:ascii="Arial" w:cs="Arial" w:eastAsia="Arial" w:hAnsi="Arial"/>
                <w:sz w:val="14"/>
                <w:szCs w:val="14"/>
                <w:b w:val="1"/>
                <w:bCs w:val="1"/>
                <w:color w:val="auto"/>
                <w:w w:val="93"/>
              </w:rPr>
              <w:t>Year Ended</w:t>
            </w: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800" w:type="dxa"/>
            <w:vAlign w:val="bottom"/>
          </w:tcPr>
          <w:p>
            <w:pPr>
              <w:spacing w:after="0"/>
              <w:rPr>
                <w:sz w:val="11"/>
                <w:szCs w:val="11"/>
                <w:color w:val="auto"/>
              </w:rPr>
            </w:pPr>
          </w:p>
        </w:tc>
        <w:tc>
          <w:tcPr>
            <w:tcW w:w="1020" w:type="dxa"/>
            <w:vAlign w:val="bottom"/>
            <w:gridSpan w:val="3"/>
          </w:tcPr>
          <w:p>
            <w:pPr>
              <w:jc w:val="right"/>
              <w:ind w:right="300"/>
              <w:spacing w:after="0" w:line="129" w:lineRule="exact"/>
              <w:rPr>
                <w:sz w:val="20"/>
                <w:szCs w:val="20"/>
                <w:color w:val="auto"/>
              </w:rPr>
            </w:pPr>
            <w:r>
              <w:rPr>
                <w:rFonts w:ascii="Arial" w:cs="Arial" w:eastAsia="Arial" w:hAnsi="Arial"/>
                <w:sz w:val="14"/>
                <w:szCs w:val="14"/>
                <w:b w:val="1"/>
                <w:bCs w:val="1"/>
                <w:color w:val="auto"/>
                <w:w w:val="92"/>
              </w:rPr>
              <w:t>February 1,</w:t>
            </w:r>
          </w:p>
        </w:tc>
        <w:tc>
          <w:tcPr>
            <w:tcW w:w="2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gridSpan w:val="2"/>
          </w:tcPr>
          <w:p>
            <w:pPr>
              <w:jc w:val="right"/>
              <w:ind w:right="600"/>
              <w:spacing w:after="0" w:line="129" w:lineRule="exact"/>
              <w:rPr>
                <w:sz w:val="20"/>
                <w:szCs w:val="20"/>
                <w:color w:val="auto"/>
              </w:rPr>
            </w:pPr>
            <w:r>
              <w:rPr>
                <w:rFonts w:ascii="Arial" w:cs="Arial" w:eastAsia="Arial" w:hAnsi="Arial"/>
                <w:sz w:val="14"/>
                <w:szCs w:val="14"/>
                <w:b w:val="1"/>
                <w:bCs w:val="1"/>
                <w:color w:val="auto"/>
                <w:w w:val="87"/>
              </w:rPr>
              <w:t>February 2,</w:t>
            </w:r>
          </w:p>
        </w:tc>
        <w:tc>
          <w:tcPr>
            <w:tcW w:w="100" w:type="dxa"/>
            <w:vAlign w:val="bottom"/>
          </w:tcPr>
          <w:p>
            <w:pPr>
              <w:spacing w:after="0"/>
              <w:rPr>
                <w:sz w:val="11"/>
                <w:szCs w:val="11"/>
                <w:color w:val="auto"/>
              </w:rPr>
            </w:pPr>
          </w:p>
        </w:tc>
        <w:tc>
          <w:tcPr>
            <w:tcW w:w="780" w:type="dxa"/>
            <w:vAlign w:val="bottom"/>
          </w:tcPr>
          <w:p>
            <w:pPr>
              <w:jc w:val="right"/>
              <w:ind w:right="13"/>
              <w:spacing w:after="0" w:line="129" w:lineRule="exact"/>
              <w:rPr>
                <w:sz w:val="20"/>
                <w:szCs w:val="20"/>
                <w:color w:val="auto"/>
              </w:rPr>
            </w:pPr>
            <w:r>
              <w:rPr>
                <w:rFonts w:ascii="Arial" w:cs="Arial" w:eastAsia="Arial" w:hAnsi="Arial"/>
                <w:sz w:val="14"/>
                <w:szCs w:val="14"/>
                <w:b w:val="1"/>
                <w:bCs w:val="1"/>
                <w:color w:val="auto"/>
                <w:w w:val="85"/>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8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2014</w:t>
            </w:r>
          </w:p>
        </w:tc>
        <w:tc>
          <w:tcPr>
            <w:tcW w:w="28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2013</w:t>
            </w:r>
          </w:p>
        </w:tc>
        <w:tc>
          <w:tcPr>
            <w:tcW w:w="5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8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420"/>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315,320</w:t>
            </w:r>
          </w:p>
        </w:tc>
        <w:tc>
          <w:tcPr>
            <w:tcW w:w="280" w:type="dxa"/>
            <w:vAlign w:val="bottom"/>
          </w:tcPr>
          <w:p>
            <w:pPr>
              <w:spacing w:after="0"/>
              <w:rPr>
                <w:sz w:val="18"/>
                <w:szCs w:val="18"/>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rPr>
              <w:t>306,585</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615,091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102,752</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rPr>
              <w:t>91,028</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88,454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155,873</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127,280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119,863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86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44,006</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rPr>
              <w:t>52,700</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49,357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Gain on sale of business</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(6,975)</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860"/>
              <w:spacing w:after="0"/>
              <w:rPr>
                <w:sz w:val="20"/>
                <w:szCs w:val="20"/>
                <w:color w:val="auto"/>
              </w:rPr>
            </w:pPr>
            <w:r>
              <w:rPr>
                <w:rFonts w:ascii="Arial" w:cs="Arial" w:eastAsia="Arial" w:hAnsi="Arial"/>
                <w:sz w:val="18"/>
                <w:szCs w:val="18"/>
                <w:color w:val="auto"/>
              </w:rPr>
              <w:t>Other expense, net</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8,178</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rPr>
              <w:t>7,392</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15,190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(20)</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860"/>
              <w:spacing w:after="0"/>
              <w:rPr>
                <w:sz w:val="20"/>
                <w:szCs w:val="20"/>
                <w:color w:val="auto"/>
              </w:rPr>
            </w:pPr>
            <w:r>
              <w:rPr>
                <w:rFonts w:ascii="Arial" w:cs="Arial" w:eastAsia="Arial" w:hAnsi="Arial"/>
                <w:sz w:val="18"/>
                <w:szCs w:val="18"/>
                <w:color w:val="auto"/>
              </w:rPr>
              <w:t>Deferred income tax</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3,919</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rPr>
              <w:t>7,026</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(3,245)</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8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Changes in assets and liabilities, net of assets acquired and liabilities assumed in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8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acquisitions:</w:t>
            </w:r>
          </w:p>
        </w:tc>
        <w:tc>
          <w:tcPr>
            <w:tcW w:w="10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8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128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w w:val="88"/>
              </w:rPr>
              <w:t>(123,258)</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rPr>
              <w:t>77,025</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54,550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(97,188)</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103,102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(101,109)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128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19,458</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440"/>
              <w:spacing w:after="0"/>
              <w:rPr>
                <w:sz w:val="20"/>
                <w:szCs w:val="20"/>
                <w:color w:val="auto"/>
              </w:rPr>
            </w:pPr>
            <w:r>
              <w:rPr>
                <w:rFonts w:ascii="Arial" w:cs="Arial" w:eastAsia="Arial" w:hAnsi="Arial"/>
                <w:sz w:val="18"/>
                <w:szCs w:val="18"/>
                <w:color w:val="auto"/>
              </w:rPr>
              <w:t>(6,894)</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30,736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39,791</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(24,304)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(47,095)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128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(9,627)</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rPr>
              <w:t>8,014</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(21,614)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(5,787)</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(20,050)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(12,565)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800" w:type="dxa"/>
            <w:vAlign w:val="bottom"/>
          </w:tcPr>
          <w:p>
            <w:pPr>
              <w:ind w:left="128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1,597</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191</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(16,202)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448,039</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729,037</w:t>
            </w:r>
          </w:p>
        </w:tc>
        <w:tc>
          <w:tcPr>
            <w:tcW w:w="50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771,247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82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(837,892)</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9"/>
              </w:rPr>
              <w:t>(1,543,902)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(1,851,696)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42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995,039</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w w:val="94"/>
              </w:rPr>
              <w:t>1,835,655</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1,462,164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(1,869)</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(8,750)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(2,551)</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440"/>
              <w:spacing w:after="0"/>
              <w:rPr>
                <w:sz w:val="20"/>
                <w:szCs w:val="20"/>
                <w:color w:val="auto"/>
              </w:rPr>
            </w:pPr>
            <w:r>
              <w:rPr>
                <w:rFonts w:ascii="Arial" w:cs="Arial" w:eastAsia="Arial" w:hAnsi="Arial"/>
                <w:sz w:val="18"/>
                <w:szCs w:val="18"/>
                <w:color w:val="auto"/>
              </w:rPr>
              <w:t>(1,000)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(93,916)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sale of business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6,306</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(17,647)</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440"/>
              <w:spacing w:after="0"/>
              <w:rPr>
                <w:sz w:val="20"/>
                <w:szCs w:val="20"/>
                <w:color w:val="auto"/>
              </w:rPr>
            </w:pPr>
            <w:r>
              <w:rPr>
                <w:rFonts w:ascii="Arial" w:cs="Arial" w:eastAsia="Arial" w:hAnsi="Arial"/>
                <w:sz w:val="18"/>
                <w:szCs w:val="18"/>
                <w:color w:val="auto"/>
              </w:rPr>
              <w:t>(35,002)</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(13,823)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(66,593)</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(68,186)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(88,779)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00" w:type="dxa"/>
            <w:vAlign w:val="bottom"/>
            <w:vMerge w:val="restart"/>
          </w:tcPr>
          <w:p>
            <w:pPr>
              <w:ind w:left="1720"/>
              <w:spacing w:after="0"/>
              <w:rPr>
                <w:sz w:val="20"/>
                <w:szCs w:val="20"/>
                <w:color w:val="auto"/>
              </w:rPr>
            </w:pPr>
            <w:r>
              <w:rPr>
                <w:rFonts w:ascii="Arial" w:cs="Arial" w:eastAsia="Arial" w:hAnsi="Arial"/>
                <w:sz w:val="18"/>
                <w:szCs w:val="18"/>
                <w:color w:val="auto"/>
              </w:rPr>
              <w:t>Net cash provided by (used in) investing activities</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7800" w:type="dxa"/>
            <w:vAlign w:val="bottom"/>
            <w:vMerge w:val="continue"/>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74,793</w:t>
            </w:r>
          </w:p>
        </w:tc>
        <w:tc>
          <w:tcPr>
            <w:tcW w:w="2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178,815</w:t>
            </w:r>
          </w:p>
        </w:tc>
        <w:tc>
          <w:tcPr>
            <w:tcW w:w="5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(590,053)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420"/>
              <w:spacing w:after="0"/>
              <w:rPr>
                <w:sz w:val="20"/>
                <w:szCs w:val="20"/>
                <w:color w:val="auto"/>
              </w:rPr>
            </w:pPr>
            <w:r>
              <w:rPr>
                <w:rFonts w:ascii="Arial" w:cs="Arial" w:eastAsia="Arial" w:hAnsi="Arial"/>
                <w:sz w:val="18"/>
                <w:szCs w:val="18"/>
                <w:color w:val="auto"/>
              </w:rPr>
              <w:t>Repurchase of common stock</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w w:val="88"/>
              </w:rPr>
              <w:t>(376,285)</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440"/>
              <w:spacing w:after="0"/>
              <w:rPr>
                <w:sz w:val="20"/>
                <w:szCs w:val="20"/>
                <w:color w:val="auto"/>
              </w:rPr>
            </w:pPr>
            <w:r>
              <w:rPr>
                <w:rFonts w:ascii="Arial" w:cs="Arial" w:eastAsia="Arial" w:hAnsi="Arial"/>
                <w:sz w:val="18"/>
                <w:szCs w:val="18"/>
                <w:color w:val="auto"/>
              </w:rPr>
              <w:t>(936,935)</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w w:val="89"/>
              </w:rPr>
              <w:t>(1,340,876)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204,962</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104,936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106,039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(10,872)</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440"/>
              <w:spacing w:after="0"/>
              <w:rPr>
                <w:sz w:val="20"/>
                <w:szCs w:val="20"/>
                <w:color w:val="auto"/>
              </w:rPr>
            </w:pPr>
            <w:r>
              <w:rPr>
                <w:rFonts w:ascii="Arial" w:cs="Arial" w:eastAsia="Arial" w:hAnsi="Arial"/>
                <w:sz w:val="18"/>
                <w:szCs w:val="18"/>
                <w:color w:val="auto"/>
              </w:rPr>
              <w:t>(10,099)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(8,182)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Dividend payments to shareholders</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(119,449)</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(98,761)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420"/>
              <w:spacing w:after="0"/>
              <w:rPr>
                <w:sz w:val="20"/>
                <w:szCs w:val="20"/>
                <w:color w:val="auto"/>
              </w:rPr>
            </w:pPr>
            <w:r>
              <w:rPr>
                <w:rFonts w:ascii="Arial" w:cs="Arial" w:eastAsia="Arial" w:hAnsi="Arial"/>
                <w:sz w:val="18"/>
                <w:szCs w:val="18"/>
                <w:color w:val="auto"/>
              </w:rPr>
              <w:t>Payments on technology license obligations</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(7,411)</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8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800" w:type="dxa"/>
            <w:vAlign w:val="bottom"/>
          </w:tcPr>
          <w:p>
            <w:pPr>
              <w:ind w:left="42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(309,035)</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(940,801)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(1,243,366)</w:t>
            </w:r>
          </w:p>
        </w:tc>
        <w:tc>
          <w:tcPr>
            <w:tcW w:w="0" w:type="dxa"/>
            <w:vAlign w:val="bottom"/>
          </w:tcPr>
          <w:p>
            <w:pPr>
              <w:spacing w:after="0"/>
              <w:rPr>
                <w:sz w:val="1"/>
                <w:szCs w:val="1"/>
                <w:color w:val="auto"/>
              </w:rPr>
            </w:pPr>
          </w:p>
        </w:tc>
      </w:tr>
      <w:tr>
        <w:trPr>
          <w:trHeight w:val="20"/>
        </w:trPr>
        <w:tc>
          <w:tcPr>
            <w:tcW w:w="782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820" w:type="dxa"/>
            <w:vAlign w:val="bottom"/>
            <w:gridSpan w:val="2"/>
            <w:vMerge w:val="continue"/>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213,797</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80" w:type="dxa"/>
            <w:vAlign w:val="bottom"/>
            <w:gridSpan w:val="2"/>
          </w:tcPr>
          <w:p>
            <w:pPr>
              <w:jc w:val="right"/>
              <w:ind w:right="440"/>
              <w:spacing w:after="0"/>
              <w:rPr>
                <w:sz w:val="20"/>
                <w:szCs w:val="20"/>
                <w:color w:val="auto"/>
              </w:rPr>
            </w:pPr>
            <w:r>
              <w:rPr>
                <w:rFonts w:ascii="Arial" w:cs="Arial" w:eastAsia="Arial" w:hAnsi="Arial"/>
                <w:sz w:val="18"/>
                <w:szCs w:val="18"/>
                <w:color w:val="auto"/>
              </w:rPr>
              <w:t>(32,949)</w:t>
            </w: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w w:val="89"/>
              </w:rPr>
              <w:t>(1,062,172)</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8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the year</w:t>
            </w: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751,953</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5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1,847,074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8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the year</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965,750</w:t>
            </w:r>
          </w:p>
        </w:tc>
        <w:tc>
          <w:tcPr>
            <w:tcW w:w="280" w:type="dxa"/>
            <w:vAlign w:val="bottom"/>
          </w:tcPr>
          <w:p>
            <w:pPr>
              <w:spacing w:after="0"/>
              <w:rPr>
                <w:sz w:val="19"/>
                <w:szCs w:val="19"/>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rPr>
              <w:t>751,953</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784,902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800" w:type="dxa"/>
            <w:vAlign w:val="bottom"/>
            <w:shd w:val="clear" w:color="auto" w:fill="CCEEFF"/>
          </w:tcPr>
          <w:p>
            <w:pPr>
              <w:ind w:left="420"/>
              <w:spacing w:after="0"/>
              <w:rPr>
                <w:sz w:val="20"/>
                <w:szCs w:val="20"/>
                <w:color w:val="auto"/>
              </w:rPr>
            </w:pPr>
            <w:r>
              <w:rPr>
                <w:rFonts w:ascii="Arial" w:cs="Arial" w:eastAsia="Arial" w:hAnsi="Arial"/>
                <w:sz w:val="18"/>
                <w:szCs w:val="18"/>
                <w:b w:val="1"/>
                <w:bCs w:val="1"/>
                <w:color w:val="auto"/>
              </w:rPr>
              <w:t>Supplemental cash flow information: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00" w:type="dxa"/>
            <w:vAlign w:val="bottom"/>
          </w:tcPr>
          <w:p>
            <w:pPr>
              <w:ind w:left="860"/>
              <w:spacing w:after="0"/>
              <w:rPr>
                <w:sz w:val="20"/>
                <w:szCs w:val="20"/>
                <w:color w:val="auto"/>
              </w:rPr>
            </w:pPr>
            <w:r>
              <w:rPr>
                <w:rFonts w:ascii="Arial" w:cs="Arial" w:eastAsia="Arial" w:hAnsi="Arial"/>
                <w:sz w:val="18"/>
                <w:szCs w:val="18"/>
                <w:color w:val="auto"/>
              </w:rPr>
              <w:t>Cash paid for interest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1,873</w:t>
            </w:r>
          </w:p>
        </w:tc>
        <w:tc>
          <w:tcPr>
            <w:tcW w:w="280" w:type="dxa"/>
            <w:vAlign w:val="bottom"/>
          </w:tcPr>
          <w:p>
            <w:pPr>
              <w:spacing w:after="0"/>
              <w:rPr>
                <w:sz w:val="18"/>
                <w:szCs w:val="18"/>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500"/>
              <w:spacing w:after="0"/>
              <w:rPr>
                <w:sz w:val="20"/>
                <w:szCs w:val="20"/>
                <w:color w:val="auto"/>
              </w:rPr>
            </w:pPr>
            <w:r>
              <w:rPr>
                <w:rFonts w:ascii="Arial" w:cs="Arial" w:eastAsia="Arial" w:hAnsi="Arial"/>
                <w:sz w:val="18"/>
                <w:szCs w:val="18"/>
                <w:color w:val="auto"/>
              </w:rPr>
              <w:t>563</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8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Cash paid for income taxes, net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9,385</w:t>
            </w:r>
          </w:p>
        </w:tc>
        <w:tc>
          <w:tcPr>
            <w:tcW w:w="2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16,813</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14,096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00" w:type="dxa"/>
            <w:vAlign w:val="bottom"/>
            <w:vMerge w:val="restart"/>
          </w:tcPr>
          <w:p>
            <w:pPr>
              <w:ind w:left="420"/>
              <w:spacing w:after="0"/>
              <w:rPr>
                <w:sz w:val="20"/>
                <w:szCs w:val="20"/>
                <w:color w:val="auto"/>
              </w:rPr>
            </w:pPr>
            <w:r>
              <w:rPr>
                <w:rFonts w:ascii="Arial" w:cs="Arial" w:eastAsia="Arial" w:hAnsi="Arial"/>
                <w:sz w:val="18"/>
                <w:szCs w:val="18"/>
                <w:b w:val="1"/>
                <w:bCs w:val="1"/>
                <w:color w:val="auto"/>
              </w:rPr>
              <w:t>Non-Cash Investing and Financing Activities: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80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8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Purchase of intellectual property under license obligations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8,900</w:t>
            </w:r>
          </w:p>
        </w:tc>
        <w:tc>
          <w:tcPr>
            <w:tcW w:w="28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42,692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application-specific standard products. The Company’s core strength of expertise is the development of complex System-on-a-Chip devices leveraging its extensive technology portfolio of intellectual property in the areas of analog, mixed-signal, digital signal processing, and embedded and stand alone integrated circuits. The majority of the Company’s product portfolio leverages the ARM technology portfolio. The Company also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connectivity and other consumer electronics.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2014 and fiscal 2012 each had a 52-week period, and fiscal 2013 had a 53-week period.</w:t>
      </w:r>
    </w:p>
    <w:p>
      <w:pPr>
        <w:spacing w:after="0" w:line="14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Certain amounts in the consolidated financial statements and notes to consolidated financial statements for prior years have been reclassified to conform to the fiscal 2014 presentation. Net operating results have not been affected by these reclassifications.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time deposits, U.S. government and agency debt, municipal debt securities, corporate debt securities and money market funds.</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00"/>
          </w:cols>
          <w:pgMar w:left="240" w:top="459" w:right="25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Investments</w:t>
      </w:r>
    </w:p>
    <w:p>
      <w:pPr>
        <w:spacing w:after="0" w:line="9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The Company’s marketable investments are classified as available-for-sale and are reported at fair value. The Company determines any realized gains or losses on the sale of available-for-sale securities on a specific identification method, and such gains and losses are recorded as a component of interest and other income, net. Unrealized gains and losses of the available-for-sale securities are excluded from earnings and reported as a component of accumulated other comprehensive income. The Company assesses whether an other-than-temporary impairment loss on its available-for-sale securities has occurred due to declines in fair value or other market conditions. Declines in fair value that are considered other-than-temporary are recorded as an impairment of investments in interest and other income, net in the consolidated statements of operations.</w:t>
      </w:r>
    </w:p>
    <w:p>
      <w:pPr>
        <w:spacing w:after="0" w:line="12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If the Company has the ability to exercise significant influence over the investee, but not control, or if the investee is a partnership type investment, the Company accounts for the investments under the equity method. If the Company does not have the ability to exercise significant influence over the operations of the investee, the Company accounts for the investment under the cost method. Investments in privately-held companies are included in other non-current assets.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90"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If a debt security’s market value is below amortized cost and the Company either intends to sell the security or it is more likely than not that the Company will be required to sell the security before its anticipated recovery, the Company records an other-than-temporary impairment charge to interest and other income, net in the consolidated statements of operations.</w:t>
      </w:r>
    </w:p>
    <w:p>
      <w:pPr>
        <w:spacing w:after="0" w:line="14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Investments in privately-held companies are subject to a periodic impairment review. Investments are considered impaired when the fair value is below the investment’s cost basis and the decline in value is judged to be other-than-temporary. This assessment is based on a qualitative and quantitative analysis, including, but not limited to, the investee’s revenue and earnings trends, available cash and liquidity, and the status of the investee’s products and the related market for such products. During fiscal 2014, the Company recorded a charge of $1.5 million to write down equity investments that were considered to be impaired.</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For derivative instruments that hedge the exposure to variability in expected future cash flows and are designated as cash flow hedges, the effective portion of the gain or loss on the derivative instrument is reported as a component of accumulated other comprehensive income in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 Derivatives that are not designated as hedges must be adjusted to fair value through earnings.</w:t>
      </w:r>
    </w:p>
    <w:p>
      <w:pPr>
        <w:spacing w:after="0" w:line="10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380"/>
          </w:cols>
          <w:pgMar w:left="240" w:top="459" w:right="27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90"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Financial instruments that potentially subject the Company to a significant concentration of credit risk consist principally of cash equivalents, short-term investments and accounts receivable. Cash, cash equivalents and short-term investments balances are maintained with high quality financial institutions, the composition and maturities of which are regularly monitored by management. The Company believes that the concentration of credit risk in its trade receivables, which consists of a customer base located primarily in the Asia Pacific Region, is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118"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The allowance for doubtful accounts at February 1, 2014 and February 2, 2013 was $1.3 million and $1.0 million, respectively. Please see “Note 1 – The Company and its Significant Accounting Policies – Revenue Recognition” for additional information on sales returns and allowances.</w:t>
      </w:r>
    </w:p>
    <w:p>
      <w:pPr>
        <w:spacing w:after="0" w:line="85"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Historically, a relatively small number of customers have accounted for a significant portion of the Company’s net revenue. The Company had two end customers who each represented greater than 10% of its total net revenue in fiscal 2014. Combined revenue from these two customers was 36% of total net revenue in fiscal 2014. The Company had three end customers who represented greater than 10% of its total net revenue in fiscal 2013. Combined revenue from these three customers was 44% of total net revenue in fiscal 2013. The Company had one end customer who represented greater than 10% of its total net revenue in fiscal 2012. Revenue from this customer was 19% of total net revenue in fiscal 2012.</w:t>
      </w:r>
    </w:p>
    <w:p>
      <w:pPr>
        <w:spacing w:after="0" w:line="1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Company’s accounts receivable was concentrated with one customer at February 1, 2014, representing 13% of gross accounts receivable, and with two customers at February 2, 2013, representing 19% and 15% of gross accounts receivable, respectively.</w:t>
      </w:r>
    </w:p>
    <w:p>
      <w:pPr>
        <w:spacing w:after="0" w:line="132"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No distributors accounted for more than 10% of the Company’s net revenue in fiscal 2014. In each of fiscal 2013 and 2012, one distributor accounted for more than 10% of the Company’s net revenue. The Company continuously monitors the creditworthiness of its distributors and believes these distributors’ sales to diverse end customers and to diverse geographies further serve to mitigate the Company’s exposure to credit risk.</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Inventories</w:t>
      </w:r>
    </w:p>
    <w:p>
      <w:pPr>
        <w:spacing w:after="0" w:line="90"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The total carrying value of the Company’s inventory is reduced for any difference between cost and estimated market value of inventory that is determined to be excess, obsolete or unsellable inventory based upon assumptions about future demand and market conditions. If actual future demand for the Company’s products is less than currently forecasted, the Company may be required to write inventory down below the current carrying value. Once the carrying value of inventory is reduced, it is maintained until the product to which it relates to is sold or otherwise disposed of. Shipping and handling costs are classified as a component of cost of goods sold in the consolidated statements of operations.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9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Property and equipment, net, are stated at cost less accumulated depreciation. Depreciation is computed using the straight-line method over the estimated useful lives of the assets, which ranges from three to seven</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380"/>
          </w:cols>
          <w:pgMar w:left="240" w:top="459" w:right="27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years for machinery and equipment, computer software, and furniture and fixtures. Buildings are depreciated over an estimated useful life of 30 years and building improvements are depreciated over estimated useful lives of 15 years. Leasehold improvements are depreciated using the shorter of the remaining lease term or the estimated useful life of the asset.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Goodwill is recorded when the consideration paid for a business acquisition exceeds the fair value of net tangible and intangible assets acquired. Goodwill is measured and tested for impairment annually or more frequently if the Company believes indicators of impairment exist. First, the Company assesses qualitative factors to determine whether it is more likely than not that the fair value of a reporting unit is less than its carrying amount. If the company concludes that it is more likely than not that the fair value of a reporting unit is less than its carrying amount, then a two-step quantitative impairment test is performed. The first step requires comparing the fair value of the reporting unit to its net book value, including goodwill. As the Company has only one reporting unit, the fair value of the reporting unit is determined by taking the market capitalization of the Company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 charge for the amount of impairment during the fiscal quarter in which the determination is made. The Company has not been required to perform this second step of the process because the fair value of the reporting unit has sufficiently exceeded its net book value at every measurement date.</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assesses the impairment of long-lived assets and intangible assets whenever events or changes in circumstances indicate that the carrying amount of long-lived assets may not be recoverable. The Company estimates the future cash flows, undiscounted and without interest charges, expected to be generated by the assets from its use or eventual disposition. If the sum of the expected future cash flows is less than the carrying amount of those assets, the Company recognizes an impairment loss based on the excess of the carrying amount over the fair value of the assets. Please see “Note 7 – Goodwill and Acquired Intangible Assets” for further details regarding impairment of acquisition-related identified intangible assets.</w:t>
      </w:r>
    </w:p>
    <w:p>
      <w:pPr>
        <w:spacing w:after="0" w:line="116" w:lineRule="exact"/>
        <w:rPr>
          <w:sz w:val="20"/>
          <w:szCs w:val="20"/>
          <w:color w:val="auto"/>
        </w:rPr>
      </w:pPr>
    </w:p>
    <w:p>
      <w:pPr>
        <w:ind w:right="740" w:firstLine="456"/>
        <w:spacing w:after="0" w:line="268"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In-process research and development (“IPR&amp;D”) is not amortized until the completion of the related development.</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90"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The functional currency of all of the Company’s non-U.S. operations is the U.S. dollar. Monetary accounts maintained in currencies other than the U.S.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right="580" w:firstLine="456"/>
        <w:spacing w:after="0" w:line="268" w:lineRule="auto"/>
        <w:rPr>
          <w:sz w:val="20"/>
          <w:szCs w:val="20"/>
          <w:color w:val="auto"/>
        </w:rPr>
      </w:pPr>
      <w:r>
        <w:rPr>
          <w:rFonts w:ascii="Arial" w:cs="Arial" w:eastAsia="Arial" w:hAnsi="Arial"/>
          <w:sz w:val="18"/>
          <w:szCs w:val="18"/>
          <w:color w:val="auto"/>
        </w:rPr>
        <w:t>The Company recognizes revenue when there is persuasive evidence of an arrangement, delivery has occurred, the fee is fixed or determinable, and collection is reasonably assured.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00"/>
          </w:cols>
          <w:pgMar w:left="240" w:top="459" w:right="25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the Company’s sales are made through distributors under agreements allowing for price protection, shipped from stock pricing adjustment rights, and limited rights of stock rotation on products unsold by the distributors. Although title passes to the distributor upon shipment terms and payment by the Company’s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w:t>
      </w:r>
    </w:p>
    <w:p>
      <w:pPr>
        <w:spacing w:after="0" w:line="118"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A portion of the Company’s net revenue is derived from sales through third-party logistics providers, who maintain warehouses in close proximity to the customer’s facilities. Revenue from sales through these third-party logistics providers is not recognized until the product is pulled from stock by the end customer.</w:t>
      </w:r>
    </w:p>
    <w:p>
      <w:pPr>
        <w:spacing w:after="0" w:line="8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agreed to with the customer.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Advertising costs are expensed as incurred.</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Share-based compensation is measured at the grant date, based on the fair value of the award, and is recognized as expense over the requisite service period. The Company amortizes share-based compensation expense for time-based and market-based awards under the straight-line attribution method over the vesting period, which is generally four years for annual grants to employees and five years for new hire grants. Performance-based awards are amortized using the accelerated method.</w:t>
      </w:r>
    </w:p>
    <w:p>
      <w:pPr>
        <w:spacing w:after="0" w:line="143"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Company estimates the fair value of time-based stock option awards on the date of grant using the Black Scholes option-pricing model. The fair value of market-based stock option awards is estimated on the date of grant using a Monte Carlo simulation model. The value of the portion of the awards that is ultimately expected to vest is recognized as expense over the requisite service periods. The Black Scholes and Monte Carlo models incorporate various highly subjective assumptions including expected term of awards, expected future stock price volatility and expected forfeiture rates.</w:t>
      </w:r>
    </w:p>
    <w:p>
      <w:pPr>
        <w:spacing w:after="0" w:line="113"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developing estimates used to calculate assumptions, the Company establishes the expected term for employee stock options, as well as expected forfeiture rates, based on the historical settlement experience and after giving consideration to vesting schedules. Assumptions for stock option exercises and pre-vesting terminations of stock options were stratified by employee groups with sufficiently distinct behavior patterns. Expected volatility was developed based on equally weighted combination of historical stock price volatility and implied volatility derived from traded options on the Company’s stock in the marketplace. The expected dividend yield is calculated by dividing annualized dividend payments by the closing stock price on the grant date of the option.</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459" w:right="2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Share-based compensation expense is recorded net of estimated forfeitures such that expense is recorded only for those share-based awards that are expected to vest. Previously recognized expense is reversed for the portion of awards forfeited prior to vesting as and when forfeitures occurred.</w:t>
      </w:r>
    </w:p>
    <w:p>
      <w:pPr>
        <w:spacing w:after="0" w:line="107"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w:t>
      </w:r>
    </w:p>
    <w:p>
      <w:pPr>
        <w:spacing w:after="0" w:line="90"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Comprehensive income is comprised of net income and unrealized gains and losses, net of tax, on available-for-sale securities, auction rate securities and cash flow hedges. Accumulated other comprehensive income, as presented on the accompanying balance sheets, consists of net unrealized gains and losses on available-for-sale securities, auction rate securities, and cash flow hedges, net of tax.</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Evaluating the need for an amount of a valuation allowance for deferred tax assets often requires judgment and analysis of all the positive and negative evidence available to determine whether all or some portion of the deferred tax assets will not be realized. A valuation allowance must be established for deferred tax assets when it is more likely than not that they will not be realized. Based on the available evidence and judgment, the Company has determined that it is more likely than not that U.S. research credits and certain acquired net operating losses will not be realized and therefore the Company has provided a full valuation allowance against these credits. If there is a change in the Company’s ability to realize its deferred tax assets, then the Company’s tax provision may decrease in the period in which it determines that realization is more likely than not.</w:t>
      </w:r>
    </w:p>
    <w:p>
      <w:pPr>
        <w:spacing w:after="0" w:line="12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As a multinational corporation, the Company conducts its business in many countries and is subject to taxation in many jurisdictions. The taxation of the Company’s business is subject to the application of various and sometimes conflicting tax laws and regulations as well as multinational tax conventions. The Company’s effective tax rate is highly dependent upon the geographic distribution of its worldwide earnings or losses, the tax regulations and tax holidays in each geographic region, the availability of tax credits and carryforwards, and the effectiveness of its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the Company that could materially impact its tax liability and/or its effective income tax rate.</w:t>
      </w:r>
    </w:p>
    <w:p>
      <w:pPr>
        <w:spacing w:after="0" w:line="118"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Company is subject to income tax audits by the respective tax authorities in all of the jurisdictions in which the Company operates. The Company recognizes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The Company records interest and penalties related to unrecognized tax</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20"/>
          </w:cols>
          <w:pgMar w:left="240" w:top="459" w:right="2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benefits in income tax expense. The calculation of the Company’s tax liabilities involves the inherent uncertainty associated with the application of GAAP and complex tax laws. The Company believes it has adequately provided for in its financial statements additional taxes that it estimates may be required to be paid as a result of such examinations. While the Company believes that it has adequately provided for all tax positions, amounts asserted by tax authorities could be greater or less than the Company’s accrued position. These tax liabilities, including the interest and penalties, are released pursuant to a settlement with tax authorities, completion of audit or expiration of various statutes of limitation. The material jurisdictions in which the Company may be subject to potential examination by tax authorities throughout the world include China, Israel, Singapore, Switzerland and the United States.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The Company’s products carry a standard 90 day warranty, with certain exceptions in which the warranty period can extend to more than one year based on contractual agreements. The warranty accrual is primarily estimated based on historical claims compared to historical revenues and assumes that the Company will have to replace products subject to a claim. From time to time, the Company becomes aware of specific warranty situations, and it records specific accruals to cover these exposures.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Company adopted the new accounting standard regarding the testing of indefinite-lived intangible assets for impairment at the beginning of fiscal 2014. This amended guidance allows an entity first to assess qualitative factors to determine whether it is more likely than not that an indefinite-lived intangible asset is impaired as a basis for determining whether it is necessary to perform the quantitative impairment test in accordance with the guidance on the impairment of intangible assets other than goodwill. The adoption of this guidance had no impact on the Company’s financial statements.</w:t>
      </w:r>
    </w:p>
    <w:p>
      <w:pPr>
        <w:spacing w:after="0" w:line="113" w:lineRule="exact"/>
        <w:rPr>
          <w:sz w:val="20"/>
          <w:szCs w:val="20"/>
          <w:color w:val="auto"/>
        </w:rPr>
      </w:pPr>
    </w:p>
    <w:p>
      <w:pPr>
        <w:jc w:val="both"/>
        <w:ind w:firstLine="456"/>
        <w:spacing w:after="0" w:line="255" w:lineRule="auto"/>
        <w:rPr>
          <w:sz w:val="20"/>
          <w:szCs w:val="20"/>
          <w:color w:val="auto"/>
        </w:rPr>
      </w:pPr>
      <w:r>
        <w:rPr>
          <w:rFonts w:ascii="Arial" w:cs="Arial" w:eastAsia="Arial" w:hAnsi="Arial"/>
          <w:sz w:val="18"/>
          <w:szCs w:val="18"/>
          <w:color w:val="auto"/>
        </w:rPr>
        <w:t>The Company adopted the new accounting standard regarding the reporting of amounts reclassified out of accumulated other comprehensive income. The amendments require an entity to provide information about the amounts reclassified out of accumulated other comprehensive income by component. In addition, an entity is required to present, either in the financial statements or in the notes, significant amounts reclassified out of accumulated other comprehensive income by the respective line items of net income. The Company elected to disclose the information in the Notes to Consolidated Financial Statements beginning in fiscal 2014.</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Acquisitions and Divestitures: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Acquisitions</w:t>
      </w:r>
    </w:p>
    <w:p>
      <w:pPr>
        <w:spacing w:after="0" w:line="90" w:lineRule="exact"/>
        <w:rPr>
          <w:sz w:val="20"/>
          <w:szCs w:val="20"/>
          <w:color w:val="auto"/>
        </w:rPr>
      </w:pPr>
    </w:p>
    <w:p>
      <w:pPr>
        <w:ind w:left="460"/>
        <w:spacing w:after="0"/>
        <w:tabs>
          <w:tab w:leader="none" w:pos="2240" w:val="left"/>
        </w:tabs>
        <w:rPr>
          <w:sz w:val="20"/>
          <w:szCs w:val="20"/>
          <w:color w:val="auto"/>
        </w:rPr>
      </w:pPr>
      <w:r>
        <w:rPr>
          <w:rFonts w:ascii="Arial" w:cs="Arial" w:eastAsia="Arial" w:hAnsi="Arial"/>
          <w:sz w:val="18"/>
          <w:szCs w:val="18"/>
          <w:i w:val="1"/>
          <w:iCs w:val="1"/>
          <w:color w:val="auto"/>
        </w:rPr>
        <w:t>Fiscal 2014 and 2013.</w:t>
      </w:r>
      <w:r>
        <w:rPr>
          <w:sz w:val="20"/>
          <w:szCs w:val="20"/>
          <w:color w:val="auto"/>
        </w:rPr>
        <w:tab/>
      </w:r>
      <w:r>
        <w:rPr>
          <w:rFonts w:ascii="Arial" w:cs="Arial" w:eastAsia="Arial" w:hAnsi="Arial"/>
          <w:sz w:val="16"/>
          <w:szCs w:val="16"/>
          <w:color w:val="auto"/>
        </w:rPr>
        <w:t>There were no significant acquisitions individually or in the aggregate during fiscal 2014 or 2013.</w:t>
      </w:r>
    </w:p>
    <w:p>
      <w:pPr>
        <w:spacing w:after="0" w:line="171"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i w:val="1"/>
          <w:iCs w:val="1"/>
          <w:color w:val="auto"/>
        </w:rPr>
        <w:t>Fiscal 2012</w:t>
      </w:r>
      <w:r>
        <w:rPr>
          <w:rFonts w:ascii="Arial" w:cs="Arial" w:eastAsia="Arial" w:hAnsi="Arial"/>
          <w:sz w:val="16"/>
          <w:szCs w:val="16"/>
          <w:color w:val="auto"/>
        </w:rPr>
        <w:t>. In December 2011, the Company acquired Xelerated AB (“Xelerated”), a company which specializes in network processing and</w:t>
      </w:r>
      <w:r>
        <w:rPr>
          <w:rFonts w:ascii="Arial" w:cs="Arial" w:eastAsia="Arial" w:hAnsi="Arial"/>
          <w:sz w:val="16"/>
          <w:szCs w:val="16"/>
          <w:i w:val="1"/>
          <w:iCs w:val="1"/>
          <w:color w:val="auto"/>
        </w:rPr>
        <w:t xml:space="preserve"> </w:t>
      </w:r>
      <w:r>
        <w:rPr>
          <w:rFonts w:ascii="Arial" w:cs="Arial" w:eastAsia="Arial" w:hAnsi="Arial"/>
          <w:sz w:val="16"/>
          <w:szCs w:val="16"/>
          <w:color w:val="auto"/>
        </w:rPr>
        <w:t>programmable Ethernet switching solutions. The total purchase price was $75.2 million in cash, net of cash acquired. In addition to leveraging the existing acquired business and customer base, the objective of the acquisition was to expand the Company’s technology portfolio and enable more comprehensive integrated solutions for the networking market. The goodwill of $22.3 million was attributed to synergies specific to the Company in delivering these integrated solutions with its product portfolio, as well as the assembled workforce.</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400"/>
          </w:cols>
          <w:pgMar w:left="240" w:top="459" w:right="25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terms of the Xelerated acquisition included contingent consideration of up to $5.0 million, based on specific revenue targets for the acquired business during calendar year 2011. Based on the actual results through the date of acquisition, the Company assessed there was no possibility of any of the earnout being paid, therefore the Company assigned no value to the contingent consideration. After the end of calendar year 2011, the Company concluded that the earnout requirements were not met.</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222"/>
        </w:trPr>
        <w:tc>
          <w:tcPr>
            <w:tcW w:w="8440" w:type="dxa"/>
            <w:vAlign w:val="bottom"/>
            <w:gridSpan w:val="2"/>
          </w:tcPr>
          <w:p>
            <w:pPr>
              <w:spacing w:after="0"/>
              <w:rPr>
                <w:sz w:val="20"/>
                <w:szCs w:val="20"/>
                <w:color w:val="auto"/>
              </w:rPr>
            </w:pPr>
            <w:r>
              <w:rPr>
                <w:rFonts w:ascii="Arial" w:cs="Arial" w:eastAsia="Arial" w:hAnsi="Arial"/>
                <w:sz w:val="18"/>
                <w:szCs w:val="18"/>
                <w:color w:val="auto"/>
              </w:rPr>
              <w:t>The purchase price of Xelerated was allocated as follows (in thousands):</w:t>
            </w:r>
          </w:p>
        </w:tc>
        <w:tc>
          <w:tcPr>
            <w:tcW w:w="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5"/>
        </w:trPr>
        <w:tc>
          <w:tcPr>
            <w:tcW w:w="1380" w:type="dxa"/>
            <w:vAlign w:val="bottom"/>
            <w:vMerge w:val="restart"/>
          </w:tcPr>
          <w:p>
            <w:pPr>
              <w:spacing w:after="0"/>
              <w:rPr>
                <w:sz w:val="17"/>
                <w:szCs w:val="17"/>
                <w:color w:val="auto"/>
              </w:rPr>
            </w:pPr>
          </w:p>
        </w:tc>
        <w:tc>
          <w:tcPr>
            <w:tcW w:w="70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380" w:type="dxa"/>
            <w:vAlign w:val="bottom"/>
            <w:vMerge w:val="continue"/>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Accounts receivable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tcPr>
          <w:p>
            <w:pPr>
              <w:spacing w:after="0"/>
              <w:rPr>
                <w:sz w:val="20"/>
                <w:szCs w:val="20"/>
                <w:color w:val="auto"/>
              </w:rPr>
            </w:pPr>
            <w:r>
              <w:rPr>
                <w:rFonts w:ascii="Arial" w:cs="Arial" w:eastAsia="Arial" w:hAnsi="Arial"/>
                <w:sz w:val="18"/>
                <w:szCs w:val="18"/>
                <w:color w:val="auto"/>
              </w:rPr>
              <w:t>Inventory</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6,481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Prepaid and other current assets</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7060" w:type="dxa"/>
            <w:vAlign w:val="bottom"/>
          </w:tcPr>
          <w:p>
            <w:pPr>
              <w:spacing w:after="0"/>
              <w:rPr>
                <w:sz w:val="20"/>
                <w:szCs w:val="20"/>
                <w:color w:val="auto"/>
              </w:rPr>
            </w:pPr>
            <w:r>
              <w:rPr>
                <w:rFonts w:ascii="Arial" w:cs="Arial" w:eastAsia="Arial" w:hAnsi="Arial"/>
                <w:sz w:val="18"/>
                <w:szCs w:val="18"/>
                <w:color w:val="auto"/>
              </w:rPr>
              <w:t>Property and equipment</w:t>
            </w: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Tangible assets acquired</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9,440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22,324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51,800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1380" w:type="dxa"/>
            <w:vAlign w:val="bottom"/>
          </w:tcPr>
          <w:p>
            <w:pPr>
              <w:spacing w:after="0"/>
              <w:rPr>
                <w:sz w:val="19"/>
                <w:szCs w:val="19"/>
                <w:color w:val="auto"/>
              </w:rPr>
            </w:pPr>
          </w:p>
        </w:tc>
        <w:tc>
          <w:tcPr>
            <w:tcW w:w="7060" w:type="dxa"/>
            <w:vAlign w:val="bottom"/>
          </w:tcPr>
          <w:p>
            <w:pPr>
              <w:ind w:left="440"/>
              <w:spacing w:after="0"/>
              <w:rPr>
                <w:sz w:val="20"/>
                <w:szCs w:val="20"/>
                <w:color w:val="auto"/>
              </w:rPr>
            </w:pPr>
            <w:r>
              <w:rPr>
                <w:rFonts w:ascii="Arial" w:cs="Arial" w:eastAsia="Arial" w:hAnsi="Arial"/>
                <w:sz w:val="18"/>
                <w:szCs w:val="18"/>
                <w:color w:val="auto"/>
              </w:rPr>
              <w:t>Total assets acquired</w:t>
            </w:r>
          </w:p>
        </w:tc>
        <w:tc>
          <w:tcPr>
            <w:tcW w:w="10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83,564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1380" w:type="dxa"/>
            <w:vAlign w:val="bottom"/>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(256)</w:t>
            </w: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tcPr>
          <w:p>
            <w:pPr>
              <w:spacing w:after="0"/>
              <w:rPr>
                <w:sz w:val="18"/>
                <w:szCs w:val="18"/>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w w:val="91"/>
              </w:rPr>
              <w:t>(7,152)</w:t>
            </w: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7060" w:type="dxa"/>
            <w:vAlign w:val="bottom"/>
            <w:shd w:val="clear" w:color="auto" w:fill="CCEEFF"/>
          </w:tcPr>
          <w:p>
            <w:pPr>
              <w:spacing w:after="0"/>
              <w:rPr>
                <w:sz w:val="20"/>
                <w:szCs w:val="20"/>
                <w:color w:val="auto"/>
              </w:rPr>
            </w:pPr>
            <w:r>
              <w:rPr>
                <w:rFonts w:ascii="Arial" w:cs="Arial" w:eastAsia="Arial" w:hAnsi="Arial"/>
                <w:sz w:val="18"/>
                <w:szCs w:val="18"/>
                <w:color w:val="auto"/>
              </w:rPr>
              <w:t>Deferred tax liability</w:t>
            </w: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1"/>
              </w:rPr>
              <w:t>(1,000)</w:t>
            </w:r>
          </w:p>
        </w:tc>
        <w:tc>
          <w:tcPr>
            <w:tcW w:w="0" w:type="dxa"/>
            <w:vAlign w:val="bottom"/>
          </w:tcPr>
          <w:p>
            <w:pPr>
              <w:spacing w:after="0"/>
              <w:rPr>
                <w:sz w:val="1"/>
                <w:szCs w:val="1"/>
                <w:color w:val="auto"/>
              </w:rPr>
            </w:pPr>
          </w:p>
        </w:tc>
      </w:tr>
      <w:tr>
        <w:trPr>
          <w:trHeight w:val="222"/>
        </w:trPr>
        <w:tc>
          <w:tcPr>
            <w:tcW w:w="1380" w:type="dxa"/>
            <w:vAlign w:val="bottom"/>
          </w:tcPr>
          <w:p>
            <w:pPr>
              <w:spacing w:after="0"/>
              <w:rPr>
                <w:sz w:val="19"/>
                <w:szCs w:val="19"/>
                <w:color w:val="auto"/>
              </w:rPr>
            </w:pPr>
          </w:p>
        </w:tc>
        <w:tc>
          <w:tcPr>
            <w:tcW w:w="7060" w:type="dxa"/>
            <w:vAlign w:val="bottom"/>
          </w:tcPr>
          <w:p>
            <w:pPr>
              <w:ind w:left="440"/>
              <w:spacing w:after="0"/>
              <w:rPr>
                <w:sz w:val="20"/>
                <w:szCs w:val="20"/>
                <w:color w:val="auto"/>
              </w:rPr>
            </w:pPr>
            <w:r>
              <w:rPr>
                <w:rFonts w:ascii="Arial" w:cs="Arial" w:eastAsia="Arial" w:hAnsi="Arial"/>
                <w:sz w:val="18"/>
                <w:szCs w:val="18"/>
                <w:color w:val="auto"/>
              </w:rPr>
              <w:t>Net assets acquired</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3"/>
              </w:rPr>
              <w:t>75,156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70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Costs that were recognized separately from the acquisition were not significant and were expensed in fiscal 2012. In addition to the consideration for the acquisition, the agreement included retention bonuses totaling $4.3 million in cash over the two years following the close of the acquisition. These amounts were expensed as compensation expense over the course of the retention period.</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acquired intangible assets from Xelerated were recognized as follows based upon their fair value as of the acquisition date (in thousands):</w:t>
      </w:r>
    </w:p>
    <w:p>
      <w:pPr>
        <w:spacing w:after="0" w:line="21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38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Estimated</w:t>
            </w:r>
          </w:p>
        </w:tc>
      </w:tr>
      <w:tr>
        <w:trPr>
          <w:trHeight w:val="149"/>
        </w:trPr>
        <w:tc>
          <w:tcPr>
            <w:tcW w:w="4120" w:type="dxa"/>
            <w:vAlign w:val="bottom"/>
          </w:tcPr>
          <w:p>
            <w:pPr>
              <w:spacing w:after="0"/>
              <w:rPr>
                <w:sz w:val="12"/>
                <w:szCs w:val="12"/>
                <w:color w:val="auto"/>
              </w:rPr>
            </w:pPr>
          </w:p>
        </w:tc>
        <w:tc>
          <w:tcPr>
            <w:tcW w:w="2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7"/>
              </w:rPr>
              <w:t>useful</w:t>
            </w:r>
          </w:p>
        </w:tc>
      </w:tr>
      <w:tr>
        <w:trPr>
          <w:trHeight w:val="161"/>
        </w:trPr>
        <w:tc>
          <w:tcPr>
            <w:tcW w:w="4120" w:type="dxa"/>
            <w:vAlign w:val="bottom"/>
          </w:tcPr>
          <w:p>
            <w:pPr>
              <w:spacing w:after="0"/>
              <w:rPr>
                <w:sz w:val="14"/>
                <w:szCs w:val="14"/>
                <w:color w:val="auto"/>
              </w:rPr>
            </w:pPr>
          </w:p>
        </w:tc>
        <w:tc>
          <w:tcPr>
            <w:tcW w:w="3180" w:type="dxa"/>
            <w:vAlign w:val="bottom"/>
            <w:gridSpan w:val="2"/>
          </w:tcPr>
          <w:p>
            <w:pPr>
              <w:jc w:val="right"/>
              <w:spacing w:after="0"/>
              <w:rPr>
                <w:sz w:val="20"/>
                <w:szCs w:val="20"/>
                <w:color w:val="auto"/>
              </w:rPr>
            </w:pPr>
            <w:r>
              <w:rPr>
                <w:rFonts w:ascii="Arial" w:cs="Arial" w:eastAsia="Arial" w:hAnsi="Arial"/>
                <w:sz w:val="14"/>
                <w:szCs w:val="14"/>
                <w:b w:val="1"/>
                <w:bCs w:val="1"/>
                <w:color w:val="auto"/>
              </w:rPr>
              <w:t>Fair value</w:t>
            </w:r>
          </w:p>
        </w:tc>
        <w:tc>
          <w:tcPr>
            <w:tcW w:w="680" w:type="dxa"/>
            <w:vAlign w:val="bottom"/>
          </w:tcPr>
          <w:p>
            <w:pPr>
              <w:spacing w:after="0"/>
              <w:rPr>
                <w:sz w:val="14"/>
                <w:szCs w:val="14"/>
                <w:color w:val="auto"/>
              </w:rPr>
            </w:pPr>
          </w:p>
        </w:tc>
        <w:tc>
          <w:tcPr>
            <w:tcW w:w="7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76"/>
              </w:rPr>
              <w:t>lives</w:t>
            </w:r>
          </w:p>
        </w:tc>
      </w:tr>
      <w:tr>
        <w:trPr>
          <w:trHeight w:val="196"/>
        </w:trPr>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Intangible assets:</w:t>
            </w:r>
          </w:p>
        </w:tc>
        <w:tc>
          <w:tcPr>
            <w:tcW w:w="258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Purchased technology</w:t>
            </w:r>
          </w:p>
        </w:tc>
        <w:tc>
          <w:tcPr>
            <w:tcW w:w="3180" w:type="dxa"/>
            <w:vAlign w:val="bottom"/>
            <w:gridSpan w:val="2"/>
          </w:tcPr>
          <w:p>
            <w:pPr>
              <w:jc w:val="right"/>
              <w:spacing w:after="0"/>
              <w:rPr>
                <w:sz w:val="20"/>
                <w:szCs w:val="20"/>
                <w:color w:val="auto"/>
              </w:rPr>
            </w:pPr>
            <w:r>
              <w:rPr>
                <w:rFonts w:ascii="Arial" w:cs="Arial" w:eastAsia="Arial" w:hAnsi="Arial"/>
                <w:sz w:val="18"/>
                <w:szCs w:val="18"/>
                <w:color w:val="auto"/>
              </w:rPr>
              <w:t>$ 25,800</w:t>
            </w:r>
          </w:p>
        </w:tc>
        <w:tc>
          <w:tcPr>
            <w:tcW w:w="68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6 years</w:t>
            </w: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Customer intangible</w:t>
            </w:r>
          </w:p>
        </w:tc>
        <w:tc>
          <w:tcPr>
            <w:tcW w:w="3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24,700</w:t>
            </w:r>
          </w:p>
        </w:tc>
        <w:tc>
          <w:tcPr>
            <w:tcW w:w="6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5 years</w:t>
            </w:r>
          </w:p>
        </w:tc>
      </w:tr>
      <w:tr>
        <w:trPr>
          <w:trHeight w:val="223"/>
        </w:trPr>
        <w:tc>
          <w:tcPr>
            <w:tcW w:w="4120" w:type="dxa"/>
            <w:vAlign w:val="bottom"/>
          </w:tcPr>
          <w:p>
            <w:pPr>
              <w:spacing w:after="0"/>
              <w:rPr>
                <w:sz w:val="20"/>
                <w:szCs w:val="20"/>
                <w:color w:val="auto"/>
              </w:rPr>
            </w:pPr>
            <w:r>
              <w:rPr>
                <w:rFonts w:ascii="Arial" w:cs="Arial" w:eastAsia="Arial" w:hAnsi="Arial"/>
                <w:sz w:val="18"/>
                <w:szCs w:val="18"/>
                <w:color w:val="auto"/>
              </w:rPr>
              <w:t>Trade name</w:t>
            </w:r>
          </w:p>
        </w:tc>
        <w:tc>
          <w:tcPr>
            <w:tcW w:w="2580" w:type="dxa"/>
            <w:vAlign w:val="bottom"/>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1,300</w:t>
            </w:r>
          </w:p>
        </w:tc>
        <w:tc>
          <w:tcPr>
            <w:tcW w:w="680" w:type="dxa"/>
            <w:vAlign w:val="bottom"/>
          </w:tcPr>
          <w:p>
            <w:pPr>
              <w:spacing w:after="0"/>
              <w:rPr>
                <w:sz w:val="19"/>
                <w:szCs w:val="19"/>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5 years</w:t>
            </w:r>
          </w:p>
        </w:tc>
      </w:tr>
      <w:tr>
        <w:trPr>
          <w:trHeight w:val="216"/>
        </w:trPr>
        <w:tc>
          <w:tcPr>
            <w:tcW w:w="41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3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$ 51,800</w:t>
            </w:r>
          </w:p>
        </w:tc>
        <w:tc>
          <w:tcPr>
            <w:tcW w:w="6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0"/>
        </w:trPr>
        <w:tc>
          <w:tcPr>
            <w:tcW w:w="4120" w:type="dxa"/>
            <w:vAlign w:val="bottom"/>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value of the purchased technology and the trade name of $25.8 million and $1.3 million, respectively, were determined based on the relief from royalty method, and the value of the customer intangible was determined using discounted cash flows.</w:t>
      </w:r>
    </w:p>
    <w:p>
      <w:pPr>
        <w:spacing w:after="0" w:line="132"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In April 2011, the Company acquired the physical-layer transceivers business of a company, which specializes in the design of networking devices. Under the acquisition method of accounting, the total purchase price was determined to be $16.3 million and was allocated to tangible assets for $1.1 million, intangible assets for $13.6 million and goodwill for $1.6 million.</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completed acquisitions in fiscal 2012, individually and in the aggregate were not significant to the Company’s consolidated statements of operations.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The goodwill acquired is not deductible for tax purposes.</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400"/>
          </w:cols>
          <w:pgMar w:left="240" w:top="459" w:right="2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Divestiture</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Fiscal 2014</w:t>
      </w:r>
      <w:r>
        <w:rPr>
          <w:rFonts w:ascii="Arial" w:cs="Arial" w:eastAsia="Arial" w:hAnsi="Arial"/>
          <w:sz w:val="16"/>
          <w:szCs w:val="16"/>
          <w:color w:val="auto"/>
        </w:rPr>
        <w:t>. In connection with restructuring actions in fiscal 2014, the Company exited one of its businesses and sold certain assets to an unrelated third</w:t>
      </w:r>
      <w:r>
        <w:rPr>
          <w:rFonts w:ascii="Arial" w:cs="Arial" w:eastAsia="Arial" w:hAnsi="Arial"/>
          <w:sz w:val="16"/>
          <w:szCs w:val="16"/>
          <w:i w:val="1"/>
          <w:iCs w:val="1"/>
          <w:color w:val="auto"/>
        </w:rPr>
        <w:t xml:space="preserve"> </w:t>
      </w:r>
      <w:r>
        <w:rPr>
          <w:rFonts w:ascii="Arial" w:cs="Arial" w:eastAsia="Arial" w:hAnsi="Arial"/>
          <w:sz w:val="16"/>
          <w:szCs w:val="16"/>
          <w:color w:val="auto"/>
        </w:rPr>
        <w:t>party. See “Note 8 – Restructuring” for further information. The transaction primarily included the sale of intellectual property and equipment with a carrying value of $0.1 million. The Company also wrote off $2.6 million of goodwill allocated to the business based on the relative fair values of the business and the Company’s remaining reporting unit. The buyer also hired the former employees of the business. As part of the transaction, the Company received a license to the intellectual property it sold. It also entered into a separate support services agreement with the buyer to cover an 18-month period. As a result of the sale of this business, the Company recorded a gain of $7.0 million, which is included in interest and other income, net, in the consolidated statement of operations.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6"/>
          </w:tcPr>
          <w:p>
            <w:pPr>
              <w:jc w:val="right"/>
              <w:ind w:right="680"/>
              <w:spacing w:after="0"/>
              <w:rPr>
                <w:sz w:val="20"/>
                <w:szCs w:val="20"/>
                <w:color w:val="auto"/>
              </w:rPr>
            </w:pPr>
            <w:r>
              <w:rPr>
                <w:rFonts w:ascii="Arial" w:cs="Arial" w:eastAsia="Arial" w:hAnsi="Arial"/>
                <w:sz w:val="14"/>
                <w:szCs w:val="14"/>
                <w:b w:val="1"/>
                <w:bCs w:val="1"/>
                <w:color w:val="auto"/>
              </w:rPr>
              <w:t>February 1, 2014</w:t>
            </w: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320" w:type="dxa"/>
            <w:vAlign w:val="bottom"/>
          </w:tcPr>
          <w:p>
            <w:pPr>
              <w:spacing w:after="0"/>
              <w:rPr>
                <w:sz w:val="11"/>
                <w:szCs w:val="11"/>
                <w:color w:val="auto"/>
              </w:rPr>
            </w:pPr>
          </w:p>
        </w:tc>
        <w:tc>
          <w:tcPr>
            <w:tcW w:w="2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2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8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5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Available-for-sale:</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587,095</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2,789</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(370)</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301,423</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128</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(72)</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76,220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89</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(38)</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20,324</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12</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(44)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16,059</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40" w:type="dxa"/>
            <w:vAlign w:val="bottom"/>
            <w:gridSpan w:val="2"/>
            <w:vMerge w:val="continue"/>
          </w:tcPr>
          <w:p>
            <w:pPr>
              <w:spacing w:after="0"/>
              <w:rPr>
                <w:sz w:val="19"/>
                <w:szCs w:val="19"/>
                <w:color w:val="auto"/>
              </w:rPr>
            </w:pPr>
          </w:p>
        </w:tc>
        <w:tc>
          <w:tcPr>
            <w:tcW w:w="2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1,001,121</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3,062</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(528)</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1,003,655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Available-for-sale:</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19,150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(2,871)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2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320" w:type="dxa"/>
            <w:vAlign w:val="bottom"/>
            <w:vMerge w:val="continue"/>
          </w:tcPr>
          <w:p>
            <w:pPr>
              <w:spacing w:after="0"/>
              <w:rPr>
                <w:sz w:val="19"/>
                <w:szCs w:val="19"/>
                <w:color w:val="auto"/>
              </w:rPr>
            </w:pPr>
          </w:p>
        </w:tc>
        <w:tc>
          <w:tcPr>
            <w:tcW w:w="2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19,150</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(2,871)</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320" w:type="dxa"/>
            <w:vAlign w:val="bottom"/>
          </w:tcPr>
          <w:p>
            <w:pPr>
              <w:spacing w:after="0"/>
              <w:rPr>
                <w:sz w:val="2"/>
                <w:szCs w:val="2"/>
                <w:color w:val="auto"/>
              </w:rPr>
            </w:pPr>
          </w:p>
        </w:tc>
        <w:tc>
          <w:tcPr>
            <w:tcW w:w="2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1,020,271</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3,062</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(3,399)</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1,019,934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2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960" w:type="dxa"/>
            <w:vAlign w:val="bottom"/>
            <w:tcBorders>
              <w:bottom w:val="single" w:sz="8" w:color="auto"/>
            </w:tcBorders>
            <w:gridSpan w:val="6"/>
          </w:tcPr>
          <w:p>
            <w:pPr>
              <w:jc w:val="right"/>
              <w:ind w:right="680"/>
              <w:spacing w:after="0"/>
              <w:rPr>
                <w:sz w:val="20"/>
                <w:szCs w:val="20"/>
                <w:color w:val="auto"/>
              </w:rPr>
            </w:pPr>
            <w:r>
              <w:rPr>
                <w:rFonts w:ascii="Arial" w:cs="Arial" w:eastAsia="Arial" w:hAnsi="Arial"/>
                <w:sz w:val="14"/>
                <w:szCs w:val="14"/>
                <w:b w:val="1"/>
                <w:bCs w:val="1"/>
                <w:color w:val="auto"/>
              </w:rPr>
              <w:t>February 2, 2013</w:t>
            </w:r>
          </w:p>
        </w:tc>
        <w:tc>
          <w:tcPr>
            <w:tcW w:w="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320" w:type="dxa"/>
            <w:vAlign w:val="bottom"/>
          </w:tcPr>
          <w:p>
            <w:pPr>
              <w:spacing w:after="0"/>
              <w:rPr>
                <w:sz w:val="11"/>
                <w:szCs w:val="11"/>
                <w:color w:val="auto"/>
              </w:rPr>
            </w:pPr>
          </w:p>
        </w:tc>
        <w:tc>
          <w:tcPr>
            <w:tcW w:w="2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2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2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8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60" w:type="dxa"/>
            <w:vAlign w:val="bottom"/>
          </w:tcPr>
          <w:p>
            <w:pPr>
              <w:spacing w:after="0"/>
              <w:rPr>
                <w:sz w:val="12"/>
                <w:szCs w:val="12"/>
                <w:color w:val="auto"/>
              </w:rPr>
            </w:pPr>
          </w:p>
        </w:tc>
        <w:tc>
          <w:tcPr>
            <w:tcW w:w="9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7"/>
              </w:rPr>
              <w:t>Gains</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ind w:left="20"/>
              <w:spacing w:after="0"/>
              <w:rPr>
                <w:sz w:val="20"/>
                <w:szCs w:val="20"/>
                <w:color w:val="auto"/>
              </w:rPr>
            </w:pPr>
            <w:r>
              <w:rPr>
                <w:rFonts w:ascii="Arial" w:cs="Arial" w:eastAsia="Arial" w:hAnsi="Arial"/>
                <w:sz w:val="14"/>
                <w:szCs w:val="14"/>
                <w:b w:val="1"/>
                <w:bCs w:val="1"/>
                <w:color w:val="auto"/>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5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Available-for-sale:</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577,120</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2,886</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(382)</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318,226</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258</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(5)</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318,479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188,000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ind w:left="420"/>
              <w:spacing w:after="0"/>
              <w:rPr>
                <w:sz w:val="20"/>
                <w:szCs w:val="20"/>
                <w:color w:val="auto"/>
              </w:rPr>
            </w:pPr>
            <w:r>
              <w:rPr>
                <w:rFonts w:ascii="Arial" w:cs="Arial" w:eastAsia="Arial" w:hAnsi="Arial"/>
                <w:sz w:val="18"/>
                <w:szCs w:val="18"/>
                <w:color w:val="auto"/>
              </w:rPr>
              <w:t>Asset backed securities</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76,629</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50</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(64)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76,615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4,320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40" w:type="dxa"/>
            <w:vAlign w:val="bottom"/>
            <w:gridSpan w:val="2"/>
            <w:vMerge w:val="continue"/>
          </w:tcPr>
          <w:p>
            <w:pPr>
              <w:spacing w:after="0"/>
              <w:rPr>
                <w:sz w:val="19"/>
                <w:szCs w:val="19"/>
                <w:color w:val="auto"/>
              </w:rPr>
            </w:pPr>
          </w:p>
        </w:tc>
        <w:tc>
          <w:tcPr>
            <w:tcW w:w="2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w w:val="84"/>
              </w:rPr>
              <w:t>1,164,295</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80"/>
              <w:spacing w:after="0"/>
              <w:rPr>
                <w:sz w:val="20"/>
                <w:szCs w:val="20"/>
                <w:color w:val="auto"/>
              </w:rPr>
            </w:pPr>
            <w:r>
              <w:rPr>
                <w:rFonts w:ascii="Arial" w:cs="Arial" w:eastAsia="Arial" w:hAnsi="Arial"/>
                <w:sz w:val="18"/>
                <w:szCs w:val="18"/>
                <w:color w:val="auto"/>
              </w:rPr>
              <w:t>3,194</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rPr>
              <w:t>(452)</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1,167,037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Available-for-sale:</w:t>
            </w:r>
          </w:p>
        </w:tc>
        <w:tc>
          <w:tcPr>
            <w:tcW w:w="2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19,450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(2,681)</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2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320" w:type="dxa"/>
            <w:vAlign w:val="bottom"/>
            <w:vMerge w:val="continue"/>
          </w:tcPr>
          <w:p>
            <w:pPr>
              <w:spacing w:after="0"/>
              <w:rPr>
                <w:sz w:val="19"/>
                <w:szCs w:val="19"/>
                <w:color w:val="auto"/>
              </w:rPr>
            </w:pPr>
          </w:p>
        </w:tc>
        <w:tc>
          <w:tcPr>
            <w:tcW w:w="2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19,450</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40"/>
              <w:spacing w:after="0"/>
              <w:rPr>
                <w:sz w:val="20"/>
                <w:szCs w:val="20"/>
                <w:color w:val="auto"/>
              </w:rPr>
            </w:pPr>
            <w:r>
              <w:rPr>
                <w:rFonts w:ascii="Arial" w:cs="Arial" w:eastAsia="Arial" w:hAnsi="Arial"/>
                <w:sz w:val="18"/>
                <w:szCs w:val="18"/>
                <w:color w:val="auto"/>
                <w:w w:val="98"/>
              </w:rPr>
              <w:t>(2,681)</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320" w:type="dxa"/>
            <w:vAlign w:val="bottom"/>
          </w:tcPr>
          <w:p>
            <w:pPr>
              <w:spacing w:after="0"/>
              <w:rPr>
                <w:sz w:val="2"/>
                <w:szCs w:val="2"/>
                <w:color w:val="auto"/>
              </w:rPr>
            </w:pPr>
          </w:p>
        </w:tc>
        <w:tc>
          <w:tcPr>
            <w:tcW w:w="2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5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4"/>
              </w:rPr>
              <w:t>1,183,745</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3,194</w:t>
            </w:r>
          </w:p>
        </w:tc>
        <w:tc>
          <w:tcPr>
            <w:tcW w:w="3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(3,133)</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1,183,806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2520" w:type="dxa"/>
            <w:vAlign w:val="bottom"/>
            <w:vMerge w:val="restart"/>
          </w:tcPr>
          <w:p>
            <w:pPr>
              <w:jc w:val="right"/>
              <w:ind w:right="972"/>
              <w:spacing w:after="0"/>
              <w:rPr>
                <w:sz w:val="20"/>
                <w:szCs w:val="20"/>
                <w:color w:val="auto"/>
              </w:rPr>
            </w:pPr>
            <w:r>
              <w:rPr>
                <w:rFonts w:ascii="Arial" w:cs="Arial" w:eastAsia="Arial" w:hAnsi="Arial"/>
                <w:sz w:val="18"/>
                <w:szCs w:val="18"/>
                <w:color w:val="auto"/>
              </w:rPr>
              <w:t>74</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25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firstLine="456"/>
        <w:spacing w:after="0" w:line="287" w:lineRule="auto"/>
        <w:rPr>
          <w:sz w:val="20"/>
          <w:szCs w:val="20"/>
          <w:color w:val="auto"/>
        </w:rPr>
      </w:pPr>
      <w:r>
        <w:rPr>
          <w:rFonts w:ascii="Arial" w:cs="Arial" w:eastAsia="Arial" w:hAnsi="Arial"/>
          <w:sz w:val="16"/>
          <w:szCs w:val="16"/>
          <w:color w:val="auto"/>
        </w:rPr>
        <w:t>As of February 1, 2014, the Company’s investment portfolio included auction rate securities with an aggregate par value of $19.2 million. Although these securities have continued to pay interest and show an improvement in the underlying collateralization, there is currently limited trading volume.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February 1, 2014 was $2.9 million less than the par value and was recorded in long-term investments. Based on the Company’s balance of approximately $2.0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3"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gross realized gains on sales of available-for-sale securities for fiscal 2014, 2013 and 2012 were $1.6 million, $3.6 million and $2.4 million, respectively. The gross realized losses on sales of available-for-sale securities for fiscal 2014, 2013 and 2012 were $0.3 million, $0.3 million and $1.0 million, respectively.</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960" w:type="dxa"/>
            <w:vAlign w:val="bottom"/>
            <w:gridSpan w:val="4"/>
          </w:tcPr>
          <w:p>
            <w:pPr>
              <w:jc w:val="right"/>
              <w:ind w:right="439"/>
              <w:spacing w:after="0"/>
              <w:rPr>
                <w:sz w:val="20"/>
                <w:szCs w:val="20"/>
                <w:color w:val="auto"/>
              </w:rPr>
            </w:pPr>
            <w:r>
              <w:rPr>
                <w:rFonts w:ascii="Arial" w:cs="Arial" w:eastAsia="Arial" w:hAnsi="Arial"/>
                <w:sz w:val="14"/>
                <w:szCs w:val="14"/>
                <w:b w:val="1"/>
                <w:bCs w:val="1"/>
                <w:color w:val="auto"/>
              </w:rPr>
              <w:t>February 1, 2014</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ind w:left="460"/>
              <w:spacing w:after="0"/>
              <w:rPr>
                <w:sz w:val="20"/>
                <w:szCs w:val="20"/>
                <w:color w:val="auto"/>
              </w:rPr>
            </w:pPr>
            <w:r>
              <w:rPr>
                <w:rFonts w:ascii="Arial" w:cs="Arial" w:eastAsia="Arial" w:hAnsi="Arial"/>
                <w:sz w:val="14"/>
                <w:szCs w:val="14"/>
                <w:b w:val="1"/>
                <w:bCs w:val="1"/>
                <w:color w:val="auto"/>
              </w:rPr>
              <w:t>February 2, 2013</w:t>
            </w:r>
          </w:p>
        </w:tc>
      </w:tr>
      <w:tr>
        <w:trPr>
          <w:trHeight w:val="129"/>
        </w:trPr>
        <w:tc>
          <w:tcPr>
            <w:tcW w:w="6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ind w:right="21"/>
              <w:spacing w:after="0" w:line="129" w:lineRule="exact"/>
              <w:rPr>
                <w:sz w:val="20"/>
                <w:szCs w:val="20"/>
                <w:color w:val="auto"/>
              </w:rPr>
            </w:pPr>
            <w:r>
              <w:rPr>
                <w:rFonts w:ascii="Arial" w:cs="Arial" w:eastAsia="Arial" w:hAnsi="Arial"/>
                <w:sz w:val="14"/>
                <w:szCs w:val="14"/>
                <w:b w:val="1"/>
                <w:bCs w:val="1"/>
                <w:color w:val="auto"/>
                <w:w w:val="90"/>
              </w:rPr>
              <w:t>Amortized</w:t>
            </w:r>
          </w:p>
        </w:tc>
        <w:tc>
          <w:tcPr>
            <w:tcW w:w="3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39"/>
              <w:spacing w:after="0" w:line="129" w:lineRule="exact"/>
              <w:rPr>
                <w:sz w:val="20"/>
                <w:szCs w:val="20"/>
                <w:color w:val="auto"/>
              </w:rPr>
            </w:pPr>
            <w:r>
              <w:rPr>
                <w:rFonts w:ascii="Arial" w:cs="Arial" w:eastAsia="Arial" w:hAnsi="Arial"/>
                <w:sz w:val="14"/>
                <w:szCs w:val="14"/>
                <w:b w:val="1"/>
                <w:bCs w:val="1"/>
                <w:color w:val="auto"/>
                <w:w w:val="86"/>
              </w:rPr>
              <w:t>Estimated</w:t>
            </w:r>
          </w:p>
        </w:tc>
        <w:tc>
          <w:tcPr>
            <w:tcW w:w="4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gridSpan w:val="2"/>
          </w:tcPr>
          <w:p>
            <w:pPr>
              <w:jc w:val="center"/>
              <w:ind w:right="500"/>
              <w:spacing w:after="0" w:line="129" w:lineRule="exact"/>
              <w:rPr>
                <w:sz w:val="20"/>
                <w:szCs w:val="20"/>
                <w:color w:val="auto"/>
              </w:rPr>
            </w:pPr>
            <w:r>
              <w:rPr>
                <w:rFonts w:ascii="Arial" w:cs="Arial" w:eastAsia="Arial" w:hAnsi="Arial"/>
                <w:sz w:val="14"/>
                <w:szCs w:val="14"/>
                <w:b w:val="1"/>
                <w:bCs w:val="1"/>
                <w:color w:val="auto"/>
                <w:w w:val="90"/>
              </w:rPr>
              <w:t>Amortized</w:t>
            </w:r>
          </w:p>
        </w:tc>
        <w:tc>
          <w:tcPr>
            <w:tcW w:w="12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rPr>
              <w:t>Estimated</w:t>
            </w:r>
          </w:p>
        </w:tc>
        <w:tc>
          <w:tcPr>
            <w:tcW w:w="100" w:type="dxa"/>
            <w:vAlign w:val="bottom"/>
          </w:tcPr>
          <w:p>
            <w:pPr>
              <w:spacing w:after="0"/>
              <w:rPr>
                <w:sz w:val="11"/>
                <w:szCs w:val="11"/>
                <w:color w:val="auto"/>
              </w:rPr>
            </w:pPr>
          </w:p>
        </w:tc>
      </w:tr>
      <w:tr>
        <w:trPr>
          <w:trHeight w:val="161"/>
        </w:trPr>
        <w:tc>
          <w:tcPr>
            <w:tcW w:w="6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jc w:val="right"/>
              <w:ind w:right="201"/>
              <w:spacing w:after="0"/>
              <w:rPr>
                <w:sz w:val="20"/>
                <w:szCs w:val="20"/>
                <w:color w:val="auto"/>
              </w:rPr>
            </w:pPr>
            <w:r>
              <w:rPr>
                <w:rFonts w:ascii="Arial" w:cs="Arial" w:eastAsia="Arial" w:hAnsi="Arial"/>
                <w:sz w:val="14"/>
                <w:szCs w:val="14"/>
                <w:b w:val="1"/>
                <w:bCs w:val="1"/>
                <w:color w:val="auto"/>
              </w:rPr>
              <w:t>Cost</w:t>
            </w: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jc w:val="right"/>
              <w:ind w:right="39"/>
              <w:spacing w:after="0"/>
              <w:rPr>
                <w:sz w:val="20"/>
                <w:szCs w:val="20"/>
                <w:color w:val="auto"/>
              </w:rPr>
            </w:pPr>
            <w:r>
              <w:rPr>
                <w:rFonts w:ascii="Arial" w:cs="Arial" w:eastAsia="Arial" w:hAnsi="Arial"/>
                <w:sz w:val="14"/>
                <w:szCs w:val="14"/>
                <w:b w:val="1"/>
                <w:bCs w:val="1"/>
                <w:color w:val="auto"/>
                <w:w w:val="86"/>
              </w:rPr>
              <w:t>Fair Value</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2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83"/>
              </w:rPr>
              <w:t>Cost</w:t>
            </w:r>
          </w:p>
        </w:tc>
        <w:tc>
          <w:tcPr>
            <w:tcW w:w="120" w:type="dxa"/>
            <w:vAlign w:val="bottom"/>
          </w:tcPr>
          <w:p>
            <w:pPr>
              <w:spacing w:after="0"/>
              <w:rPr>
                <w:sz w:val="14"/>
                <w:szCs w:val="14"/>
                <w:color w:val="auto"/>
              </w:rPr>
            </w:pPr>
          </w:p>
        </w:tc>
        <w:tc>
          <w:tcPr>
            <w:tcW w:w="86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309,543</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309,861</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519,006</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519,537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686,062</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688,280</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rPr>
              <w:t>627,769</w:t>
            </w:r>
          </w:p>
        </w:tc>
        <w:tc>
          <w:tcPr>
            <w:tcW w:w="12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629,991</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24,666</w:t>
            </w:r>
          </w:p>
        </w:tc>
        <w:tc>
          <w:tcPr>
            <w:tcW w:w="3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21,793</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36,970</w:t>
            </w:r>
          </w:p>
        </w:tc>
        <w:tc>
          <w:tcPr>
            <w:tcW w:w="3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34,278</w:t>
            </w:r>
          </w:p>
        </w:tc>
        <w:tc>
          <w:tcPr>
            <w:tcW w:w="100" w:type="dxa"/>
            <w:vAlign w:val="bottom"/>
            <w:shd w:val="clear" w:color="auto" w:fill="CCEEFF"/>
          </w:tcPr>
          <w:p>
            <w:pPr>
              <w:spacing w:after="0"/>
              <w:rPr>
                <w:sz w:val="18"/>
                <w:szCs w:val="18"/>
                <w:color w:val="auto"/>
              </w:rPr>
            </w:pPr>
          </w:p>
        </w:tc>
      </w:tr>
      <w:tr>
        <w:trPr>
          <w:trHeight w:val="222"/>
        </w:trPr>
        <w:tc>
          <w:tcPr>
            <w:tcW w:w="6740" w:type="dxa"/>
            <w:vAlign w:val="bottom"/>
          </w:tcPr>
          <w:p>
            <w:pPr>
              <w:spacing w:after="0"/>
              <w:rPr>
                <w:sz w:val="19"/>
                <w:szCs w:val="19"/>
                <w:color w:val="auto"/>
              </w:rPr>
            </w:pPr>
          </w:p>
        </w:tc>
        <w:tc>
          <w:tcPr>
            <w:tcW w:w="8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1,020,271</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1,019,934</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380"/>
              <w:spacing w:after="0"/>
              <w:rPr>
                <w:sz w:val="20"/>
                <w:szCs w:val="20"/>
                <w:color w:val="auto"/>
              </w:rPr>
            </w:pPr>
            <w:r>
              <w:rPr>
                <w:rFonts w:ascii="Arial" w:cs="Arial" w:eastAsia="Arial" w:hAnsi="Arial"/>
                <w:sz w:val="18"/>
                <w:szCs w:val="18"/>
                <w:color w:val="auto"/>
                <w:w w:val="89"/>
              </w:rPr>
              <w:t>1,183,745</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1,183,806</w:t>
            </w:r>
          </w:p>
        </w:tc>
      </w:tr>
      <w:tr>
        <w:trPr>
          <w:trHeight w:val="20"/>
        </w:trPr>
        <w:tc>
          <w:tcPr>
            <w:tcW w:w="67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0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February 1, 2014</w:t>
            </w: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260" w:type="dxa"/>
            <w:vAlign w:val="bottom"/>
          </w:tcPr>
          <w:p>
            <w:pPr>
              <w:spacing w:after="0"/>
              <w:rPr>
                <w:sz w:val="12"/>
                <w:szCs w:val="12"/>
                <w:color w:val="auto"/>
              </w:rPr>
            </w:pPr>
          </w:p>
        </w:tc>
        <w:tc>
          <w:tcPr>
            <w:tcW w:w="2000" w:type="dxa"/>
            <w:vAlign w:val="bottom"/>
            <w:gridSpan w:val="5"/>
          </w:tcPr>
          <w:p>
            <w:pPr>
              <w:jc w:val="right"/>
              <w:ind w:right="520"/>
              <w:spacing w:after="0" w:line="142" w:lineRule="exact"/>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gridSpan w:val="5"/>
          </w:tcPr>
          <w:p>
            <w:pPr>
              <w:ind w:left="200"/>
              <w:spacing w:after="0" w:line="142" w:lineRule="exact"/>
              <w:rPr>
                <w:sz w:val="20"/>
                <w:szCs w:val="20"/>
                <w:color w:val="auto"/>
              </w:rPr>
            </w:pPr>
            <w:r>
              <w:rPr>
                <w:rFonts w:ascii="Arial" w:cs="Arial" w:eastAsia="Arial" w:hAnsi="Arial"/>
                <w:sz w:val="14"/>
                <w:szCs w:val="14"/>
                <w:b w:val="1"/>
                <w:bCs w:val="1"/>
                <w:color w:val="auto"/>
              </w:rPr>
              <w:t>12 months or more</w:t>
            </w:r>
          </w:p>
        </w:tc>
        <w:tc>
          <w:tcPr>
            <w:tcW w:w="680" w:type="dxa"/>
            <w:vAlign w:val="bottom"/>
          </w:tcPr>
          <w:p>
            <w:pPr>
              <w:spacing w:after="0"/>
              <w:rPr>
                <w:sz w:val="12"/>
                <w:szCs w:val="12"/>
                <w:color w:val="auto"/>
              </w:rPr>
            </w:pPr>
          </w:p>
        </w:tc>
        <w:tc>
          <w:tcPr>
            <w:tcW w:w="58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260" w:type="dxa"/>
            <w:vAlign w:val="bottom"/>
          </w:tcPr>
          <w:p>
            <w:pPr>
              <w:spacing w:after="0"/>
              <w:rPr>
                <w:sz w:val="11"/>
                <w:szCs w:val="11"/>
                <w:color w:val="auto"/>
              </w:rPr>
            </w:pPr>
          </w:p>
        </w:tc>
        <w:tc>
          <w:tcPr>
            <w:tcW w:w="680" w:type="dxa"/>
            <w:vAlign w:val="bottom"/>
            <w:tcBorders>
              <w:top w:val="single" w:sz="8" w:color="auto"/>
            </w:tcBorders>
          </w:tcPr>
          <w:p>
            <w:pPr>
              <w:jc w:val="right"/>
              <w:ind w:right="118"/>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center"/>
              <w:ind w:right="5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440" w:type="dxa"/>
            <w:vAlign w:val="bottom"/>
          </w:tcPr>
          <w:p>
            <w:pPr>
              <w:spacing w:after="0"/>
              <w:rPr>
                <w:sz w:val="11"/>
                <w:szCs w:val="11"/>
                <w:color w:val="auto"/>
              </w:rPr>
            </w:pPr>
          </w:p>
        </w:tc>
        <w:tc>
          <w:tcPr>
            <w:tcW w:w="680" w:type="dxa"/>
            <w:vAlign w:val="bottom"/>
            <w:tcBorders>
              <w:top w:val="single" w:sz="8" w:color="auto"/>
            </w:tcBorders>
          </w:tcPr>
          <w:p>
            <w:pPr>
              <w:jc w:val="right"/>
              <w:ind w:right="117"/>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26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98"/>
              <w:spacing w:after="0"/>
              <w:rPr>
                <w:sz w:val="20"/>
                <w:szCs w:val="20"/>
                <w:color w:val="auto"/>
              </w:rPr>
            </w:pPr>
            <w:r>
              <w:rPr>
                <w:rFonts w:ascii="Arial" w:cs="Arial" w:eastAsia="Arial" w:hAnsi="Arial"/>
                <w:sz w:val="14"/>
                <w:szCs w:val="14"/>
                <w:b w:val="1"/>
                <w:bCs w:val="1"/>
                <w:color w:val="auto"/>
              </w:rPr>
              <w:t>Value</w:t>
            </w:r>
          </w:p>
        </w:tc>
        <w:tc>
          <w:tcPr>
            <w:tcW w:w="4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24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20"/>
              <w:spacing w:after="0"/>
              <w:rPr>
                <w:sz w:val="20"/>
                <w:szCs w:val="20"/>
                <w:color w:val="auto"/>
              </w:rPr>
            </w:pPr>
            <w:r>
              <w:rPr>
                <w:rFonts w:ascii="Arial" w:cs="Arial" w:eastAsia="Arial" w:hAnsi="Arial"/>
                <w:sz w:val="14"/>
                <w:szCs w:val="14"/>
                <w:b w:val="1"/>
                <w:bCs w:val="1"/>
                <w:color w:val="auto"/>
                <w:w w:val="85"/>
              </w:rPr>
              <w:t>Value</w:t>
            </w:r>
          </w:p>
        </w:tc>
        <w:tc>
          <w:tcPr>
            <w:tcW w:w="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1"/>
              </w:rPr>
              <w:t>Loss</w:t>
            </w:r>
          </w:p>
        </w:tc>
        <w:tc>
          <w:tcPr>
            <w:tcW w:w="4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rPr>
              <w:t>Value</w:t>
            </w:r>
          </w:p>
        </w:tc>
        <w:tc>
          <w:tcPr>
            <w:tcW w:w="4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$ 110,903</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2,105</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$ 113,008</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680" w:type="dxa"/>
            <w:vAlign w:val="bottom"/>
          </w:tcPr>
          <w:p>
            <w:pPr>
              <w:jc w:val="right"/>
              <w:spacing w:after="0"/>
              <w:rPr>
                <w:sz w:val="20"/>
                <w:szCs w:val="20"/>
                <w:color w:val="auto"/>
              </w:rPr>
            </w:pPr>
            <w:r>
              <w:rPr>
                <w:rFonts w:ascii="Arial" w:cs="Arial" w:eastAsia="Arial" w:hAnsi="Arial"/>
                <w:sz w:val="18"/>
                <w:szCs w:val="18"/>
                <w:color w:val="auto"/>
              </w:rPr>
              <w:t>93,118</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(72)</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93,118</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18,865</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(19)</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1,912</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(19)</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20,777</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680" w:type="dxa"/>
            <w:vAlign w:val="bottom"/>
          </w:tcPr>
          <w:p>
            <w:pPr>
              <w:jc w:val="right"/>
              <w:spacing w:after="0"/>
              <w:rPr>
                <w:sz w:val="20"/>
                <w:szCs w:val="20"/>
                <w:color w:val="auto"/>
              </w:rPr>
            </w:pPr>
            <w:r>
              <w:rPr>
                <w:rFonts w:ascii="Arial" w:cs="Arial" w:eastAsia="Arial" w:hAnsi="Arial"/>
                <w:sz w:val="18"/>
                <w:szCs w:val="18"/>
                <w:color w:val="auto"/>
              </w:rPr>
              <w:t>14,299</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(44)</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14,299</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16,279</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380"/>
              <w:spacing w:after="0"/>
              <w:rPr>
                <w:sz w:val="20"/>
                <w:szCs w:val="20"/>
                <w:color w:val="auto"/>
              </w:rPr>
            </w:pPr>
            <w:r>
              <w:rPr>
                <w:rFonts w:ascii="Arial" w:cs="Arial" w:eastAsia="Arial" w:hAnsi="Arial"/>
                <w:sz w:val="18"/>
                <w:szCs w:val="18"/>
                <w:color w:val="auto"/>
                <w:w w:val="94"/>
              </w:rPr>
              <w:t>(2,871)</w:t>
            </w:r>
          </w:p>
        </w:tc>
        <w:tc>
          <w:tcPr>
            <w:tcW w:w="680" w:type="dxa"/>
            <w:vAlign w:val="bottom"/>
          </w:tcPr>
          <w:p>
            <w:pPr>
              <w:jc w:val="right"/>
              <w:spacing w:after="0"/>
              <w:rPr>
                <w:sz w:val="20"/>
                <w:szCs w:val="20"/>
                <w:color w:val="auto"/>
              </w:rPr>
            </w:pPr>
            <w:r>
              <w:rPr>
                <w:rFonts w:ascii="Arial" w:cs="Arial" w:eastAsia="Arial" w:hAnsi="Arial"/>
                <w:sz w:val="18"/>
                <w:szCs w:val="18"/>
                <w:color w:val="auto"/>
              </w:rPr>
              <w:t>16,279</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(2,871)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237,908</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(505)</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9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7"/>
              </w:rPr>
              <w:t>20,296</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4"/>
              </w:rPr>
              <w:t>(2,894)</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258,204</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(3,399)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260" w:type="dxa"/>
            <w:vAlign w:val="bottom"/>
          </w:tcPr>
          <w:p>
            <w:pPr>
              <w:spacing w:after="0"/>
              <w:rPr>
                <w:sz w:val="24"/>
                <w:szCs w:val="24"/>
                <w:color w:val="auto"/>
              </w:rPr>
            </w:pPr>
          </w:p>
        </w:tc>
        <w:tc>
          <w:tcPr>
            <w:tcW w:w="680" w:type="dxa"/>
            <w:vAlign w:val="bottom"/>
          </w:tcPr>
          <w:p>
            <w:pPr>
              <w:jc w:val="right"/>
              <w:ind w:right="78"/>
              <w:spacing w:after="0"/>
              <w:rPr>
                <w:sz w:val="20"/>
                <w:szCs w:val="20"/>
                <w:color w:val="auto"/>
              </w:rPr>
            </w:pPr>
            <w:r>
              <w:rPr>
                <w:rFonts w:ascii="Arial" w:cs="Arial" w:eastAsia="Arial" w:hAnsi="Arial"/>
                <w:sz w:val="18"/>
                <w:szCs w:val="18"/>
                <w:color w:val="auto"/>
              </w:rPr>
              <w:t>75</w:t>
            </w: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8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0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February 2, 2013</w:t>
            </w: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280" w:type="dxa"/>
            <w:vAlign w:val="bottom"/>
          </w:tcPr>
          <w:p>
            <w:pPr>
              <w:spacing w:after="0"/>
              <w:rPr>
                <w:sz w:val="12"/>
                <w:szCs w:val="12"/>
                <w:color w:val="auto"/>
              </w:rPr>
            </w:pPr>
          </w:p>
        </w:tc>
        <w:tc>
          <w:tcPr>
            <w:tcW w:w="2000" w:type="dxa"/>
            <w:vAlign w:val="bottom"/>
            <w:gridSpan w:val="5"/>
          </w:tcPr>
          <w:p>
            <w:pPr>
              <w:jc w:val="right"/>
              <w:ind w:right="520"/>
              <w:spacing w:after="0" w:line="142" w:lineRule="exact"/>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gridSpan w:val="5"/>
          </w:tcPr>
          <w:p>
            <w:pPr>
              <w:ind w:left="200"/>
              <w:spacing w:after="0" w:line="142" w:lineRule="exact"/>
              <w:rPr>
                <w:sz w:val="20"/>
                <w:szCs w:val="20"/>
                <w:color w:val="auto"/>
              </w:rPr>
            </w:pPr>
            <w:r>
              <w:rPr>
                <w:rFonts w:ascii="Arial" w:cs="Arial" w:eastAsia="Arial" w:hAnsi="Arial"/>
                <w:sz w:val="14"/>
                <w:szCs w:val="14"/>
                <w:b w:val="1"/>
                <w:bCs w:val="1"/>
                <w:color w:val="auto"/>
              </w:rPr>
              <w:t>12 months or more</w:t>
            </w:r>
          </w:p>
        </w:tc>
        <w:tc>
          <w:tcPr>
            <w:tcW w:w="680" w:type="dxa"/>
            <w:vAlign w:val="bottom"/>
          </w:tcPr>
          <w:p>
            <w:pPr>
              <w:spacing w:after="0"/>
              <w:rPr>
                <w:sz w:val="12"/>
                <w:szCs w:val="12"/>
                <w:color w:val="auto"/>
              </w:rPr>
            </w:pPr>
          </w:p>
        </w:tc>
        <w:tc>
          <w:tcPr>
            <w:tcW w:w="58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280" w:type="dxa"/>
            <w:vAlign w:val="bottom"/>
          </w:tcPr>
          <w:p>
            <w:pPr>
              <w:spacing w:after="0"/>
              <w:rPr>
                <w:sz w:val="11"/>
                <w:szCs w:val="11"/>
                <w:color w:val="auto"/>
              </w:rPr>
            </w:pPr>
          </w:p>
        </w:tc>
        <w:tc>
          <w:tcPr>
            <w:tcW w:w="680" w:type="dxa"/>
            <w:vAlign w:val="bottom"/>
            <w:tcBorders>
              <w:top w:val="single" w:sz="8" w:color="auto"/>
            </w:tcBorders>
          </w:tcPr>
          <w:p>
            <w:pPr>
              <w:jc w:val="right"/>
              <w:ind w:right="119"/>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440" w:type="dxa"/>
            <w:vAlign w:val="bottom"/>
          </w:tcPr>
          <w:p>
            <w:pPr>
              <w:spacing w:after="0"/>
              <w:rPr>
                <w:sz w:val="11"/>
                <w:szCs w:val="11"/>
                <w:color w:val="auto"/>
              </w:rPr>
            </w:pPr>
          </w:p>
        </w:tc>
        <w:tc>
          <w:tcPr>
            <w:tcW w:w="680" w:type="dxa"/>
            <w:vAlign w:val="bottom"/>
            <w:tcBorders>
              <w:top w:val="single" w:sz="8" w:color="auto"/>
            </w:tcBorders>
          </w:tcPr>
          <w:p>
            <w:pPr>
              <w:jc w:val="right"/>
              <w:ind w:right="117"/>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80" w:type="dxa"/>
            <w:vAlign w:val="bottom"/>
          </w:tcPr>
          <w:p>
            <w:pPr>
              <w:spacing w:after="0"/>
              <w:rPr>
                <w:sz w:val="14"/>
                <w:szCs w:val="14"/>
                <w:color w:val="auto"/>
              </w:rPr>
            </w:pPr>
          </w:p>
        </w:tc>
        <w:tc>
          <w:tcPr>
            <w:tcW w:w="680" w:type="dxa"/>
            <w:vAlign w:val="bottom"/>
          </w:tcPr>
          <w:p>
            <w:pPr>
              <w:jc w:val="right"/>
              <w:ind w:right="99"/>
              <w:spacing w:after="0"/>
              <w:rPr>
                <w:sz w:val="20"/>
                <w:szCs w:val="20"/>
                <w:color w:val="auto"/>
              </w:rPr>
            </w:pPr>
            <w:r>
              <w:rPr>
                <w:rFonts w:ascii="Arial" w:cs="Arial" w:eastAsia="Arial" w:hAnsi="Arial"/>
                <w:sz w:val="14"/>
                <w:szCs w:val="14"/>
                <w:b w:val="1"/>
                <w:bCs w:val="1"/>
                <w:color w:val="auto"/>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5"/>
              </w:rPr>
              <w:t>Loss</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ind w:left="4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94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680" w:type="dxa"/>
            <w:vAlign w:val="bottom"/>
          </w:tcPr>
          <w:p>
            <w:pPr>
              <w:jc w:val="right"/>
              <w:ind w:right="77"/>
              <w:spacing w:after="0"/>
              <w:rPr>
                <w:sz w:val="20"/>
                <w:szCs w:val="20"/>
                <w:color w:val="auto"/>
              </w:rPr>
            </w:pPr>
            <w:r>
              <w:rPr>
                <w:rFonts w:ascii="Arial" w:cs="Arial" w:eastAsia="Arial" w:hAnsi="Arial"/>
                <w:sz w:val="14"/>
                <w:szCs w:val="14"/>
                <w:b w:val="1"/>
                <w:bCs w:val="1"/>
                <w:color w:val="auto"/>
              </w:rPr>
              <w:t>Value</w:t>
            </w: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$141,915</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w:t>
            </w: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$141,915</w:t>
            </w:r>
          </w:p>
        </w:tc>
        <w:tc>
          <w:tcPr>
            <w:tcW w:w="4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Asset backed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43,882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(64)</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43,882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U.S. government and agency debt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14,677</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14,677</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680" w:type="dxa"/>
            <w:vAlign w:val="bottom"/>
          </w:tcPr>
          <w:p>
            <w:pPr>
              <w:jc w:val="right"/>
              <w:spacing w:after="0"/>
              <w:rPr>
                <w:sz w:val="20"/>
                <w:szCs w:val="20"/>
                <w:color w:val="auto"/>
              </w:rPr>
            </w:pPr>
            <w:r>
              <w:rPr>
                <w:rFonts w:ascii="Arial" w:cs="Arial" w:eastAsia="Arial" w:hAnsi="Arial"/>
                <w:sz w:val="18"/>
                <w:szCs w:val="18"/>
                <w:color w:val="auto"/>
              </w:rPr>
              <w:t>4,319</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(1)</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4,319</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ind w:left="20"/>
              <w:spacing w:after="0"/>
              <w:rPr>
                <w:sz w:val="20"/>
                <w:szCs w:val="20"/>
                <w:color w:val="auto"/>
              </w:rPr>
            </w:pPr>
            <w:r>
              <w:rPr>
                <w:rFonts w:ascii="Arial" w:cs="Arial" w:eastAsia="Arial" w:hAnsi="Arial"/>
                <w:sz w:val="18"/>
                <w:szCs w:val="18"/>
                <w:color w:val="auto"/>
                <w:w w:val="83"/>
              </w:rPr>
              <w:t>16,769</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(2,681)</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(2,681)</w:t>
            </w:r>
          </w:p>
        </w:tc>
        <w:tc>
          <w:tcPr>
            <w:tcW w:w="0" w:type="dxa"/>
            <w:vAlign w:val="bottom"/>
          </w:tcPr>
          <w:p>
            <w:pPr>
              <w:spacing w:after="0"/>
              <w:rPr>
                <w:sz w:val="1"/>
                <w:szCs w:val="1"/>
                <w:color w:val="auto"/>
              </w:rPr>
            </w:pPr>
          </w:p>
        </w:tc>
      </w:tr>
      <w:tr>
        <w:trPr>
          <w:trHeight w:val="20"/>
        </w:trPr>
        <w:tc>
          <w:tcPr>
            <w:tcW w:w="52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8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204,793</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(452)</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20" w:type="dxa"/>
            <w:vAlign w:val="bottom"/>
            <w:gridSpan w:val="2"/>
          </w:tcPr>
          <w:p>
            <w:pPr>
              <w:ind w:left="20"/>
              <w:spacing w:after="0"/>
              <w:rPr>
                <w:sz w:val="20"/>
                <w:szCs w:val="20"/>
                <w:color w:val="auto"/>
              </w:rPr>
            </w:pPr>
            <w:r>
              <w:rPr>
                <w:rFonts w:ascii="Arial" w:cs="Arial" w:eastAsia="Arial" w:hAnsi="Arial"/>
                <w:sz w:val="18"/>
                <w:szCs w:val="18"/>
                <w:color w:val="auto"/>
              </w:rPr>
              <w:t>16,769</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60"/>
              <w:spacing w:after="0"/>
              <w:rPr>
                <w:sz w:val="20"/>
                <w:szCs w:val="20"/>
                <w:color w:val="auto"/>
              </w:rPr>
            </w:pPr>
            <w:r>
              <w:rPr>
                <w:rFonts w:ascii="Arial" w:cs="Arial" w:eastAsia="Arial" w:hAnsi="Arial"/>
                <w:sz w:val="18"/>
                <w:szCs w:val="18"/>
                <w:color w:val="auto"/>
              </w:rPr>
              <w:t>(2,681)</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221,562</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(3,133)</w:t>
            </w:r>
          </w:p>
        </w:tc>
        <w:tc>
          <w:tcPr>
            <w:tcW w:w="0" w:type="dxa"/>
            <w:vAlign w:val="bottom"/>
          </w:tcPr>
          <w:p>
            <w:pPr>
              <w:spacing w:after="0"/>
              <w:rPr>
                <w:sz w:val="1"/>
                <w:szCs w:val="1"/>
                <w:color w:val="auto"/>
              </w:rPr>
            </w:pPr>
          </w:p>
        </w:tc>
      </w:tr>
      <w:tr>
        <w:trPr>
          <w:trHeight w:val="20"/>
        </w:trPr>
        <w:tc>
          <w:tcPr>
            <w:tcW w:w="5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Supplemental Financial Information (in thousands):</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4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79"/>
              </w:rPr>
              <w:t>February 1,</w:t>
            </w:r>
          </w:p>
        </w:tc>
        <w:tc>
          <w:tcPr>
            <w:tcW w:w="5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5040" w:type="dxa"/>
            <w:vAlign w:val="bottom"/>
            <w:gridSpan w:val="3"/>
          </w:tcPr>
          <w:p>
            <w:pPr>
              <w:jc w:val="right"/>
              <w:ind w:right="59"/>
              <w:spacing w:after="0"/>
              <w:rPr>
                <w:sz w:val="20"/>
                <w:szCs w:val="20"/>
                <w:color w:val="auto"/>
              </w:rPr>
            </w:pPr>
            <w:r>
              <w:rPr>
                <w:rFonts w:ascii="Arial" w:cs="Arial" w:eastAsia="Arial" w:hAnsi="Arial"/>
                <w:sz w:val="14"/>
                <w:szCs w:val="14"/>
                <w:b w:val="1"/>
                <w:bCs w:val="1"/>
                <w:color w:val="auto"/>
              </w:rPr>
              <w:t>2014</w:t>
            </w:r>
          </w:p>
        </w:tc>
        <w:tc>
          <w:tcPr>
            <w:tcW w:w="120" w:type="dxa"/>
            <w:vAlign w:val="bottom"/>
          </w:tcPr>
          <w:p>
            <w:pPr>
              <w:spacing w:after="0"/>
              <w:rPr>
                <w:sz w:val="14"/>
                <w:szCs w:val="14"/>
                <w:color w:val="auto"/>
              </w:rPr>
            </w:pPr>
          </w:p>
        </w:tc>
        <w:tc>
          <w:tcPr>
            <w:tcW w:w="1240" w:type="dxa"/>
            <w:vAlign w:val="bottom"/>
            <w:gridSpan w:val="3"/>
          </w:tcPr>
          <w:p>
            <w:pPr>
              <w:jc w:val="center"/>
              <w:ind w:left="475"/>
              <w:spacing w:after="0"/>
              <w:rPr>
                <w:sz w:val="20"/>
                <w:szCs w:val="20"/>
                <w:color w:val="auto"/>
              </w:rPr>
            </w:pPr>
            <w:r>
              <w:rPr>
                <w:rFonts w:ascii="Arial" w:cs="Arial" w:eastAsia="Arial" w:hAnsi="Arial"/>
                <w:sz w:val="14"/>
                <w:szCs w:val="14"/>
                <w:b w:val="1"/>
                <w:bCs w:val="1"/>
                <w:color w:val="auto"/>
                <w:w w:val="89"/>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9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and cash equivalents:</w:t>
            </w:r>
          </w:p>
        </w:tc>
        <w:tc>
          <w:tcPr>
            <w:tcW w:w="43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right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left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tcPr>
          <w:p>
            <w:pPr>
              <w:spacing w:after="0"/>
              <w:rPr>
                <w:sz w:val="20"/>
                <w:szCs w:val="20"/>
                <w:color w:val="auto"/>
              </w:rPr>
            </w:pPr>
            <w:r>
              <w:rPr>
                <w:rFonts w:ascii="Arial" w:cs="Arial" w:eastAsia="Arial" w:hAnsi="Arial"/>
                <w:sz w:val="18"/>
                <w:szCs w:val="18"/>
                <w:color w:val="auto"/>
              </w:rPr>
              <w:t>Cash</w:t>
            </w:r>
          </w:p>
        </w:tc>
        <w:tc>
          <w:tcPr>
            <w:tcW w:w="5160" w:type="dxa"/>
            <w:vAlign w:val="bottom"/>
            <w:gridSpan w:val="4"/>
          </w:tcPr>
          <w:p>
            <w:pPr>
              <w:jc w:val="right"/>
              <w:ind w:right="60"/>
              <w:spacing w:after="0"/>
              <w:rPr>
                <w:sz w:val="20"/>
                <w:szCs w:val="20"/>
                <w:color w:val="auto"/>
              </w:rPr>
            </w:pPr>
            <w:r>
              <w:rPr>
                <w:rFonts w:ascii="Arial" w:cs="Arial" w:eastAsia="Arial" w:hAnsi="Arial"/>
                <w:sz w:val="18"/>
                <w:szCs w:val="18"/>
                <w:color w:val="auto"/>
              </w:rPr>
              <w:t>$ 694,789</w:t>
            </w: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$ 583,527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432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20" w:type="dxa"/>
            <w:vAlign w:val="bottom"/>
            <w:tcBorders>
              <w:lef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5160" w:type="dxa"/>
            <w:vAlign w:val="bottom"/>
            <w:gridSpan w:val="4"/>
          </w:tcPr>
          <w:p>
            <w:pPr>
              <w:jc w:val="right"/>
              <w:ind w:right="60"/>
              <w:spacing w:after="0"/>
              <w:rPr>
                <w:sz w:val="20"/>
                <w:szCs w:val="20"/>
                <w:color w:val="auto"/>
              </w:rPr>
            </w:pPr>
            <w:r>
              <w:rPr>
                <w:rFonts w:ascii="Arial" w:cs="Arial" w:eastAsia="Arial" w:hAnsi="Arial"/>
                <w:sz w:val="18"/>
                <w:szCs w:val="18"/>
                <w:color w:val="auto"/>
              </w:rPr>
              <w:t>247,958</w:t>
            </w: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119,874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debt</w:t>
            </w:r>
          </w:p>
        </w:tc>
        <w:tc>
          <w:tcPr>
            <w:tcW w:w="516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11,999</w:t>
            </w:r>
          </w:p>
        </w:tc>
        <w:tc>
          <w:tcPr>
            <w:tcW w:w="12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27,029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5160" w:type="dxa"/>
            <w:vAlign w:val="bottom"/>
            <w:gridSpan w:val="4"/>
          </w:tcPr>
          <w:p>
            <w:pPr>
              <w:jc w:val="right"/>
              <w:ind w:right="60"/>
              <w:spacing w:after="0"/>
              <w:rPr>
                <w:sz w:val="20"/>
                <w:szCs w:val="20"/>
                <w:color w:val="auto"/>
              </w:rPr>
            </w:pPr>
            <w:r>
              <w:rPr>
                <w:rFonts w:ascii="Arial" w:cs="Arial" w:eastAsia="Arial" w:hAnsi="Arial"/>
                <w:sz w:val="18"/>
                <w:szCs w:val="18"/>
                <w:color w:val="auto"/>
              </w:rPr>
              <w:t>4,800</w:t>
            </w:r>
          </w:p>
        </w:tc>
        <w:tc>
          <w:tcPr>
            <w:tcW w:w="5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516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3,400</w:t>
            </w:r>
          </w:p>
        </w:tc>
        <w:tc>
          <w:tcPr>
            <w:tcW w:w="5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4480" w:type="dxa"/>
            <w:vAlign w:val="bottom"/>
            <w:gridSpan w:val="2"/>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2,804</w:t>
            </w: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21,523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980" w:type="dxa"/>
            <w:vAlign w:val="bottom"/>
          </w:tcPr>
          <w:p>
            <w:pPr>
              <w:spacing w:after="0"/>
              <w:rPr>
                <w:sz w:val="2"/>
                <w:szCs w:val="2"/>
                <w:color w:val="auto"/>
              </w:rPr>
            </w:pPr>
          </w:p>
        </w:tc>
        <w:tc>
          <w:tcPr>
            <w:tcW w:w="4320" w:type="dxa"/>
            <w:vAlign w:val="bottom"/>
          </w:tcPr>
          <w:p>
            <w:pPr>
              <w:spacing w:after="0"/>
              <w:rPr>
                <w:sz w:val="2"/>
                <w:szCs w:val="2"/>
                <w:color w:val="auto"/>
              </w:rPr>
            </w:pPr>
          </w:p>
        </w:tc>
        <w:tc>
          <w:tcPr>
            <w:tcW w:w="160" w:type="dxa"/>
            <w:vAlign w:val="bottom"/>
            <w:tcBorders>
              <w:right w:val="single" w:sz="8" w:color="auto"/>
            </w:tcBorders>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20" w:type="dxa"/>
            <w:vAlign w:val="bottom"/>
            <w:tcBorders>
              <w:left w:val="single" w:sz="8" w:color="auto"/>
            </w:tcBorders>
          </w:tcPr>
          <w:p>
            <w:pPr>
              <w:spacing w:after="0"/>
              <w:rPr>
                <w:sz w:val="2"/>
                <w:szCs w:val="2"/>
                <w:color w:val="auto"/>
              </w:rPr>
            </w:pPr>
          </w:p>
        </w:tc>
        <w:tc>
          <w:tcPr>
            <w:tcW w:w="50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w:t>
            </w:r>
          </w:p>
        </w:tc>
        <w:tc>
          <w:tcPr>
            <w:tcW w:w="4480" w:type="dxa"/>
            <w:vAlign w:val="bottom"/>
            <w:tcBorders>
              <w:right w:val="single" w:sz="8" w:color="CCEEFF"/>
            </w:tcBorders>
            <w:gridSpan w:val="2"/>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74"/>
              </w:rPr>
              <w:t>$ 965,750</w:t>
            </w:r>
          </w:p>
        </w:tc>
        <w:tc>
          <w:tcPr>
            <w:tcW w:w="12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$ 751,953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398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84"/>
              </w:rPr>
              <w:t>February 1,</w:t>
            </w: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5040" w:type="dxa"/>
            <w:vAlign w:val="bottom"/>
            <w:gridSpan w:val="3"/>
          </w:tcPr>
          <w:p>
            <w:pPr>
              <w:jc w:val="right"/>
              <w:ind w:right="19"/>
              <w:spacing w:after="0"/>
              <w:rPr>
                <w:sz w:val="20"/>
                <w:szCs w:val="20"/>
                <w:color w:val="auto"/>
              </w:rPr>
            </w:pPr>
            <w:r>
              <w:rPr>
                <w:rFonts w:ascii="Arial" w:cs="Arial" w:eastAsia="Arial" w:hAnsi="Arial"/>
                <w:sz w:val="14"/>
                <w:szCs w:val="14"/>
                <w:b w:val="1"/>
                <w:bCs w:val="1"/>
                <w:color w:val="auto"/>
              </w:rPr>
              <w:t>2014</w:t>
            </w:r>
          </w:p>
        </w:tc>
        <w:tc>
          <w:tcPr>
            <w:tcW w:w="120" w:type="dxa"/>
            <w:vAlign w:val="bottom"/>
          </w:tcPr>
          <w:p>
            <w:pPr>
              <w:spacing w:after="0"/>
              <w:rPr>
                <w:sz w:val="14"/>
                <w:szCs w:val="14"/>
                <w:color w:val="auto"/>
              </w:rPr>
            </w:pPr>
          </w:p>
        </w:tc>
        <w:tc>
          <w:tcPr>
            <w:tcW w:w="1240" w:type="dxa"/>
            <w:vAlign w:val="bottom"/>
            <w:gridSpan w:val="3"/>
          </w:tcPr>
          <w:p>
            <w:pPr>
              <w:jc w:val="center"/>
              <w:ind w:left="475"/>
              <w:spacing w:after="0"/>
              <w:rPr>
                <w:sz w:val="20"/>
                <w:szCs w:val="20"/>
                <w:color w:val="auto"/>
              </w:rPr>
            </w:pPr>
            <w:r>
              <w:rPr>
                <w:rFonts w:ascii="Arial" w:cs="Arial" w:eastAsia="Arial" w:hAnsi="Arial"/>
                <w:sz w:val="14"/>
                <w:szCs w:val="14"/>
                <w:b w:val="1"/>
                <w:bCs w:val="1"/>
                <w:color w:val="auto"/>
                <w:w w:val="89"/>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9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43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right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left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tcPr>
          <w:p>
            <w:pPr>
              <w:spacing w:after="0"/>
              <w:rPr>
                <w:sz w:val="20"/>
                <w:szCs w:val="20"/>
                <w:color w:val="auto"/>
              </w:rPr>
            </w:pPr>
            <w:r>
              <w:rPr>
                <w:rFonts w:ascii="Arial" w:cs="Arial" w:eastAsia="Arial" w:hAnsi="Arial"/>
                <w:sz w:val="18"/>
                <w:szCs w:val="18"/>
                <w:color w:val="auto"/>
              </w:rPr>
              <w:t>Work-in-process</w:t>
            </w:r>
          </w:p>
        </w:tc>
        <w:tc>
          <w:tcPr>
            <w:tcW w:w="5160" w:type="dxa"/>
            <w:vAlign w:val="bottom"/>
            <w:gridSpan w:val="4"/>
          </w:tcPr>
          <w:p>
            <w:pPr>
              <w:jc w:val="right"/>
              <w:spacing w:after="0"/>
              <w:rPr>
                <w:sz w:val="20"/>
                <w:szCs w:val="20"/>
                <w:color w:val="auto"/>
              </w:rPr>
            </w:pPr>
            <w:r>
              <w:rPr>
                <w:rFonts w:ascii="Arial" w:cs="Arial" w:eastAsia="Arial" w:hAnsi="Arial"/>
                <w:sz w:val="18"/>
                <w:szCs w:val="18"/>
                <w:color w:val="auto"/>
              </w:rPr>
              <w:t>$ 195,495</w:t>
            </w: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$ 140,805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4480" w:type="dxa"/>
            <w:vAlign w:val="bottom"/>
            <w:tcBorders>
              <w:right w:val="single" w:sz="8" w:color="CCEEFF"/>
            </w:tcBorders>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152,366</w:t>
            </w:r>
          </w:p>
        </w:tc>
        <w:tc>
          <w:tcPr>
            <w:tcW w:w="56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109,615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000" w:type="dxa"/>
            <w:vAlign w:val="bottom"/>
            <w:gridSpan w:val="2"/>
          </w:tcPr>
          <w:p>
            <w:pPr>
              <w:spacing w:after="0"/>
              <w:rPr>
                <w:sz w:val="20"/>
                <w:szCs w:val="20"/>
                <w:color w:val="auto"/>
              </w:rPr>
            </w:pPr>
            <w:r>
              <w:rPr>
                <w:rFonts w:ascii="Arial" w:cs="Arial" w:eastAsia="Arial" w:hAnsi="Arial"/>
                <w:sz w:val="18"/>
                <w:szCs w:val="18"/>
                <w:color w:val="auto"/>
              </w:rPr>
              <w:t>Inventories</w:t>
            </w:r>
          </w:p>
        </w:tc>
        <w:tc>
          <w:tcPr>
            <w:tcW w:w="4480" w:type="dxa"/>
            <w:vAlign w:val="bottom"/>
            <w:gridSpan w:val="2"/>
          </w:tcPr>
          <w:p>
            <w:pPr>
              <w:spacing w:after="0"/>
              <w:rPr>
                <w:sz w:val="19"/>
                <w:szCs w:val="19"/>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w w:val="82"/>
              </w:rPr>
              <w:t>$ 347,861</w:t>
            </w: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$ 250,420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398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0"/>
              </w:rPr>
              <w:t>February 1,</w:t>
            </w:r>
          </w:p>
        </w:tc>
        <w:tc>
          <w:tcPr>
            <w:tcW w:w="500" w:type="dxa"/>
            <w:vAlign w:val="bottom"/>
          </w:tcPr>
          <w:p>
            <w:pPr>
              <w:spacing w:after="0"/>
              <w:rPr>
                <w:sz w:val="24"/>
                <w:szCs w:val="2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0"/>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5040" w:type="dxa"/>
            <w:vAlign w:val="bottom"/>
            <w:gridSpan w:val="3"/>
          </w:tcPr>
          <w:p>
            <w:pPr>
              <w:jc w:val="right"/>
              <w:ind w:right="139"/>
              <w:spacing w:after="0"/>
              <w:rPr>
                <w:sz w:val="20"/>
                <w:szCs w:val="20"/>
                <w:color w:val="auto"/>
              </w:rPr>
            </w:pPr>
            <w:r>
              <w:rPr>
                <w:rFonts w:ascii="Arial" w:cs="Arial" w:eastAsia="Arial" w:hAnsi="Arial"/>
                <w:sz w:val="14"/>
                <w:szCs w:val="14"/>
                <w:b w:val="1"/>
                <w:bCs w:val="1"/>
                <w:color w:val="auto"/>
              </w:rPr>
              <w:t>2014</w:t>
            </w:r>
          </w:p>
        </w:tc>
        <w:tc>
          <w:tcPr>
            <w:tcW w:w="120" w:type="dxa"/>
            <w:vAlign w:val="bottom"/>
          </w:tcPr>
          <w:p>
            <w:pPr>
              <w:spacing w:after="0"/>
              <w:rPr>
                <w:sz w:val="14"/>
                <w:szCs w:val="14"/>
                <w:color w:val="auto"/>
              </w:rPr>
            </w:pPr>
          </w:p>
        </w:tc>
        <w:tc>
          <w:tcPr>
            <w:tcW w:w="124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9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43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right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left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5040" w:type="dxa"/>
            <w:vAlign w:val="bottom"/>
            <w:gridSpan w:val="3"/>
          </w:tcPr>
          <w:p>
            <w:pPr>
              <w:jc w:val="right"/>
              <w:spacing w:after="0"/>
              <w:rPr>
                <w:sz w:val="20"/>
                <w:szCs w:val="20"/>
                <w:color w:val="auto"/>
              </w:rPr>
            </w:pPr>
            <w:r>
              <w:rPr>
                <w:rFonts w:ascii="Arial" w:cs="Arial" w:eastAsia="Arial" w:hAnsi="Arial"/>
                <w:sz w:val="18"/>
                <w:szCs w:val="18"/>
                <w:color w:val="auto"/>
              </w:rPr>
              <w:t>$ 562,038</w:t>
            </w:r>
          </w:p>
        </w:tc>
        <w:tc>
          <w:tcPr>
            <w:tcW w:w="120" w:type="dxa"/>
            <w:vAlign w:val="bottom"/>
          </w:tcPr>
          <w:p>
            <w:pPr>
              <w:spacing w:after="0"/>
              <w:rPr>
                <w:sz w:val="18"/>
                <w:szCs w:val="18"/>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$ 532,420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50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tcBorders>
              <w:left w:val="single" w:sz="8" w:color="CCEEFF"/>
            </w:tcBorders>
            <w:shd w:val="clear" w:color="auto" w:fill="CCEEFF"/>
          </w:tcPr>
          <w:p>
            <w:pPr>
              <w:spacing w:after="0"/>
              <w:rPr>
                <w:sz w:val="18"/>
                <w:szCs w:val="18"/>
                <w:color w:val="auto"/>
              </w:rPr>
            </w:pPr>
          </w:p>
        </w:tc>
        <w:tc>
          <w:tcPr>
            <w:tcW w:w="12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tcPr>
          <w:p>
            <w:pPr>
              <w:spacing w:after="0"/>
              <w:rPr>
                <w:sz w:val="20"/>
                <w:szCs w:val="20"/>
                <w:color w:val="auto"/>
              </w:rPr>
            </w:pPr>
            <w:r>
              <w:rPr>
                <w:rFonts w:ascii="Arial" w:cs="Arial" w:eastAsia="Arial" w:hAnsi="Arial"/>
                <w:sz w:val="18"/>
                <w:szCs w:val="18"/>
                <w:color w:val="auto"/>
              </w:rPr>
              <w:t>Computer software</w:t>
            </w:r>
          </w:p>
        </w:tc>
        <w:tc>
          <w:tcPr>
            <w:tcW w:w="5040" w:type="dxa"/>
            <w:vAlign w:val="bottom"/>
            <w:gridSpan w:val="3"/>
          </w:tcPr>
          <w:p>
            <w:pPr>
              <w:jc w:val="right"/>
              <w:spacing w:after="0"/>
              <w:rPr>
                <w:sz w:val="20"/>
                <w:szCs w:val="20"/>
                <w:color w:val="auto"/>
              </w:rPr>
            </w:pPr>
            <w:r>
              <w:rPr>
                <w:rFonts w:ascii="Arial" w:cs="Arial" w:eastAsia="Arial" w:hAnsi="Arial"/>
                <w:sz w:val="18"/>
                <w:szCs w:val="18"/>
                <w:color w:val="auto"/>
              </w:rPr>
              <w:t>96,096</w:t>
            </w:r>
          </w:p>
        </w:tc>
        <w:tc>
          <w:tcPr>
            <w:tcW w:w="120" w:type="dxa"/>
            <w:vAlign w:val="bottom"/>
          </w:tcPr>
          <w:p>
            <w:pPr>
              <w:spacing w:after="0"/>
              <w:rPr>
                <w:sz w:val="18"/>
                <w:szCs w:val="18"/>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89,548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50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20" w:type="dxa"/>
            <w:vAlign w:val="bottom"/>
            <w:tcBorders>
              <w:left w:val="single" w:sz="8" w:color="CCEEFF"/>
            </w:tcBorders>
            <w:shd w:val="clear" w:color="auto" w:fill="CCEEFF"/>
          </w:tcPr>
          <w:p>
            <w:pPr>
              <w:spacing w:after="0"/>
              <w:rPr>
                <w:sz w:val="18"/>
                <w:szCs w:val="18"/>
                <w:color w:val="auto"/>
              </w:rPr>
            </w:pPr>
          </w:p>
        </w:tc>
        <w:tc>
          <w:tcPr>
            <w:tcW w:w="12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tcPr>
          <w:p>
            <w:pPr>
              <w:spacing w:after="0"/>
              <w:rPr>
                <w:sz w:val="20"/>
                <w:szCs w:val="20"/>
                <w:color w:val="auto"/>
              </w:rPr>
            </w:pPr>
            <w:r>
              <w:rPr>
                <w:rFonts w:ascii="Arial" w:cs="Arial" w:eastAsia="Arial" w:hAnsi="Arial"/>
                <w:sz w:val="18"/>
                <w:szCs w:val="18"/>
                <w:color w:val="auto"/>
              </w:rPr>
              <w:t>Building improvements</w:t>
            </w:r>
          </w:p>
        </w:tc>
        <w:tc>
          <w:tcPr>
            <w:tcW w:w="5040" w:type="dxa"/>
            <w:vAlign w:val="bottom"/>
            <w:gridSpan w:val="3"/>
          </w:tcPr>
          <w:p>
            <w:pPr>
              <w:jc w:val="right"/>
              <w:spacing w:after="0"/>
              <w:rPr>
                <w:sz w:val="20"/>
                <w:szCs w:val="20"/>
                <w:color w:val="auto"/>
              </w:rPr>
            </w:pPr>
            <w:r>
              <w:rPr>
                <w:rFonts w:ascii="Arial" w:cs="Arial" w:eastAsia="Arial" w:hAnsi="Arial"/>
                <w:sz w:val="18"/>
                <w:szCs w:val="18"/>
                <w:color w:val="auto"/>
              </w:rPr>
              <w:t>49,645</w:t>
            </w:r>
          </w:p>
        </w:tc>
        <w:tc>
          <w:tcPr>
            <w:tcW w:w="120" w:type="dxa"/>
            <w:vAlign w:val="bottom"/>
          </w:tcPr>
          <w:p>
            <w:pPr>
              <w:spacing w:after="0"/>
              <w:rPr>
                <w:sz w:val="18"/>
                <w:szCs w:val="18"/>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49,516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50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49,060</w:t>
            </w:r>
          </w:p>
        </w:tc>
        <w:tc>
          <w:tcPr>
            <w:tcW w:w="120" w:type="dxa"/>
            <w:vAlign w:val="bottom"/>
            <w:tcBorders>
              <w:left w:val="single" w:sz="8" w:color="CCEEFF"/>
            </w:tcBorders>
            <w:shd w:val="clear" w:color="auto" w:fill="CCEEFF"/>
          </w:tcPr>
          <w:p>
            <w:pPr>
              <w:spacing w:after="0"/>
              <w:rPr>
                <w:sz w:val="18"/>
                <w:szCs w:val="18"/>
                <w:color w:val="auto"/>
              </w:rPr>
            </w:pPr>
          </w:p>
        </w:tc>
        <w:tc>
          <w:tcPr>
            <w:tcW w:w="12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46,205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tcPr>
          <w:p>
            <w:pPr>
              <w:spacing w:after="0"/>
              <w:rPr>
                <w:sz w:val="20"/>
                <w:szCs w:val="20"/>
                <w:color w:val="auto"/>
              </w:rPr>
            </w:pPr>
            <w:r>
              <w:rPr>
                <w:rFonts w:ascii="Arial" w:cs="Arial" w:eastAsia="Arial" w:hAnsi="Arial"/>
                <w:sz w:val="18"/>
                <w:szCs w:val="18"/>
                <w:color w:val="auto"/>
              </w:rPr>
              <w:t>Furniture and fixtures</w:t>
            </w:r>
          </w:p>
        </w:tc>
        <w:tc>
          <w:tcPr>
            <w:tcW w:w="5040" w:type="dxa"/>
            <w:vAlign w:val="bottom"/>
            <w:gridSpan w:val="3"/>
          </w:tcPr>
          <w:p>
            <w:pPr>
              <w:jc w:val="right"/>
              <w:spacing w:after="0"/>
              <w:rPr>
                <w:sz w:val="20"/>
                <w:szCs w:val="20"/>
                <w:color w:val="auto"/>
              </w:rPr>
            </w:pPr>
            <w:r>
              <w:rPr>
                <w:rFonts w:ascii="Arial" w:cs="Arial" w:eastAsia="Arial" w:hAnsi="Arial"/>
                <w:sz w:val="18"/>
                <w:szCs w:val="18"/>
                <w:color w:val="auto"/>
              </w:rPr>
              <w:t>27,621</w:t>
            </w:r>
          </w:p>
        </w:tc>
        <w:tc>
          <w:tcPr>
            <w:tcW w:w="120" w:type="dxa"/>
            <w:vAlign w:val="bottom"/>
          </w:tcPr>
          <w:p>
            <w:pPr>
              <w:spacing w:after="0"/>
              <w:rPr>
                <w:sz w:val="18"/>
                <w:szCs w:val="18"/>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25,301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432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2,911</w:t>
            </w:r>
          </w:p>
        </w:tc>
        <w:tc>
          <w:tcPr>
            <w:tcW w:w="120" w:type="dxa"/>
            <w:vAlign w:val="bottom"/>
            <w:tcBorders>
              <w:left w:val="single" w:sz="8" w:color="CCEEFF"/>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7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5,333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3980" w:type="dxa"/>
            <w:vAlign w:val="bottom"/>
          </w:tcPr>
          <w:p>
            <w:pPr>
              <w:spacing w:after="0"/>
              <w:rPr>
                <w:sz w:val="19"/>
                <w:szCs w:val="19"/>
                <w:color w:val="auto"/>
              </w:rPr>
            </w:pPr>
          </w:p>
        </w:tc>
        <w:tc>
          <w:tcPr>
            <w:tcW w:w="5040" w:type="dxa"/>
            <w:vAlign w:val="bottom"/>
            <w:gridSpan w:val="3"/>
          </w:tcPr>
          <w:p>
            <w:pPr>
              <w:jc w:val="right"/>
              <w:spacing w:after="0"/>
              <w:rPr>
                <w:sz w:val="20"/>
                <w:szCs w:val="20"/>
                <w:color w:val="auto"/>
              </w:rPr>
            </w:pPr>
            <w:r>
              <w:rPr>
                <w:rFonts w:ascii="Arial" w:cs="Arial" w:eastAsia="Arial" w:hAnsi="Arial"/>
                <w:sz w:val="18"/>
                <w:szCs w:val="18"/>
                <w:color w:val="auto"/>
              </w:rPr>
              <w:t>985,064</w:t>
            </w:r>
          </w:p>
        </w:tc>
        <w:tc>
          <w:tcPr>
            <w:tcW w:w="120" w:type="dxa"/>
            <w:vAlign w:val="bottom"/>
          </w:tcPr>
          <w:p>
            <w:pPr>
              <w:spacing w:after="0"/>
              <w:rPr>
                <w:sz w:val="19"/>
                <w:szCs w:val="19"/>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946,016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Less: Accumulated depreciation</w:t>
            </w:r>
          </w:p>
        </w:tc>
        <w:tc>
          <w:tcPr>
            <w:tcW w:w="43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(628,899)</w:t>
            </w:r>
          </w:p>
        </w:tc>
        <w:tc>
          <w:tcPr>
            <w:tcW w:w="120" w:type="dxa"/>
            <w:vAlign w:val="bottom"/>
            <w:tcBorders>
              <w:left w:val="single" w:sz="8" w:color="CCEEFF"/>
            </w:tcBorders>
            <w:shd w:val="clear" w:color="auto" w:fill="CCEEFF"/>
          </w:tcPr>
          <w:p>
            <w:pPr>
              <w:spacing w:after="0"/>
              <w:rPr>
                <w:sz w:val="18"/>
                <w:szCs w:val="18"/>
                <w:color w:val="auto"/>
              </w:rPr>
            </w:pPr>
          </w:p>
        </w:tc>
        <w:tc>
          <w:tcPr>
            <w:tcW w:w="134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(573,045)</w:t>
            </w:r>
          </w:p>
        </w:tc>
        <w:tc>
          <w:tcPr>
            <w:tcW w:w="0" w:type="dxa"/>
            <w:vAlign w:val="bottom"/>
          </w:tcPr>
          <w:p>
            <w:pPr>
              <w:spacing w:after="0"/>
              <w:rPr>
                <w:sz w:val="1"/>
                <w:szCs w:val="1"/>
                <w:color w:val="auto"/>
              </w:rPr>
            </w:pPr>
          </w:p>
        </w:tc>
      </w:tr>
      <w:tr>
        <w:trPr>
          <w:trHeight w:val="20"/>
        </w:trPr>
        <w:tc>
          <w:tcPr>
            <w:tcW w:w="4000" w:type="dxa"/>
            <w:vAlign w:val="bottom"/>
            <w:gridSpan w:val="2"/>
            <w:vMerge w:val="restart"/>
          </w:tcPr>
          <w:p>
            <w:pPr>
              <w:spacing w:after="0"/>
              <w:rPr>
                <w:sz w:val="20"/>
                <w:szCs w:val="20"/>
                <w:color w:val="auto"/>
              </w:rPr>
            </w:pPr>
            <w:r>
              <w:rPr>
                <w:rFonts w:ascii="Arial" w:cs="Arial" w:eastAsia="Arial" w:hAnsi="Arial"/>
                <w:sz w:val="18"/>
                <w:szCs w:val="18"/>
                <w:color w:val="auto"/>
              </w:rPr>
              <w:t>Property and equipment, net</w:t>
            </w:r>
          </w:p>
        </w:tc>
        <w:tc>
          <w:tcPr>
            <w:tcW w:w="4320" w:type="dxa"/>
            <w:vAlign w:val="bottom"/>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74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000" w:type="dxa"/>
            <w:vAlign w:val="bottom"/>
            <w:gridSpan w:val="2"/>
            <w:vMerge w:val="continue"/>
          </w:tcPr>
          <w:p>
            <w:pPr>
              <w:spacing w:after="0"/>
              <w:rPr>
                <w:sz w:val="19"/>
                <w:szCs w:val="19"/>
                <w:color w:val="auto"/>
              </w:rPr>
            </w:pPr>
          </w:p>
        </w:tc>
        <w:tc>
          <w:tcPr>
            <w:tcW w:w="5040" w:type="dxa"/>
            <w:vAlign w:val="bottom"/>
            <w:gridSpan w:val="3"/>
          </w:tcPr>
          <w:p>
            <w:pPr>
              <w:jc w:val="right"/>
              <w:spacing w:after="0"/>
              <w:rPr>
                <w:sz w:val="20"/>
                <w:szCs w:val="20"/>
                <w:color w:val="auto"/>
              </w:rPr>
            </w:pPr>
            <w:r>
              <w:rPr>
                <w:rFonts w:ascii="Arial" w:cs="Arial" w:eastAsia="Arial" w:hAnsi="Arial"/>
                <w:sz w:val="18"/>
                <w:szCs w:val="18"/>
                <w:color w:val="auto"/>
              </w:rPr>
              <w:t>$ 356,165</w:t>
            </w:r>
          </w:p>
        </w:tc>
        <w:tc>
          <w:tcPr>
            <w:tcW w:w="120" w:type="dxa"/>
            <w:vAlign w:val="bottom"/>
          </w:tcPr>
          <w:p>
            <w:pPr>
              <w:spacing w:after="0"/>
              <w:rPr>
                <w:sz w:val="19"/>
                <w:szCs w:val="19"/>
                <w:color w:val="auto"/>
              </w:rPr>
            </w:pPr>
          </w:p>
        </w:tc>
        <w:tc>
          <w:tcPr>
            <w:tcW w:w="1240" w:type="dxa"/>
            <w:vAlign w:val="bottom"/>
            <w:gridSpan w:val="3"/>
          </w:tcPr>
          <w:p>
            <w:pPr>
              <w:jc w:val="right"/>
              <w:spacing w:after="0"/>
              <w:rPr>
                <w:sz w:val="20"/>
                <w:szCs w:val="20"/>
                <w:color w:val="auto"/>
              </w:rPr>
            </w:pPr>
            <w:r>
              <w:rPr>
                <w:rFonts w:ascii="Arial" w:cs="Arial" w:eastAsia="Arial" w:hAnsi="Arial"/>
                <w:sz w:val="18"/>
                <w:szCs w:val="18"/>
                <w:color w:val="auto"/>
              </w:rPr>
              <w:t>$ 372,971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4320" w:type="dxa"/>
            <w:vAlign w:val="bottom"/>
            <w:vMerge w:val="restart"/>
          </w:tcPr>
          <w:p>
            <w:pPr>
              <w:jc w:val="right"/>
              <w:ind w:right="2895"/>
              <w:spacing w:after="0"/>
              <w:rPr>
                <w:sz w:val="20"/>
                <w:szCs w:val="20"/>
                <w:color w:val="auto"/>
              </w:rPr>
            </w:pPr>
            <w:r>
              <w:rPr>
                <w:rFonts w:ascii="Arial" w:cs="Arial" w:eastAsia="Arial" w:hAnsi="Arial"/>
                <w:sz w:val="18"/>
                <w:szCs w:val="18"/>
                <w:color w:val="auto"/>
              </w:rPr>
              <w:t>76</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3980" w:type="dxa"/>
            <w:vAlign w:val="bottom"/>
          </w:tcPr>
          <w:p>
            <w:pPr>
              <w:spacing w:after="0"/>
              <w:rPr>
                <w:sz w:val="24"/>
                <w:szCs w:val="24"/>
                <w:color w:val="auto"/>
              </w:rPr>
            </w:pPr>
          </w:p>
        </w:tc>
        <w:tc>
          <w:tcPr>
            <w:tcW w:w="432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recorded depreciation expense of $77.2 million, $70.7 million and $63.5 million for fiscal 2014, 2013 and 2012, respectively.</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42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7"/>
              </w:rPr>
              <w:t>February 1,</w:t>
            </w:r>
          </w:p>
        </w:tc>
        <w:tc>
          <w:tcPr>
            <w:tcW w:w="62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February 2,</w:t>
            </w:r>
          </w:p>
        </w:tc>
      </w:tr>
      <w:tr>
        <w:trPr>
          <w:trHeight w:val="161"/>
        </w:trPr>
        <w:tc>
          <w:tcPr>
            <w:tcW w:w="8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6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84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83,521</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81,523</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19,282</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26,291</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14,565</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14,486</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13,744</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14,056</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Deposits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12,433</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10,451</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16,821</w:t>
            </w:r>
          </w:p>
        </w:tc>
        <w:tc>
          <w:tcPr>
            <w:tcW w:w="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18,078</w:t>
            </w:r>
          </w:p>
        </w:tc>
        <w:tc>
          <w:tcPr>
            <w:tcW w:w="100" w:type="dxa"/>
            <w:vAlign w:val="bottom"/>
            <w:shd w:val="clear" w:color="auto" w:fill="CCEEFF"/>
          </w:tcPr>
          <w:p>
            <w:pPr>
              <w:spacing w:after="0"/>
              <w:rPr>
                <w:sz w:val="18"/>
                <w:szCs w:val="18"/>
                <w:color w:val="auto"/>
              </w:rPr>
            </w:pPr>
          </w:p>
        </w:tc>
      </w:tr>
      <w:tr>
        <w:trPr>
          <w:trHeight w:val="222"/>
        </w:trPr>
        <w:tc>
          <w:tcPr>
            <w:tcW w:w="8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160,366</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164,885</w:t>
            </w:r>
          </w:p>
        </w:tc>
        <w:tc>
          <w:tcPr>
            <w:tcW w:w="100" w:type="dxa"/>
            <w:vAlign w:val="bottom"/>
          </w:tcPr>
          <w:p>
            <w:pPr>
              <w:spacing w:after="0"/>
              <w:rPr>
                <w:sz w:val="19"/>
                <w:szCs w:val="19"/>
                <w:color w:val="auto"/>
              </w:rPr>
            </w:pPr>
          </w:p>
        </w:tc>
      </w:tr>
      <w:tr>
        <w:trPr>
          <w:trHeight w:val="20"/>
        </w:trPr>
        <w:tc>
          <w:tcPr>
            <w:tcW w:w="8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Prepaid land use rights, which were previously included in property and equipment, net, have been reclassified to other non-current assets. The revision to the balance sheet at February 2, 2013 was not considered to be material and it had no impact on total assets, total liabilities, results of operations or cash flows. Amortization of technology and other licenses was $25.6 million, $20.3 million and $24.9 million in fiscal 2014, 2013 and 2012, respectively.</w:t>
      </w:r>
    </w:p>
    <w:p>
      <w:pPr>
        <w:spacing w:after="0" w:line="1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42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7"/>
              </w:rPr>
              <w:t>February 1,</w:t>
            </w:r>
          </w:p>
        </w:tc>
        <w:tc>
          <w:tcPr>
            <w:tcW w:w="62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February 2,</w:t>
            </w:r>
          </w:p>
        </w:tc>
      </w:tr>
      <w:tr>
        <w:trPr>
          <w:trHeight w:val="161"/>
        </w:trPr>
        <w:tc>
          <w:tcPr>
            <w:tcW w:w="8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6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84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Accrued rebates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61,616</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51,712</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36,568</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16,298</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18,482</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9,865</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14,589</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14,754</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Accrued share repurchases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22,152</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30,507</w:t>
            </w:r>
          </w:p>
        </w:tc>
        <w:tc>
          <w:tcPr>
            <w:tcW w:w="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29,210</w:t>
            </w:r>
          </w:p>
        </w:tc>
        <w:tc>
          <w:tcPr>
            <w:tcW w:w="100" w:type="dxa"/>
            <w:vAlign w:val="bottom"/>
            <w:shd w:val="clear" w:color="auto" w:fill="CCEEFF"/>
          </w:tcPr>
          <w:p>
            <w:pPr>
              <w:spacing w:after="0"/>
              <w:rPr>
                <w:sz w:val="18"/>
                <w:szCs w:val="18"/>
                <w:color w:val="auto"/>
              </w:rPr>
            </w:pPr>
          </w:p>
        </w:tc>
      </w:tr>
      <w:tr>
        <w:trPr>
          <w:trHeight w:val="222"/>
        </w:trPr>
        <w:tc>
          <w:tcPr>
            <w:tcW w:w="8420" w:type="dxa"/>
            <w:vAlign w:val="bottom"/>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161,762</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143,991</w:t>
            </w:r>
          </w:p>
        </w:tc>
        <w:tc>
          <w:tcPr>
            <w:tcW w:w="100" w:type="dxa"/>
            <w:vAlign w:val="bottom"/>
          </w:tcPr>
          <w:p>
            <w:pPr>
              <w:spacing w:after="0"/>
              <w:rPr>
                <w:sz w:val="19"/>
                <w:szCs w:val="19"/>
                <w:color w:val="auto"/>
              </w:rPr>
            </w:pPr>
          </w:p>
        </w:tc>
      </w:tr>
      <w:tr>
        <w:trPr>
          <w:trHeight w:val="20"/>
        </w:trPr>
        <w:tc>
          <w:tcPr>
            <w:tcW w:w="8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Accrued share repurchases represent amounts due for the Company’s repurchases of its common shares made in the final 3 days of the fiscal year. The repurchased shares are retired immediately after the repurchases were completed.</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w w:val="90"/>
              </w:rPr>
              <w:t>February 1,</w:t>
            </w:r>
          </w:p>
        </w:tc>
        <w:tc>
          <w:tcPr>
            <w:tcW w:w="7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00" w:type="dxa"/>
            <w:vAlign w:val="bottom"/>
            <w:tcBorders>
              <w:bottom w:val="single" w:sz="8" w:color="CCEEFF"/>
            </w:tcBorders>
          </w:tcPr>
          <w:p>
            <w:pPr>
              <w:spacing w:after="0"/>
              <w:rPr>
                <w:sz w:val="14"/>
                <w:szCs w:val="14"/>
                <w:color w:val="auto"/>
              </w:rPr>
            </w:pPr>
          </w:p>
        </w:tc>
        <w:tc>
          <w:tcPr>
            <w:tcW w:w="4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7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4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4360" w:type="dxa"/>
            <w:vAlign w:val="bottom"/>
            <w:gridSpan w:val="2"/>
          </w:tcPr>
          <w:p>
            <w:pPr>
              <w:ind w:left="42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28,959</w:t>
            </w:r>
          </w:p>
        </w:tc>
        <w:tc>
          <w:tcPr>
            <w:tcW w:w="84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34,270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4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4,370</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Other</w:t>
            </w:r>
          </w:p>
        </w:tc>
        <w:tc>
          <w:tcPr>
            <w:tcW w:w="42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9,140</w:t>
            </w:r>
          </w:p>
        </w:tc>
        <w:tc>
          <w:tcPr>
            <w:tcW w:w="7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15,935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4360" w:type="dxa"/>
            <w:vAlign w:val="bottom"/>
            <w:gridSpan w:val="2"/>
            <w:shd w:val="clear" w:color="auto" w:fill="CCEEFF"/>
          </w:tcPr>
          <w:p>
            <w:pPr>
              <w:ind w:left="42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42,469</w:t>
            </w:r>
          </w:p>
        </w:tc>
        <w:tc>
          <w:tcPr>
            <w:tcW w:w="84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56,410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200" w:type="dxa"/>
            <w:vAlign w:val="bottom"/>
            <w:vMerge w:val="restart"/>
          </w:tcPr>
          <w:p>
            <w:pPr>
              <w:jc w:val="right"/>
              <w:ind w:right="2892"/>
              <w:spacing w:after="0"/>
              <w:rPr>
                <w:sz w:val="20"/>
                <w:szCs w:val="20"/>
                <w:color w:val="auto"/>
              </w:rPr>
            </w:pPr>
            <w:r>
              <w:rPr>
                <w:rFonts w:ascii="Arial" w:cs="Arial" w:eastAsia="Arial" w:hAnsi="Arial"/>
                <w:sz w:val="18"/>
                <w:szCs w:val="18"/>
                <w:color w:val="auto"/>
              </w:rPr>
              <w:t>77</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420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00"/>
          </w:cols>
          <w:pgMar w:left="240" w:top="459" w:right="3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accumulated other comprehensive income by components are presented in the following tables (in thousands):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2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120" w:type="dxa"/>
            <w:vAlign w:val="bottom"/>
            <w:gridSpan w:val="6"/>
          </w:tcPr>
          <w:p>
            <w:pPr>
              <w:jc w:val="center"/>
              <w:ind w:right="440"/>
              <w:spacing w:after="0"/>
              <w:rPr>
                <w:sz w:val="20"/>
                <w:szCs w:val="20"/>
                <w:color w:val="auto"/>
              </w:rPr>
            </w:pPr>
            <w:r>
              <w:rPr>
                <w:rFonts w:ascii="Arial" w:cs="Arial" w:eastAsia="Arial" w:hAnsi="Arial"/>
                <w:sz w:val="14"/>
                <w:szCs w:val="14"/>
                <w:b w:val="1"/>
                <w:bCs w:val="1"/>
                <w:color w:val="auto"/>
                <w:w w:val="90"/>
              </w:rPr>
              <w:t>Unrealized</w:t>
            </w:r>
          </w:p>
        </w:tc>
        <w:tc>
          <w:tcPr>
            <w:tcW w:w="60" w:type="dxa"/>
            <w:vAlign w:val="bottom"/>
          </w:tcPr>
          <w:p>
            <w:pPr>
              <w:spacing w:after="0"/>
              <w:rPr>
                <w:sz w:val="14"/>
                <w:szCs w:val="14"/>
                <w:color w:val="auto"/>
              </w:rPr>
            </w:pPr>
          </w:p>
        </w:tc>
        <w:tc>
          <w:tcPr>
            <w:tcW w:w="1020" w:type="dxa"/>
            <w:vAlign w:val="bottom"/>
            <w:gridSpan w:val="6"/>
          </w:tcPr>
          <w:p>
            <w:pPr>
              <w:jc w:val="center"/>
              <w:ind w:right="400"/>
              <w:spacing w:after="0"/>
              <w:rPr>
                <w:sz w:val="20"/>
                <w:szCs w:val="20"/>
                <w:color w:val="auto"/>
              </w:rPr>
            </w:pPr>
            <w:r>
              <w:rPr>
                <w:rFonts w:ascii="Arial" w:cs="Arial" w:eastAsia="Arial" w:hAnsi="Arial"/>
                <w:sz w:val="14"/>
                <w:szCs w:val="14"/>
                <w:b w:val="1"/>
                <w:bCs w:val="1"/>
                <w:color w:val="auto"/>
                <w:w w:val="87"/>
              </w:rPr>
              <w:t>Unrealized</w:t>
            </w:r>
          </w:p>
        </w:tc>
        <w:tc>
          <w:tcPr>
            <w:tcW w:w="120" w:type="dxa"/>
            <w:vAlign w:val="bottom"/>
          </w:tcPr>
          <w:p>
            <w:pPr>
              <w:spacing w:after="0"/>
              <w:rPr>
                <w:sz w:val="14"/>
                <w:szCs w:val="14"/>
                <w:color w:val="auto"/>
              </w:rPr>
            </w:pPr>
          </w:p>
        </w:tc>
        <w:tc>
          <w:tcPr>
            <w:tcW w:w="980" w:type="dxa"/>
            <w:vAlign w:val="bottom"/>
            <w:gridSpan w:val="5"/>
          </w:tcPr>
          <w:p>
            <w:pPr>
              <w:jc w:val="center"/>
              <w:ind w:right="360"/>
              <w:spacing w:after="0"/>
              <w:rPr>
                <w:sz w:val="20"/>
                <w:szCs w:val="20"/>
                <w:color w:val="auto"/>
              </w:rPr>
            </w:pPr>
            <w:r>
              <w:rPr>
                <w:rFonts w:ascii="Arial" w:cs="Arial" w:eastAsia="Arial" w:hAnsi="Arial"/>
                <w:sz w:val="14"/>
                <w:szCs w:val="14"/>
                <w:b w:val="1"/>
                <w:bCs w:val="1"/>
                <w:color w:val="auto"/>
                <w:w w:val="87"/>
              </w:rPr>
              <w:t>Unrealized</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5"/>
          </w:tcPr>
          <w:p>
            <w:pPr>
              <w:jc w:val="center"/>
              <w:ind w:right="580"/>
              <w:spacing w:after="0" w:line="149" w:lineRule="exact"/>
              <w:rPr>
                <w:sz w:val="20"/>
                <w:szCs w:val="20"/>
                <w:color w:val="auto"/>
              </w:rPr>
            </w:pPr>
            <w:r>
              <w:rPr>
                <w:rFonts w:ascii="Arial" w:cs="Arial" w:eastAsia="Arial" w:hAnsi="Arial"/>
                <w:sz w:val="14"/>
                <w:szCs w:val="14"/>
                <w:b w:val="1"/>
                <w:bCs w:val="1"/>
                <w:color w:val="auto"/>
                <w:w w:val="89"/>
              </w:rPr>
              <w:t>Gain</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5"/>
          </w:tcPr>
          <w:p>
            <w:pPr>
              <w:jc w:val="center"/>
              <w:ind w:right="460"/>
              <w:spacing w:after="0" w:line="149" w:lineRule="exact"/>
              <w:rPr>
                <w:sz w:val="20"/>
                <w:szCs w:val="20"/>
                <w:color w:val="auto"/>
              </w:rPr>
            </w:pPr>
            <w:r>
              <w:rPr>
                <w:rFonts w:ascii="Arial" w:cs="Arial" w:eastAsia="Arial" w:hAnsi="Arial"/>
                <w:sz w:val="14"/>
                <w:szCs w:val="14"/>
                <w:b w:val="1"/>
                <w:bCs w:val="1"/>
                <w:color w:val="auto"/>
                <w:w w:val="81"/>
              </w:rPr>
              <w:t>Loss on</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gridSpan w:val="4"/>
          </w:tcPr>
          <w:p>
            <w:pPr>
              <w:jc w:val="center"/>
              <w:ind w:right="500"/>
              <w:spacing w:after="0" w:line="149" w:lineRule="exact"/>
              <w:rPr>
                <w:sz w:val="20"/>
                <w:szCs w:val="20"/>
                <w:color w:val="auto"/>
              </w:rPr>
            </w:pPr>
            <w:r>
              <w:rPr>
                <w:rFonts w:ascii="Arial" w:cs="Arial" w:eastAsia="Arial" w:hAnsi="Arial"/>
                <w:sz w:val="14"/>
                <w:szCs w:val="14"/>
                <w:b w:val="1"/>
                <w:bCs w:val="1"/>
                <w:color w:val="auto"/>
                <w:w w:val="96"/>
              </w:rPr>
              <w:t>Gain</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120" w:type="dxa"/>
            <w:vAlign w:val="bottom"/>
            <w:gridSpan w:val="6"/>
          </w:tcPr>
          <w:p>
            <w:pPr>
              <w:jc w:val="center"/>
              <w:ind w:right="440"/>
              <w:spacing w:after="0" w:line="149" w:lineRule="exact"/>
              <w:rPr>
                <w:sz w:val="20"/>
                <w:szCs w:val="20"/>
                <w:color w:val="auto"/>
              </w:rPr>
            </w:pPr>
            <w:r>
              <w:rPr>
                <w:rFonts w:ascii="Arial" w:cs="Arial" w:eastAsia="Arial" w:hAnsi="Arial"/>
                <w:sz w:val="14"/>
                <w:szCs w:val="14"/>
                <w:b w:val="1"/>
                <w:bCs w:val="1"/>
                <w:color w:val="auto"/>
                <w:w w:val="82"/>
              </w:rPr>
              <w:t>(Loss) on</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5"/>
          </w:tcPr>
          <w:p>
            <w:pPr>
              <w:jc w:val="center"/>
              <w:ind w:right="480"/>
              <w:spacing w:after="0" w:line="149" w:lineRule="exact"/>
              <w:rPr>
                <w:sz w:val="20"/>
                <w:szCs w:val="20"/>
                <w:color w:val="auto"/>
              </w:rPr>
            </w:pPr>
            <w:r>
              <w:rPr>
                <w:rFonts w:ascii="Arial" w:cs="Arial" w:eastAsia="Arial" w:hAnsi="Arial"/>
                <w:sz w:val="14"/>
                <w:szCs w:val="14"/>
                <w:b w:val="1"/>
                <w:bCs w:val="1"/>
                <w:color w:val="auto"/>
                <w:w w:val="88"/>
              </w:rPr>
              <w:t>Auction</w:t>
            </w:r>
          </w:p>
        </w:tc>
        <w:tc>
          <w:tcPr>
            <w:tcW w:w="120" w:type="dxa"/>
            <w:vAlign w:val="bottom"/>
          </w:tcPr>
          <w:p>
            <w:pPr>
              <w:spacing w:after="0"/>
              <w:rPr>
                <w:sz w:val="12"/>
                <w:szCs w:val="12"/>
                <w:color w:val="auto"/>
              </w:rPr>
            </w:pPr>
          </w:p>
        </w:tc>
        <w:tc>
          <w:tcPr>
            <w:tcW w:w="980" w:type="dxa"/>
            <w:vAlign w:val="bottom"/>
            <w:gridSpan w:val="5"/>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(Loss) on</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280" w:type="dxa"/>
            <w:vAlign w:val="bottom"/>
          </w:tcPr>
          <w:p>
            <w:pPr>
              <w:spacing w:after="0"/>
              <w:rPr>
                <w:sz w:val="12"/>
                <w:szCs w:val="12"/>
                <w:color w:val="auto"/>
              </w:rPr>
            </w:pPr>
          </w:p>
        </w:tc>
        <w:tc>
          <w:tcPr>
            <w:tcW w:w="2120" w:type="dxa"/>
            <w:vAlign w:val="bottom"/>
            <w:gridSpan w:val="7"/>
          </w:tcPr>
          <w:p>
            <w:pPr>
              <w:jc w:val="center"/>
              <w:ind w:left="492"/>
              <w:spacing w:after="0" w:line="149" w:lineRule="exact"/>
              <w:rPr>
                <w:sz w:val="20"/>
                <w:szCs w:val="20"/>
                <w:color w:val="auto"/>
              </w:rPr>
            </w:pPr>
            <w:r>
              <w:rPr>
                <w:rFonts w:ascii="Arial" w:cs="Arial" w:eastAsia="Arial" w:hAnsi="Arial"/>
                <w:sz w:val="14"/>
                <w:szCs w:val="14"/>
                <w:b w:val="1"/>
                <w:bCs w:val="1"/>
                <w:color w:val="auto"/>
                <w:w w:val="92"/>
              </w:rPr>
              <w:t>Marketable</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5"/>
          </w:tcPr>
          <w:p>
            <w:pPr>
              <w:jc w:val="center"/>
              <w:ind w:right="480"/>
              <w:spacing w:after="0" w:line="149" w:lineRule="exact"/>
              <w:rPr>
                <w:sz w:val="20"/>
                <w:szCs w:val="20"/>
                <w:color w:val="auto"/>
              </w:rPr>
            </w:pPr>
            <w:r>
              <w:rPr>
                <w:rFonts w:ascii="Arial" w:cs="Arial" w:eastAsia="Arial" w:hAnsi="Arial"/>
                <w:sz w:val="14"/>
                <w:szCs w:val="14"/>
                <w:b w:val="1"/>
                <w:bCs w:val="1"/>
                <w:color w:val="auto"/>
                <w:w w:val="85"/>
              </w:rPr>
              <w:t>Rate</w:t>
            </w:r>
          </w:p>
        </w:tc>
        <w:tc>
          <w:tcPr>
            <w:tcW w:w="120" w:type="dxa"/>
            <w:vAlign w:val="bottom"/>
          </w:tcPr>
          <w:p>
            <w:pPr>
              <w:spacing w:after="0"/>
              <w:rPr>
                <w:sz w:val="12"/>
                <w:szCs w:val="12"/>
                <w:color w:val="auto"/>
              </w:rPr>
            </w:pPr>
          </w:p>
        </w:tc>
        <w:tc>
          <w:tcPr>
            <w:tcW w:w="980" w:type="dxa"/>
            <w:vAlign w:val="bottom"/>
            <w:gridSpan w:val="5"/>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Cash Flow</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2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120" w:type="dxa"/>
            <w:vAlign w:val="bottom"/>
            <w:gridSpan w:val="6"/>
          </w:tcPr>
          <w:p>
            <w:pPr>
              <w:jc w:val="center"/>
              <w:ind w:right="440"/>
              <w:spacing w:after="0"/>
              <w:rPr>
                <w:sz w:val="20"/>
                <w:szCs w:val="20"/>
                <w:color w:val="auto"/>
              </w:rPr>
            </w:pPr>
            <w:r>
              <w:rPr>
                <w:rFonts w:ascii="Arial" w:cs="Arial" w:eastAsia="Arial" w:hAnsi="Arial"/>
                <w:sz w:val="14"/>
                <w:szCs w:val="14"/>
                <w:b w:val="1"/>
                <w:bCs w:val="1"/>
                <w:color w:val="auto"/>
                <w:w w:val="83"/>
              </w:rPr>
              <w:t>Securities</w:t>
            </w:r>
          </w:p>
        </w:tc>
        <w:tc>
          <w:tcPr>
            <w:tcW w:w="60" w:type="dxa"/>
            <w:vAlign w:val="bottom"/>
          </w:tcPr>
          <w:p>
            <w:pPr>
              <w:spacing w:after="0"/>
              <w:rPr>
                <w:sz w:val="14"/>
                <w:szCs w:val="14"/>
                <w:color w:val="auto"/>
              </w:rPr>
            </w:pPr>
          </w:p>
        </w:tc>
        <w:tc>
          <w:tcPr>
            <w:tcW w:w="1020" w:type="dxa"/>
            <w:vAlign w:val="bottom"/>
            <w:gridSpan w:val="6"/>
          </w:tcPr>
          <w:p>
            <w:pPr>
              <w:jc w:val="center"/>
              <w:ind w:right="380"/>
              <w:spacing w:after="0"/>
              <w:rPr>
                <w:sz w:val="20"/>
                <w:szCs w:val="20"/>
                <w:color w:val="auto"/>
              </w:rPr>
            </w:pPr>
            <w:r>
              <w:rPr>
                <w:rFonts w:ascii="Arial" w:cs="Arial" w:eastAsia="Arial" w:hAnsi="Arial"/>
                <w:sz w:val="14"/>
                <w:szCs w:val="14"/>
                <w:b w:val="1"/>
                <w:bCs w:val="1"/>
                <w:color w:val="auto"/>
                <w:w w:val="83"/>
              </w:rPr>
              <w:t>Securities</w:t>
            </w:r>
          </w:p>
        </w:tc>
        <w:tc>
          <w:tcPr>
            <w:tcW w:w="120" w:type="dxa"/>
            <w:vAlign w:val="bottom"/>
          </w:tcPr>
          <w:p>
            <w:pPr>
              <w:spacing w:after="0"/>
              <w:rPr>
                <w:sz w:val="14"/>
                <w:szCs w:val="14"/>
                <w:color w:val="auto"/>
              </w:rPr>
            </w:pPr>
          </w:p>
        </w:tc>
        <w:tc>
          <w:tcPr>
            <w:tcW w:w="980" w:type="dxa"/>
            <w:vAlign w:val="bottom"/>
            <w:gridSpan w:val="5"/>
          </w:tcPr>
          <w:p>
            <w:pPr>
              <w:jc w:val="center"/>
              <w:ind w:right="360"/>
              <w:spacing w:after="0"/>
              <w:rPr>
                <w:sz w:val="20"/>
                <w:szCs w:val="20"/>
                <w:color w:val="auto"/>
              </w:rPr>
            </w:pPr>
            <w:r>
              <w:rPr>
                <w:rFonts w:ascii="Arial" w:cs="Arial" w:eastAsia="Arial" w:hAnsi="Arial"/>
                <w:sz w:val="14"/>
                <w:szCs w:val="14"/>
                <w:b w:val="1"/>
                <w:bCs w:val="1"/>
                <w:color w:val="auto"/>
                <w:w w:val="82"/>
              </w:rPr>
              <w:t>Hedges</w:t>
            </w:r>
          </w:p>
        </w:tc>
        <w:tc>
          <w:tcPr>
            <w:tcW w:w="220" w:type="dxa"/>
            <w:vAlign w:val="bottom"/>
          </w:tcPr>
          <w:p>
            <w:pPr>
              <w:spacing w:after="0"/>
              <w:rPr>
                <w:sz w:val="14"/>
                <w:szCs w:val="14"/>
                <w:color w:val="auto"/>
              </w:rPr>
            </w:pPr>
          </w:p>
        </w:tc>
        <w:tc>
          <w:tcPr>
            <w:tcW w:w="60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10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2,742</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94"/>
              </w:rPr>
              <w:t>(2,681)</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 w:type="dxa"/>
            <w:vAlign w:val="bottom"/>
            <w:tcBorders>
              <w:top w:val="single" w:sz="8" w:color="auto"/>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1,087</w:t>
            </w:r>
          </w:p>
        </w:tc>
        <w:tc>
          <w:tcPr>
            <w:tcW w:w="1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right w:val="single" w:sz="8" w:color="CCEEFF"/>
            </w:tcBorders>
            <w:shd w:val="clear" w:color="auto" w:fill="CCEEFF"/>
          </w:tcPr>
          <w:p>
            <w:pPr>
              <w:spacing w:after="0"/>
              <w:rPr>
                <w:sz w:val="18"/>
                <w:szCs w:val="18"/>
                <w:color w:val="auto"/>
              </w:rPr>
            </w:pPr>
          </w:p>
        </w:tc>
        <w:tc>
          <w:tcPr>
            <w:tcW w:w="5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$ 1,148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tcPr>
          <w:p>
            <w:pPr>
              <w:ind w:left="420"/>
              <w:spacing w:after="0"/>
              <w:rPr>
                <w:sz w:val="20"/>
                <w:szCs w:val="20"/>
                <w:color w:val="auto"/>
              </w:rPr>
            </w:pPr>
            <w:r>
              <w:rPr>
                <w:rFonts w:ascii="Arial" w:cs="Arial" w:eastAsia="Arial" w:hAnsi="Arial"/>
                <w:sz w:val="18"/>
                <w:szCs w:val="18"/>
                <w:color w:val="auto"/>
              </w:rPr>
              <w:t>Other comprehensive income (loss) before reclassifications</w:t>
            </w: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931</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4"/>
          </w:tcPr>
          <w:p>
            <w:pPr>
              <w:jc w:val="right"/>
              <w:ind w:right="180"/>
              <w:spacing w:after="0"/>
              <w:rPr>
                <w:sz w:val="20"/>
                <w:szCs w:val="20"/>
                <w:color w:val="auto"/>
              </w:rPr>
            </w:pPr>
            <w:r>
              <w:rPr>
                <w:rFonts w:ascii="Arial" w:cs="Arial" w:eastAsia="Arial" w:hAnsi="Arial"/>
                <w:sz w:val="18"/>
                <w:szCs w:val="18"/>
                <w:color w:val="auto"/>
              </w:rPr>
              <w:t>(190)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3,466</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gridSpan w:val="2"/>
          </w:tcPr>
          <w:p>
            <w:pPr>
              <w:jc w:val="right"/>
              <w:ind w:right="100"/>
              <w:spacing w:after="0"/>
              <w:rPr>
                <w:sz w:val="20"/>
                <w:szCs w:val="20"/>
                <w:color w:val="auto"/>
              </w:rPr>
            </w:pPr>
            <w:r>
              <w:rPr>
                <w:rFonts w:ascii="Arial" w:cs="Arial" w:eastAsia="Arial" w:hAnsi="Arial"/>
                <w:sz w:val="18"/>
                <w:szCs w:val="18"/>
                <w:color w:val="auto"/>
                <w:w w:val="88"/>
              </w:rPr>
              <w:t>4,207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Amounts reclassified from accumulated other comprehensive income</w:t>
            </w: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(1,139)</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ind w:left="40"/>
              <w:spacing w:after="0"/>
              <w:rPr>
                <w:sz w:val="20"/>
                <w:szCs w:val="20"/>
                <w:color w:val="auto"/>
              </w:rPr>
            </w:pPr>
            <w:r>
              <w:rPr>
                <w:rFonts w:ascii="Arial" w:cs="Arial" w:eastAsia="Arial" w:hAnsi="Arial"/>
                <w:sz w:val="18"/>
                <w:szCs w:val="18"/>
                <w:color w:val="auto"/>
              </w:rPr>
              <w:t>—</w:t>
            </w:r>
          </w:p>
        </w:tc>
        <w:tc>
          <w:tcPr>
            <w:tcW w:w="90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(3,619)</w:t>
            </w:r>
          </w:p>
        </w:tc>
        <w:tc>
          <w:tcPr>
            <w:tcW w:w="200" w:type="dxa"/>
            <w:vAlign w:val="bottom"/>
            <w:shd w:val="clear" w:color="auto" w:fill="CCEEFF"/>
          </w:tcPr>
          <w:p>
            <w:pPr>
              <w:spacing w:after="0"/>
              <w:rPr>
                <w:sz w:val="18"/>
                <w:szCs w:val="18"/>
                <w:color w:val="auto"/>
              </w:rPr>
            </w:pPr>
          </w:p>
        </w:tc>
        <w:tc>
          <w:tcPr>
            <w:tcW w:w="8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(4,758)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80" w:type="dxa"/>
            <w:vAlign w:val="bottom"/>
            <w:vMerge w:val="restart"/>
          </w:tcPr>
          <w:p>
            <w:pPr>
              <w:ind w:left="860"/>
              <w:spacing w:after="0"/>
              <w:rPr>
                <w:sz w:val="20"/>
                <w:szCs w:val="20"/>
                <w:color w:val="auto"/>
              </w:rPr>
            </w:pPr>
            <w:r>
              <w:rPr>
                <w:rFonts w:ascii="Arial" w:cs="Arial" w:eastAsia="Arial" w:hAnsi="Arial"/>
                <w:sz w:val="18"/>
                <w:szCs w:val="18"/>
                <w:color w:val="auto"/>
              </w:rPr>
              <w:t>Net current-period other comprehensive loss</w:t>
            </w:r>
          </w:p>
        </w:tc>
        <w:tc>
          <w:tcPr>
            <w:tcW w:w="10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360" w:type="dxa"/>
            <w:vAlign w:val="bottom"/>
            <w:gridSpan w:val="2"/>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20" w:type="dxa"/>
            <w:vAlign w:val="bottom"/>
            <w:gridSpan w:val="2"/>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Borders>
              <w:right w:val="single" w:sz="8" w:color="auto"/>
            </w:tcBorders>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280" w:type="dxa"/>
            <w:vAlign w:val="bottom"/>
            <w:vMerge w:val="continue"/>
          </w:tcPr>
          <w:p>
            <w:pPr>
              <w:spacing w:after="0"/>
              <w:rPr>
                <w:sz w:val="19"/>
                <w:szCs w:val="19"/>
                <w:color w:val="auto"/>
              </w:rPr>
            </w:pPr>
          </w:p>
        </w:tc>
        <w:tc>
          <w:tcPr>
            <w:tcW w:w="10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40" w:type="dxa"/>
            <w:vAlign w:val="bottom"/>
            <w:gridSpan w:val="4"/>
          </w:tcPr>
          <w:p>
            <w:pPr>
              <w:jc w:val="right"/>
              <w:ind w:right="240"/>
              <w:spacing w:after="0"/>
              <w:rPr>
                <w:sz w:val="20"/>
                <w:szCs w:val="20"/>
                <w:color w:val="auto"/>
              </w:rPr>
            </w:pPr>
            <w:r>
              <w:rPr>
                <w:rFonts w:ascii="Arial" w:cs="Arial" w:eastAsia="Arial" w:hAnsi="Arial"/>
                <w:sz w:val="18"/>
                <w:szCs w:val="18"/>
                <w:color w:val="auto"/>
              </w:rPr>
              <w:t>(208)</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gridSpan w:val="4"/>
          </w:tcPr>
          <w:p>
            <w:pPr>
              <w:jc w:val="right"/>
              <w:ind w:right="180"/>
              <w:spacing w:after="0"/>
              <w:rPr>
                <w:sz w:val="20"/>
                <w:szCs w:val="20"/>
                <w:color w:val="auto"/>
              </w:rPr>
            </w:pPr>
            <w:r>
              <w:rPr>
                <w:rFonts w:ascii="Arial" w:cs="Arial" w:eastAsia="Arial" w:hAnsi="Arial"/>
                <w:sz w:val="18"/>
                <w:szCs w:val="18"/>
                <w:color w:val="auto"/>
              </w:rPr>
              <w:t>(190)</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8"/>
                <w:szCs w:val="18"/>
                <w:color w:val="auto"/>
              </w:rPr>
              <w:t>(153)</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20" w:type="dxa"/>
            <w:vAlign w:val="bottom"/>
            <w:gridSpan w:val="2"/>
          </w:tcPr>
          <w:p>
            <w:pPr>
              <w:jc w:val="right"/>
              <w:ind w:right="40"/>
              <w:spacing w:after="0"/>
              <w:rPr>
                <w:sz w:val="20"/>
                <w:szCs w:val="20"/>
                <w:color w:val="auto"/>
              </w:rPr>
            </w:pPr>
            <w:r>
              <w:rPr>
                <w:rFonts w:ascii="Arial" w:cs="Arial" w:eastAsia="Arial" w:hAnsi="Arial"/>
                <w:sz w:val="18"/>
                <w:szCs w:val="18"/>
                <w:color w:val="auto"/>
              </w:rPr>
              <w:t>(551)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28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2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1, 2014</w:t>
            </w: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2,534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4"/>
            <w:shd w:val="clear" w:color="auto" w:fill="CCEEFF"/>
          </w:tcPr>
          <w:p>
            <w:pPr>
              <w:jc w:val="right"/>
              <w:ind w:right="180"/>
              <w:spacing w:after="0"/>
              <w:rPr>
                <w:sz w:val="20"/>
                <w:szCs w:val="20"/>
                <w:color w:val="auto"/>
              </w:rPr>
            </w:pPr>
            <w:r>
              <w:rPr>
                <w:rFonts w:ascii="Arial" w:cs="Arial" w:eastAsia="Arial" w:hAnsi="Arial"/>
                <w:sz w:val="18"/>
                <w:szCs w:val="18"/>
                <w:color w:val="auto"/>
              </w:rPr>
              <w:t>(2,871)</w:t>
            </w:r>
          </w:p>
        </w:tc>
        <w:tc>
          <w:tcPr>
            <w:tcW w:w="16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934</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8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62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0" w:type="dxa"/>
            <w:vAlign w:val="bottom"/>
            <w:gridSpan w:val="4"/>
          </w:tcPr>
          <w:p>
            <w:pPr>
              <w:jc w:val="center"/>
              <w:ind w:right="140"/>
              <w:spacing w:after="0"/>
              <w:rPr>
                <w:sz w:val="20"/>
                <w:szCs w:val="20"/>
                <w:color w:val="auto"/>
              </w:rPr>
            </w:pPr>
            <w:r>
              <w:rPr>
                <w:rFonts w:ascii="Arial" w:cs="Arial" w:eastAsia="Arial" w:hAnsi="Arial"/>
                <w:sz w:val="14"/>
                <w:szCs w:val="14"/>
                <w:b w:val="1"/>
                <w:bCs w:val="1"/>
                <w:color w:val="auto"/>
                <w:w w:val="87"/>
              </w:rPr>
              <w:t>Unrealized</w:t>
            </w: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0" w:type="dxa"/>
            <w:vAlign w:val="bottom"/>
            <w:gridSpan w:val="4"/>
          </w:tcPr>
          <w:p>
            <w:pPr>
              <w:jc w:val="center"/>
              <w:ind w:right="160"/>
              <w:spacing w:after="0"/>
              <w:rPr>
                <w:sz w:val="20"/>
                <w:szCs w:val="20"/>
                <w:color w:val="auto"/>
              </w:rPr>
            </w:pPr>
            <w:r>
              <w:rPr>
                <w:rFonts w:ascii="Arial" w:cs="Arial" w:eastAsia="Arial" w:hAnsi="Arial"/>
                <w:sz w:val="14"/>
                <w:szCs w:val="14"/>
                <w:b w:val="1"/>
                <w:bCs w:val="1"/>
                <w:color w:val="auto"/>
                <w:w w:val="90"/>
              </w:rPr>
              <w:t>Unrealized</w:t>
            </w: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4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90"/>
              </w:rPr>
              <w:t>Unrealized</w:t>
            </w: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96"/>
              </w:rPr>
              <w:t>Gain</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3"/>
          </w:tcPr>
          <w:p>
            <w:pPr>
              <w:jc w:val="center"/>
              <w:ind w:right="260"/>
              <w:spacing w:after="0" w:line="149" w:lineRule="exact"/>
              <w:rPr>
                <w:sz w:val="20"/>
                <w:szCs w:val="20"/>
                <w:color w:val="auto"/>
              </w:rPr>
            </w:pPr>
            <w:r>
              <w:rPr>
                <w:rFonts w:ascii="Arial" w:cs="Arial" w:eastAsia="Arial" w:hAnsi="Arial"/>
                <w:sz w:val="14"/>
                <w:szCs w:val="14"/>
                <w:b w:val="1"/>
                <w:bCs w:val="1"/>
                <w:color w:val="auto"/>
                <w:w w:val="81"/>
              </w:rPr>
              <w:t>Loss on</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89"/>
              </w:rPr>
              <w:t>Gain</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gridSpan w:val="4"/>
          </w:tcPr>
          <w:p>
            <w:pPr>
              <w:jc w:val="center"/>
              <w:ind w:right="140"/>
              <w:spacing w:after="0" w:line="149" w:lineRule="exact"/>
              <w:rPr>
                <w:sz w:val="20"/>
                <w:szCs w:val="20"/>
                <w:color w:val="auto"/>
              </w:rPr>
            </w:pPr>
            <w:r>
              <w:rPr>
                <w:rFonts w:ascii="Arial" w:cs="Arial" w:eastAsia="Arial" w:hAnsi="Arial"/>
                <w:sz w:val="14"/>
                <w:szCs w:val="14"/>
                <w:b w:val="1"/>
                <w:bCs w:val="1"/>
                <w:color w:val="auto"/>
                <w:w w:val="85"/>
              </w:rPr>
              <w:t>(Loss) on</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3"/>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Auction</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gridSpan w:val="4"/>
          </w:tcPr>
          <w:p>
            <w:pPr>
              <w:jc w:val="center"/>
              <w:ind w:right="200"/>
              <w:spacing w:after="0" w:line="149" w:lineRule="exact"/>
              <w:rPr>
                <w:sz w:val="20"/>
                <w:szCs w:val="20"/>
                <w:color w:val="auto"/>
              </w:rPr>
            </w:pPr>
            <w:r>
              <w:rPr>
                <w:rFonts w:ascii="Arial" w:cs="Arial" w:eastAsia="Arial" w:hAnsi="Arial"/>
                <w:sz w:val="14"/>
                <w:szCs w:val="14"/>
                <w:b w:val="1"/>
                <w:bCs w:val="1"/>
                <w:color w:val="auto"/>
                <w:w w:val="82"/>
              </w:rPr>
              <w:t>(Loss) on</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2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5"/>
          </w:tcPr>
          <w:p>
            <w:pPr>
              <w:jc w:val="center"/>
              <w:spacing w:after="0" w:line="149" w:lineRule="exact"/>
              <w:rPr>
                <w:sz w:val="20"/>
                <w:szCs w:val="20"/>
                <w:color w:val="auto"/>
              </w:rPr>
            </w:pPr>
            <w:r>
              <w:rPr>
                <w:rFonts w:ascii="Arial" w:cs="Arial" w:eastAsia="Arial" w:hAnsi="Arial"/>
                <w:sz w:val="14"/>
                <w:szCs w:val="14"/>
                <w:b w:val="1"/>
                <w:bCs w:val="1"/>
                <w:color w:val="auto"/>
                <w:w w:val="90"/>
              </w:rPr>
              <w:t>Marketable</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Rate</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gridSpan w:val="4"/>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Cash Flow</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2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gridSpan w:val="4"/>
          </w:tcPr>
          <w:p>
            <w:pPr>
              <w:jc w:val="center"/>
              <w:ind w:right="140"/>
              <w:spacing w:after="0"/>
              <w:rPr>
                <w:sz w:val="20"/>
                <w:szCs w:val="20"/>
                <w:color w:val="auto"/>
              </w:rPr>
            </w:pPr>
            <w:r>
              <w:rPr>
                <w:rFonts w:ascii="Arial" w:cs="Arial" w:eastAsia="Arial" w:hAnsi="Arial"/>
                <w:sz w:val="14"/>
                <w:szCs w:val="14"/>
                <w:b w:val="1"/>
                <w:bCs w:val="1"/>
                <w:color w:val="auto"/>
                <w:w w:val="86"/>
              </w:rPr>
              <w:t>Securities</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4"/>
          </w:tcPr>
          <w:p>
            <w:pPr>
              <w:jc w:val="center"/>
              <w:ind w:right="160"/>
              <w:spacing w:after="0"/>
              <w:rPr>
                <w:sz w:val="20"/>
                <w:szCs w:val="20"/>
                <w:color w:val="auto"/>
              </w:rPr>
            </w:pPr>
            <w:r>
              <w:rPr>
                <w:rFonts w:ascii="Arial" w:cs="Arial" w:eastAsia="Arial" w:hAnsi="Arial"/>
                <w:sz w:val="14"/>
                <w:szCs w:val="14"/>
                <w:b w:val="1"/>
                <w:bCs w:val="1"/>
                <w:color w:val="auto"/>
                <w:w w:val="83"/>
              </w:rPr>
              <w:t>Securities</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2"/>
              </w:rPr>
              <w:t>Hedges</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83"/>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10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3,702</w:t>
            </w:r>
          </w:p>
        </w:tc>
        <w:tc>
          <w:tcPr>
            <w:tcW w:w="14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40" w:type="dxa"/>
            <w:vAlign w:val="bottom"/>
            <w:tcBorders>
              <w:top w:val="single" w:sz="8" w:color="auto"/>
            </w:tcBorders>
            <w:gridSpan w:val="2"/>
            <w:shd w:val="clear" w:color="auto" w:fill="CCEEFF"/>
          </w:tcPr>
          <w:p>
            <w:pPr>
              <w:ind w:left="80"/>
              <w:spacing w:after="0"/>
              <w:rPr>
                <w:sz w:val="20"/>
                <w:szCs w:val="20"/>
                <w:color w:val="auto"/>
              </w:rPr>
            </w:pPr>
            <w:r>
              <w:rPr>
                <w:rFonts w:ascii="Arial" w:cs="Arial" w:eastAsia="Arial" w:hAnsi="Arial"/>
                <w:sz w:val="18"/>
                <w:szCs w:val="18"/>
                <w:color w:val="auto"/>
                <w:w w:val="77"/>
              </w:rPr>
              <w:t>(1,285)</w:t>
            </w:r>
          </w:p>
        </w:tc>
        <w:tc>
          <w:tcPr>
            <w:tcW w:w="16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CCEEFF"/>
            </w:tcBorders>
            <w:gridSpan w:val="2"/>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4"/>
              </w:rPr>
              <w:t>(1,641)</w:t>
            </w:r>
          </w:p>
        </w:tc>
        <w:tc>
          <w:tcPr>
            <w:tcW w:w="2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right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tcPr>
          <w:p>
            <w:pPr>
              <w:ind w:left="420"/>
              <w:spacing w:after="0"/>
              <w:rPr>
                <w:sz w:val="20"/>
                <w:szCs w:val="20"/>
                <w:color w:val="auto"/>
              </w:rPr>
            </w:pPr>
            <w:r>
              <w:rPr>
                <w:rFonts w:ascii="Arial" w:cs="Arial" w:eastAsia="Arial" w:hAnsi="Arial"/>
                <w:sz w:val="18"/>
                <w:szCs w:val="18"/>
                <w:color w:val="auto"/>
              </w:rPr>
              <w:t>Other comprehensive income (loss) before reclassifications</w:t>
            </w: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3"/>
          </w:tcPr>
          <w:p>
            <w:pPr>
              <w:jc w:val="right"/>
              <w:ind w:right="140"/>
              <w:spacing w:after="0"/>
              <w:rPr>
                <w:sz w:val="20"/>
                <w:szCs w:val="20"/>
                <w:color w:val="auto"/>
              </w:rPr>
            </w:pPr>
            <w:r>
              <w:rPr>
                <w:rFonts w:ascii="Arial" w:cs="Arial" w:eastAsia="Arial" w:hAnsi="Arial"/>
                <w:sz w:val="18"/>
                <w:szCs w:val="18"/>
                <w:color w:val="auto"/>
              </w:rPr>
              <w:t>2,141</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ind w:left="80"/>
              <w:spacing w:after="0"/>
              <w:rPr>
                <w:sz w:val="20"/>
                <w:szCs w:val="20"/>
                <w:color w:val="auto"/>
              </w:rPr>
            </w:pPr>
            <w:r>
              <w:rPr>
                <w:rFonts w:ascii="Arial" w:cs="Arial" w:eastAsia="Arial" w:hAnsi="Arial"/>
                <w:sz w:val="18"/>
                <w:szCs w:val="18"/>
                <w:color w:val="auto"/>
              </w:rPr>
              <w:t>(1,396)</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3"/>
          </w:tcPr>
          <w:p>
            <w:pPr>
              <w:jc w:val="right"/>
              <w:ind w:right="200"/>
              <w:spacing w:after="0"/>
              <w:rPr>
                <w:sz w:val="20"/>
                <w:szCs w:val="20"/>
                <w:color w:val="auto"/>
              </w:rPr>
            </w:pPr>
            <w:r>
              <w:rPr>
                <w:rFonts w:ascii="Arial" w:cs="Arial" w:eastAsia="Arial" w:hAnsi="Arial"/>
                <w:sz w:val="18"/>
                <w:szCs w:val="18"/>
                <w:color w:val="auto"/>
              </w:rPr>
              <w:t>233</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gridSpan w:val="2"/>
          </w:tcPr>
          <w:p>
            <w:pPr>
              <w:jc w:val="right"/>
              <w:ind w:right="100"/>
              <w:spacing w:after="0"/>
              <w:rPr>
                <w:sz w:val="20"/>
                <w:szCs w:val="20"/>
                <w:color w:val="auto"/>
              </w:rPr>
            </w:pPr>
            <w:r>
              <w:rPr>
                <w:rFonts w:ascii="Arial" w:cs="Arial" w:eastAsia="Arial" w:hAnsi="Arial"/>
                <w:sz w:val="18"/>
                <w:szCs w:val="18"/>
                <w:color w:val="auto"/>
              </w:rPr>
              <w:t>978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Amounts reclassified from accumulated other comprehensive income</w:t>
            </w: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(3,101)</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2,495</w:t>
            </w: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(606)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80" w:type="dxa"/>
            <w:vAlign w:val="bottom"/>
            <w:vMerge w:val="restart"/>
          </w:tcPr>
          <w:p>
            <w:pPr>
              <w:ind w:left="860"/>
              <w:spacing w:after="0"/>
              <w:rPr>
                <w:sz w:val="20"/>
                <w:szCs w:val="20"/>
                <w:color w:val="auto"/>
              </w:rPr>
            </w:pPr>
            <w:r>
              <w:rPr>
                <w:rFonts w:ascii="Arial" w:cs="Arial" w:eastAsia="Arial" w:hAnsi="Arial"/>
                <w:sz w:val="18"/>
                <w:szCs w:val="18"/>
                <w:color w:val="auto"/>
              </w:rPr>
              <w:t>Net current-period other comprehensive income (loss)</w:t>
            </w:r>
          </w:p>
        </w:tc>
        <w:tc>
          <w:tcPr>
            <w:tcW w:w="10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4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gridSpan w:val="2"/>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280" w:type="dxa"/>
            <w:vAlign w:val="bottom"/>
            <w:vMerge w:val="continue"/>
          </w:tcPr>
          <w:p>
            <w:pPr>
              <w:spacing w:after="0"/>
              <w:rPr>
                <w:sz w:val="19"/>
                <w:szCs w:val="19"/>
                <w:color w:val="auto"/>
              </w:rPr>
            </w:pPr>
          </w:p>
        </w:tc>
        <w:tc>
          <w:tcPr>
            <w:tcW w:w="10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gridSpan w:val="3"/>
          </w:tcPr>
          <w:p>
            <w:pPr>
              <w:jc w:val="right"/>
              <w:ind w:right="80"/>
              <w:spacing w:after="0"/>
              <w:rPr>
                <w:sz w:val="20"/>
                <w:szCs w:val="20"/>
                <w:color w:val="auto"/>
              </w:rPr>
            </w:pPr>
            <w:r>
              <w:rPr>
                <w:rFonts w:ascii="Arial" w:cs="Arial" w:eastAsia="Arial" w:hAnsi="Arial"/>
                <w:sz w:val="18"/>
                <w:szCs w:val="18"/>
                <w:color w:val="auto"/>
              </w:rPr>
              <w:t>(960)</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3"/>
          </w:tcPr>
          <w:p>
            <w:pPr>
              <w:ind w:left="80"/>
              <w:spacing w:after="0"/>
              <w:rPr>
                <w:sz w:val="20"/>
                <w:szCs w:val="20"/>
                <w:color w:val="auto"/>
              </w:rPr>
            </w:pPr>
            <w:r>
              <w:rPr>
                <w:rFonts w:ascii="Arial" w:cs="Arial" w:eastAsia="Arial" w:hAnsi="Arial"/>
                <w:sz w:val="18"/>
                <w:szCs w:val="18"/>
                <w:color w:val="auto"/>
              </w:rPr>
              <w:t>(1,396)</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60" w:type="dxa"/>
            <w:vAlign w:val="bottom"/>
            <w:gridSpan w:val="3"/>
          </w:tcPr>
          <w:p>
            <w:pPr>
              <w:jc w:val="right"/>
              <w:ind w:right="200"/>
              <w:spacing w:after="0"/>
              <w:rPr>
                <w:sz w:val="20"/>
                <w:szCs w:val="20"/>
                <w:color w:val="auto"/>
              </w:rPr>
            </w:pPr>
            <w:r>
              <w:rPr>
                <w:rFonts w:ascii="Arial" w:cs="Arial" w:eastAsia="Arial" w:hAnsi="Arial"/>
                <w:sz w:val="18"/>
                <w:szCs w:val="18"/>
                <w:color w:val="auto"/>
              </w:rPr>
              <w:t>2,728</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20" w:type="dxa"/>
            <w:vAlign w:val="bottom"/>
            <w:gridSpan w:val="2"/>
          </w:tcPr>
          <w:p>
            <w:pPr>
              <w:jc w:val="right"/>
              <w:ind w:right="100"/>
              <w:spacing w:after="0"/>
              <w:rPr>
                <w:sz w:val="20"/>
                <w:szCs w:val="20"/>
                <w:color w:val="auto"/>
              </w:rPr>
            </w:pPr>
            <w:r>
              <w:rPr>
                <w:rFonts w:ascii="Arial" w:cs="Arial" w:eastAsia="Arial" w:hAnsi="Arial"/>
                <w:sz w:val="18"/>
                <w:szCs w:val="18"/>
                <w:color w:val="auto"/>
              </w:rPr>
              <w:t>372</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28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1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2,742</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3"/>
            <w:shd w:val="clear" w:color="auto" w:fill="CCEEFF"/>
          </w:tcPr>
          <w:p>
            <w:pPr>
              <w:ind w:left="80"/>
              <w:spacing w:after="0"/>
              <w:rPr>
                <w:sz w:val="20"/>
                <w:szCs w:val="20"/>
                <w:color w:val="auto"/>
              </w:rPr>
            </w:pPr>
            <w:r>
              <w:rPr>
                <w:rFonts w:ascii="Arial" w:cs="Arial" w:eastAsia="Arial" w:hAnsi="Arial"/>
                <w:sz w:val="18"/>
                <w:szCs w:val="18"/>
                <w:color w:val="auto"/>
              </w:rPr>
              <w:t>(2,681)</w:t>
            </w:r>
          </w:p>
        </w:tc>
        <w:tc>
          <w:tcPr>
            <w:tcW w:w="3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1,087</w:t>
            </w:r>
          </w:p>
        </w:tc>
        <w:tc>
          <w:tcPr>
            <w:tcW w:w="8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1,148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8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by components are presented in the following table (in thousands):</w:t>
      </w:r>
    </w:p>
    <w:p>
      <w:pPr>
        <w:spacing w:after="0" w:line="21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154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Year</w:t>
            </w:r>
          </w:p>
        </w:tc>
        <w:tc>
          <w:tcPr>
            <w:tcW w:w="0" w:type="dxa"/>
            <w:vAlign w:val="bottom"/>
          </w:tcPr>
          <w:p>
            <w:pPr>
              <w:spacing w:after="0"/>
              <w:rPr>
                <w:sz w:val="1"/>
                <w:szCs w:val="1"/>
                <w:color w:val="auto"/>
              </w:rPr>
            </w:pPr>
          </w:p>
        </w:tc>
      </w:tr>
      <w:tr>
        <w:trPr>
          <w:trHeight w:val="149"/>
        </w:trPr>
        <w:tc>
          <w:tcPr>
            <w:tcW w:w="31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3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Ended</w:t>
            </w:r>
          </w:p>
        </w:tc>
        <w:tc>
          <w:tcPr>
            <w:tcW w:w="0" w:type="dxa"/>
            <w:vAlign w:val="bottom"/>
          </w:tcPr>
          <w:p>
            <w:pPr>
              <w:spacing w:after="0"/>
              <w:rPr>
                <w:sz w:val="1"/>
                <w:szCs w:val="1"/>
                <w:color w:val="auto"/>
              </w:rPr>
            </w:pPr>
          </w:p>
        </w:tc>
      </w:tr>
      <w:tr>
        <w:trPr>
          <w:trHeight w:val="134"/>
        </w:trPr>
        <w:tc>
          <w:tcPr>
            <w:tcW w:w="3160" w:type="dxa"/>
            <w:vAlign w:val="bottom"/>
            <w:gridSpan w:val="2"/>
            <w:vMerge w:val="continue"/>
          </w:tcPr>
          <w:p>
            <w:pPr>
              <w:spacing w:after="0"/>
              <w:rPr>
                <w:sz w:val="11"/>
                <w:szCs w:val="11"/>
                <w:color w:val="auto"/>
              </w:rPr>
            </w:pPr>
          </w:p>
        </w:tc>
        <w:tc>
          <w:tcPr>
            <w:tcW w:w="4600" w:type="dxa"/>
            <w:vAlign w:val="bottom"/>
            <w:gridSpan w:val="4"/>
          </w:tcPr>
          <w:p>
            <w:pPr>
              <w:jc w:val="center"/>
              <w:ind w:left="3617"/>
              <w:spacing w:after="0" w:line="135" w:lineRule="exact"/>
              <w:rPr>
                <w:sz w:val="20"/>
                <w:szCs w:val="20"/>
                <w:color w:val="auto"/>
              </w:rPr>
            </w:pPr>
            <w:r>
              <w:rPr>
                <w:rFonts w:ascii="Arial" w:cs="Arial" w:eastAsia="Arial" w:hAnsi="Arial"/>
                <w:sz w:val="14"/>
                <w:szCs w:val="14"/>
                <w:b w:val="1"/>
                <w:bCs w:val="1"/>
                <w:color w:val="auto"/>
                <w:w w:val="92"/>
              </w:rPr>
              <w:t>February 1,</w:t>
            </w:r>
          </w:p>
        </w:tc>
        <w:tc>
          <w:tcPr>
            <w:tcW w:w="0" w:type="dxa"/>
            <w:vAlign w:val="bottom"/>
          </w:tcPr>
          <w:p>
            <w:pPr>
              <w:spacing w:after="0"/>
              <w:rPr>
                <w:sz w:val="1"/>
                <w:szCs w:val="1"/>
                <w:color w:val="auto"/>
              </w:rPr>
            </w:pPr>
          </w:p>
        </w:tc>
      </w:tr>
      <w:tr>
        <w:trPr>
          <w:trHeight w:val="149"/>
        </w:trPr>
        <w:tc>
          <w:tcPr>
            <w:tcW w:w="316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rPr>
              <w:t>Statement of Operations</w:t>
            </w:r>
          </w:p>
        </w:tc>
        <w:tc>
          <w:tcPr>
            <w:tcW w:w="3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center"/>
              <w:ind w:right="39"/>
              <w:spacing w:after="0" w:line="129" w:lineRule="exact"/>
              <w:rPr>
                <w:sz w:val="20"/>
                <w:szCs w:val="20"/>
                <w:color w:val="auto"/>
              </w:rPr>
            </w:pPr>
            <w:r>
              <w:rPr>
                <w:rFonts w:ascii="Arial" w:cs="Arial" w:eastAsia="Arial" w:hAnsi="Arial"/>
                <w:sz w:val="14"/>
                <w:szCs w:val="14"/>
                <w:b w:val="1"/>
                <w:bCs w:val="1"/>
                <w:color w:val="auto"/>
                <w:w w:val="83"/>
              </w:rPr>
              <w:t>2014</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540" w:type="dxa"/>
            <w:vAlign w:val="bottom"/>
            <w:tcBorders>
              <w:top w:val="single" w:sz="8" w:color="auto"/>
              <w:bottom w:val="single" w:sz="8" w:color="CCEEFF"/>
            </w:tcBorders>
          </w:tcPr>
          <w:p>
            <w:pPr>
              <w:spacing w:after="0" w:line="20" w:lineRule="exact"/>
              <w:rPr>
                <w:sz w:val="1"/>
                <w:szCs w:val="1"/>
                <w:color w:val="auto"/>
              </w:rPr>
            </w:pPr>
          </w:p>
        </w:tc>
        <w:tc>
          <w:tcPr>
            <w:tcW w:w="1620" w:type="dxa"/>
            <w:vAlign w:val="bottom"/>
            <w:tcBorders>
              <w:bottom w:val="single" w:sz="8" w:color="CCEEFF"/>
            </w:tcBorders>
          </w:tcPr>
          <w:p>
            <w:pPr>
              <w:spacing w:after="0" w:line="20" w:lineRule="exact"/>
              <w:rPr>
                <w:sz w:val="1"/>
                <w:szCs w:val="1"/>
                <w:color w:val="auto"/>
              </w:rPr>
            </w:pPr>
          </w:p>
        </w:tc>
        <w:tc>
          <w:tcPr>
            <w:tcW w:w="382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3160" w:type="dxa"/>
            <w:vAlign w:val="bottom"/>
            <w:gridSpan w:val="2"/>
            <w:shd w:val="clear" w:color="auto" w:fill="CCEEFF"/>
          </w:tcPr>
          <w:p>
            <w:pPr>
              <w:spacing w:after="0" w:line="183" w:lineRule="exact"/>
              <w:rPr>
                <w:sz w:val="20"/>
                <w:szCs w:val="20"/>
                <w:color w:val="auto"/>
              </w:rPr>
            </w:pPr>
            <w:r>
              <w:rPr>
                <w:rFonts w:ascii="Arial" w:cs="Arial" w:eastAsia="Arial" w:hAnsi="Arial"/>
                <w:sz w:val="18"/>
                <w:szCs w:val="18"/>
                <w:color w:val="auto"/>
              </w:rPr>
              <w:t>Available-for-sale securities:</w:t>
            </w:r>
          </w:p>
        </w:tc>
        <w:tc>
          <w:tcPr>
            <w:tcW w:w="38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5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3160" w:type="dxa"/>
            <w:vAlign w:val="bottom"/>
            <w:gridSpan w:val="2"/>
          </w:tcPr>
          <w:p>
            <w:pPr>
              <w:ind w:left="440"/>
              <w:spacing w:after="0"/>
              <w:rPr>
                <w:sz w:val="20"/>
                <w:szCs w:val="20"/>
                <w:color w:val="auto"/>
              </w:rPr>
            </w:pPr>
            <w:r>
              <w:rPr>
                <w:rFonts w:ascii="Arial" w:cs="Arial" w:eastAsia="Arial" w:hAnsi="Arial"/>
                <w:sz w:val="18"/>
                <w:szCs w:val="18"/>
                <w:color w:val="auto"/>
              </w:rPr>
              <w:t>Interest and other income, net</w:t>
            </w:r>
          </w:p>
        </w:tc>
        <w:tc>
          <w:tcPr>
            <w:tcW w:w="39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1,139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3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gridSpan w:val="2"/>
          </w:tcPr>
          <w:p>
            <w:pPr>
              <w:ind w:left="440"/>
              <w:spacing w:after="0"/>
              <w:rPr>
                <w:sz w:val="20"/>
                <w:szCs w:val="20"/>
                <w:color w:val="auto"/>
              </w:rPr>
            </w:pPr>
            <w:r>
              <w:rPr>
                <w:rFonts w:ascii="Arial" w:cs="Arial" w:eastAsia="Arial" w:hAnsi="Arial"/>
                <w:sz w:val="18"/>
                <w:szCs w:val="18"/>
                <w:color w:val="auto"/>
              </w:rPr>
              <w:t>Cost of goods sold</w:t>
            </w:r>
          </w:p>
        </w:tc>
        <w:tc>
          <w:tcPr>
            <w:tcW w:w="3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Research and development</w:t>
            </w:r>
          </w:p>
        </w:tc>
        <w:tc>
          <w:tcPr>
            <w:tcW w:w="3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gridSpan w:val="2"/>
          </w:tcPr>
          <w:p>
            <w:pPr>
              <w:ind w:left="440"/>
              <w:spacing w:after="0"/>
              <w:rPr>
                <w:sz w:val="20"/>
                <w:szCs w:val="20"/>
                <w:color w:val="auto"/>
              </w:rPr>
            </w:pPr>
            <w:r>
              <w:rPr>
                <w:rFonts w:ascii="Arial" w:cs="Arial" w:eastAsia="Arial" w:hAnsi="Arial"/>
                <w:sz w:val="18"/>
                <w:szCs w:val="18"/>
                <w:color w:val="auto"/>
              </w:rPr>
              <w:t>Selling and marketing</w:t>
            </w:r>
          </w:p>
        </w:tc>
        <w:tc>
          <w:tcPr>
            <w:tcW w:w="3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General and administrative</w:t>
            </w:r>
          </w:p>
        </w:tc>
        <w:tc>
          <w:tcPr>
            <w:tcW w:w="38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160" w:type="dxa"/>
            <w:vAlign w:val="bottom"/>
            <w:gridSpan w:val="2"/>
          </w:tcPr>
          <w:p>
            <w:pPr>
              <w:spacing w:after="0"/>
              <w:rPr>
                <w:sz w:val="20"/>
                <w:szCs w:val="20"/>
                <w:color w:val="auto"/>
              </w:rPr>
            </w:pPr>
            <w:r>
              <w:rPr>
                <w:rFonts w:ascii="Arial" w:cs="Arial" w:eastAsia="Arial" w:hAnsi="Arial"/>
                <w:sz w:val="18"/>
                <w:szCs w:val="18"/>
                <w:color w:val="auto"/>
              </w:rPr>
              <w:t>Total</w:t>
            </w:r>
          </w:p>
        </w:tc>
        <w:tc>
          <w:tcPr>
            <w:tcW w:w="39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4,758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5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3820" w:type="dxa"/>
            <w:vAlign w:val="bottom"/>
            <w:vMerge w:val="restart"/>
          </w:tcPr>
          <w:p>
            <w:pPr>
              <w:jc w:val="right"/>
              <w:ind w:right="2937"/>
              <w:spacing w:after="0"/>
              <w:rPr>
                <w:sz w:val="20"/>
                <w:szCs w:val="20"/>
                <w:color w:val="auto"/>
              </w:rPr>
            </w:pPr>
            <w:r>
              <w:rPr>
                <w:rFonts w:ascii="Arial" w:cs="Arial" w:eastAsia="Arial" w:hAnsi="Arial"/>
                <w:sz w:val="18"/>
                <w:szCs w:val="18"/>
                <w:color w:val="auto"/>
              </w:rPr>
              <w:t>78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15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38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Company reports both basic net income per share, which is based on the weighted average number of shares outstanding, and diluted net income per share, which is based on the weighted average number of shares outstanding and potentially dilutive shares. The computations of basic and diluted net income per share are presented in the following table (in thousands, except per share amounts):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Year Ended</w:t>
            </w:r>
          </w:p>
        </w:tc>
        <w:tc>
          <w:tcPr>
            <w:tcW w:w="2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400" w:type="dxa"/>
            <w:vAlign w:val="bottom"/>
          </w:tcPr>
          <w:p>
            <w:pPr>
              <w:spacing w:after="0"/>
              <w:rPr>
                <w:sz w:val="11"/>
                <w:szCs w:val="11"/>
                <w:color w:val="auto"/>
              </w:rPr>
            </w:pPr>
          </w:p>
        </w:tc>
        <w:tc>
          <w:tcPr>
            <w:tcW w:w="290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90"/>
              </w:rPr>
              <w:t>February 1,</w:t>
            </w:r>
          </w:p>
        </w:tc>
        <w:tc>
          <w:tcPr>
            <w:tcW w:w="400" w:type="dxa"/>
            <w:vAlign w:val="bottom"/>
          </w:tcPr>
          <w:p>
            <w:pPr>
              <w:spacing w:after="0"/>
              <w:rPr>
                <w:sz w:val="11"/>
                <w:szCs w:val="11"/>
                <w:color w:val="auto"/>
              </w:rPr>
            </w:pPr>
          </w:p>
        </w:tc>
        <w:tc>
          <w:tcPr>
            <w:tcW w:w="9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1"/>
                <w:szCs w:val="11"/>
                <w:color w:val="auto"/>
              </w:rPr>
            </w:pPr>
          </w:p>
        </w:tc>
        <w:tc>
          <w:tcPr>
            <w:tcW w:w="7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400" w:type="dxa"/>
            <w:vAlign w:val="bottom"/>
            <w:tcBorders>
              <w:bottom w:val="single" w:sz="8" w:color="CCEEFF"/>
            </w:tcBorders>
          </w:tcPr>
          <w:p>
            <w:pPr>
              <w:spacing w:after="0"/>
              <w:rPr>
                <w:sz w:val="14"/>
                <w:szCs w:val="14"/>
                <w:color w:val="auto"/>
              </w:rPr>
            </w:pPr>
          </w:p>
        </w:tc>
        <w:tc>
          <w:tcPr>
            <w:tcW w:w="29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2014</w:t>
            </w:r>
          </w:p>
        </w:tc>
        <w:tc>
          <w:tcPr>
            <w:tcW w:w="4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2013</w:t>
            </w:r>
          </w:p>
        </w:tc>
        <w:tc>
          <w:tcPr>
            <w:tcW w:w="2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4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29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Net income</w:t>
            </w:r>
          </w:p>
        </w:tc>
        <w:tc>
          <w:tcPr>
            <w:tcW w:w="3020" w:type="dxa"/>
            <w:vAlign w:val="bottom"/>
            <w:gridSpan w:val="2"/>
          </w:tcPr>
          <w:p>
            <w:pPr>
              <w:ind w:left="290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315,320</w:t>
            </w:r>
          </w:p>
        </w:tc>
        <w:tc>
          <w:tcPr>
            <w:tcW w:w="520" w:type="dxa"/>
            <w:vAlign w:val="bottom"/>
            <w:gridSpan w:val="2"/>
          </w:tcPr>
          <w:p>
            <w:pPr>
              <w:ind w:left="40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306,585</w:t>
            </w:r>
          </w:p>
        </w:tc>
        <w:tc>
          <w:tcPr>
            <w:tcW w:w="220" w:type="dxa"/>
            <w:vAlign w:val="bottom"/>
          </w:tcPr>
          <w:p>
            <w:pPr>
              <w:spacing w:after="0"/>
              <w:rPr>
                <w:sz w:val="18"/>
                <w:szCs w:val="18"/>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615,091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2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Weighted average shares — basic</w:t>
            </w:r>
          </w:p>
        </w:tc>
        <w:tc>
          <w:tcPr>
            <w:tcW w:w="29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496,518</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555,310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607,857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2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Share-based awards</w:t>
            </w:r>
          </w:p>
        </w:tc>
        <w:tc>
          <w:tcPr>
            <w:tcW w:w="29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7,895</w:t>
            </w:r>
          </w:p>
        </w:tc>
        <w:tc>
          <w:tcPr>
            <w:tcW w:w="4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7,813</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15,411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diluted</w:t>
            </w:r>
          </w:p>
        </w:tc>
        <w:tc>
          <w:tcPr>
            <w:tcW w:w="2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504,413</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563,123</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623,268</w:t>
            </w:r>
          </w:p>
        </w:tc>
        <w:tc>
          <w:tcPr>
            <w:tcW w:w="0" w:type="dxa"/>
            <w:vAlign w:val="bottom"/>
          </w:tcPr>
          <w:p>
            <w:pPr>
              <w:spacing w:after="0"/>
              <w:rPr>
                <w:sz w:val="1"/>
                <w:szCs w:val="1"/>
                <w:color w:val="auto"/>
              </w:rPr>
            </w:pPr>
          </w:p>
        </w:tc>
      </w:tr>
      <w:tr>
        <w:trPr>
          <w:trHeight w:val="20"/>
        </w:trPr>
        <w:tc>
          <w:tcPr>
            <w:tcW w:w="542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9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420" w:type="dxa"/>
            <w:vAlign w:val="bottom"/>
            <w:gridSpan w:val="2"/>
            <w:vMerge w:val="continue"/>
          </w:tcPr>
          <w:p>
            <w:pPr>
              <w:spacing w:after="0"/>
              <w:rPr>
                <w:sz w:val="18"/>
                <w:szCs w:val="18"/>
                <w:color w:val="auto"/>
              </w:rPr>
            </w:pPr>
          </w:p>
        </w:tc>
        <w:tc>
          <w:tcPr>
            <w:tcW w:w="29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Basic</w:t>
            </w:r>
          </w:p>
        </w:tc>
        <w:tc>
          <w:tcPr>
            <w:tcW w:w="3020" w:type="dxa"/>
            <w:vAlign w:val="bottom"/>
            <w:gridSpan w:val="2"/>
            <w:shd w:val="clear" w:color="auto" w:fill="CCEEFF"/>
          </w:tcPr>
          <w:p>
            <w:pPr>
              <w:ind w:left="290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0.64</w:t>
            </w:r>
          </w:p>
        </w:tc>
        <w:tc>
          <w:tcPr>
            <w:tcW w:w="5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0.55</w:t>
            </w:r>
          </w:p>
        </w:tc>
        <w:tc>
          <w:tcPr>
            <w:tcW w:w="2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Diluted</w:t>
            </w:r>
          </w:p>
        </w:tc>
        <w:tc>
          <w:tcPr>
            <w:tcW w:w="3020" w:type="dxa"/>
            <w:vAlign w:val="bottom"/>
            <w:gridSpan w:val="2"/>
          </w:tcPr>
          <w:p>
            <w:pPr>
              <w:ind w:left="290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0.63</w:t>
            </w:r>
          </w:p>
        </w:tc>
        <w:tc>
          <w:tcPr>
            <w:tcW w:w="520" w:type="dxa"/>
            <w:vAlign w:val="bottom"/>
            <w:gridSpan w:val="2"/>
          </w:tcPr>
          <w:p>
            <w:pPr>
              <w:ind w:left="40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0.54</w:t>
            </w:r>
          </w:p>
        </w:tc>
        <w:tc>
          <w:tcPr>
            <w:tcW w:w="220" w:type="dxa"/>
            <w:vAlign w:val="bottom"/>
          </w:tcPr>
          <w:p>
            <w:pPr>
              <w:spacing w:after="0"/>
              <w:rPr>
                <w:sz w:val="19"/>
                <w:szCs w:val="19"/>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0.99</w:t>
            </w:r>
          </w:p>
        </w:tc>
        <w:tc>
          <w:tcPr>
            <w:tcW w:w="0" w:type="dxa"/>
            <w:vAlign w:val="bottom"/>
          </w:tcPr>
          <w:p>
            <w:pPr>
              <w:spacing w:after="0"/>
              <w:rPr>
                <w:sz w:val="1"/>
                <w:szCs w:val="1"/>
                <w:color w:val="auto"/>
              </w:rPr>
            </w:pPr>
          </w:p>
        </w:tc>
      </w:tr>
    </w:tbl>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20" w:type="dxa"/>
            <w:vAlign w:val="bottom"/>
          </w:tcPr>
          <w:p>
            <w:pPr>
              <w:spacing w:after="0"/>
              <w:rPr>
                <w:sz w:val="14"/>
                <w:szCs w:val="14"/>
                <w:color w:val="auto"/>
              </w:rPr>
            </w:pPr>
          </w:p>
        </w:tc>
        <w:tc>
          <w:tcPr>
            <w:tcW w:w="1420" w:type="dxa"/>
            <w:vAlign w:val="bottom"/>
            <w:gridSpan w:val="2"/>
          </w:tcPr>
          <w:p>
            <w:pPr>
              <w:ind w:left="20"/>
              <w:spacing w:after="0"/>
              <w:rPr>
                <w:sz w:val="20"/>
                <w:szCs w:val="20"/>
                <w:color w:val="auto"/>
              </w:rPr>
            </w:pPr>
            <w:r>
              <w:rPr>
                <w:rFonts w:ascii="Arial" w:cs="Arial" w:eastAsia="Arial" w:hAnsi="Arial"/>
                <w:sz w:val="14"/>
                <w:szCs w:val="14"/>
                <w:b w:val="1"/>
                <w:bCs w:val="1"/>
                <w:color w:val="auto"/>
              </w:rPr>
              <w:t>February 1,</w:t>
            </w:r>
          </w:p>
        </w:tc>
        <w:tc>
          <w:tcPr>
            <w:tcW w:w="680" w:type="dxa"/>
            <w:vAlign w:val="bottom"/>
          </w:tcPr>
          <w:p>
            <w:pPr>
              <w:jc w:val="right"/>
              <w:spacing w:after="0"/>
              <w:rPr>
                <w:sz w:val="20"/>
                <w:szCs w:val="20"/>
                <w:color w:val="auto"/>
              </w:rPr>
            </w:pPr>
            <w:r>
              <w:rPr>
                <w:rFonts w:ascii="Arial" w:cs="Arial" w:eastAsia="Arial" w:hAnsi="Arial"/>
                <w:sz w:val="14"/>
                <w:szCs w:val="14"/>
                <w:b w:val="1"/>
                <w:bCs w:val="1"/>
                <w:color w:val="auto"/>
                <w:w w:val="87"/>
              </w:rPr>
              <w:t>February 2,</w:t>
            </w:r>
          </w:p>
        </w:tc>
        <w:tc>
          <w:tcPr>
            <w:tcW w:w="720" w:type="dxa"/>
            <w:vAlign w:val="bottom"/>
          </w:tcPr>
          <w:p>
            <w:pPr>
              <w:spacing w:after="0"/>
              <w:rPr>
                <w:sz w:val="14"/>
                <w:szCs w:val="14"/>
                <w:color w:val="auto"/>
              </w:rPr>
            </w:pPr>
          </w:p>
        </w:tc>
        <w:tc>
          <w:tcPr>
            <w:tcW w:w="780" w:type="dxa"/>
            <w:vAlign w:val="bottom"/>
            <w:gridSpan w:val="2"/>
          </w:tcPr>
          <w:p>
            <w:pPr>
              <w:spacing w:after="0"/>
              <w:rPr>
                <w:sz w:val="20"/>
                <w:szCs w:val="20"/>
                <w:color w:val="auto"/>
              </w:rPr>
            </w:pPr>
            <w:r>
              <w:rPr>
                <w:rFonts w:ascii="Arial" w:cs="Arial" w:eastAsia="Arial" w:hAnsi="Arial"/>
                <w:sz w:val="14"/>
                <w:szCs w:val="14"/>
                <w:b w:val="1"/>
                <w:bCs w:val="1"/>
                <w:color w:val="auto"/>
                <w:w w:val="98"/>
              </w:rPr>
              <w:t>January 28,</w:t>
            </w:r>
          </w:p>
        </w:tc>
      </w:tr>
      <w:tr>
        <w:trPr>
          <w:trHeight w:val="161"/>
        </w:trPr>
        <w:tc>
          <w:tcPr>
            <w:tcW w:w="7820" w:type="dxa"/>
            <w:vAlign w:val="bottom"/>
          </w:tcPr>
          <w:p>
            <w:pPr>
              <w:spacing w:after="0"/>
              <w:rPr>
                <w:sz w:val="14"/>
                <w:szCs w:val="14"/>
                <w:color w:val="auto"/>
              </w:rPr>
            </w:pPr>
          </w:p>
        </w:tc>
        <w:tc>
          <w:tcPr>
            <w:tcW w:w="700" w:type="dxa"/>
            <w:vAlign w:val="bottom"/>
          </w:tcPr>
          <w:p>
            <w:pPr>
              <w:jc w:val="right"/>
              <w:ind w:right="142"/>
              <w:spacing w:after="0"/>
              <w:rPr>
                <w:sz w:val="20"/>
                <w:szCs w:val="20"/>
                <w:color w:val="auto"/>
              </w:rPr>
            </w:pPr>
            <w:r>
              <w:rPr>
                <w:rFonts w:ascii="Arial" w:cs="Arial" w:eastAsia="Arial" w:hAnsi="Arial"/>
                <w:sz w:val="14"/>
                <w:szCs w:val="14"/>
                <w:b w:val="1"/>
                <w:bCs w:val="1"/>
                <w:color w:val="auto"/>
              </w:rPr>
              <w:t>2014</w:t>
            </w:r>
          </w:p>
        </w:tc>
        <w:tc>
          <w:tcPr>
            <w:tcW w:w="72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14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r>
      <w:tr>
        <w:trPr>
          <w:trHeight w:val="196"/>
        </w:trPr>
        <w:tc>
          <w:tcPr>
            <w:tcW w:w="78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Anti-dilutive potential shares:</w:t>
            </w:r>
          </w:p>
        </w:tc>
        <w:tc>
          <w:tcPr>
            <w:tcW w:w="70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7820" w:type="dxa"/>
            <w:vAlign w:val="bottom"/>
          </w:tcPr>
          <w:p>
            <w:pPr>
              <w:spacing w:after="0"/>
              <w:rPr>
                <w:sz w:val="20"/>
                <w:szCs w:val="20"/>
                <w:color w:val="auto"/>
              </w:rPr>
            </w:pPr>
            <w:r>
              <w:rPr>
                <w:rFonts w:ascii="Arial" w:cs="Arial" w:eastAsia="Arial" w:hAnsi="Arial"/>
                <w:sz w:val="18"/>
                <w:szCs w:val="18"/>
                <w:color w:val="auto"/>
              </w:rPr>
              <w:t>Weighted average shares outstanding from stock options</w:t>
            </w:r>
          </w:p>
        </w:tc>
        <w:tc>
          <w:tcPr>
            <w:tcW w:w="1420" w:type="dxa"/>
            <w:vAlign w:val="bottom"/>
            <w:gridSpan w:val="2"/>
          </w:tcPr>
          <w:p>
            <w:pPr>
              <w:jc w:val="right"/>
              <w:ind w:right="720"/>
              <w:spacing w:after="0"/>
              <w:rPr>
                <w:sz w:val="20"/>
                <w:szCs w:val="20"/>
                <w:color w:val="auto"/>
              </w:rPr>
            </w:pPr>
            <w:r>
              <w:rPr>
                <w:rFonts w:ascii="Arial" w:cs="Arial" w:eastAsia="Arial" w:hAnsi="Arial"/>
                <w:sz w:val="18"/>
                <w:szCs w:val="18"/>
                <w:color w:val="auto"/>
              </w:rPr>
              <w:t>39,593</w:t>
            </w:r>
          </w:p>
        </w:tc>
        <w:tc>
          <w:tcPr>
            <w:tcW w:w="680" w:type="dxa"/>
            <w:vAlign w:val="bottom"/>
          </w:tcPr>
          <w:p>
            <w:pPr>
              <w:jc w:val="right"/>
              <w:spacing w:after="0"/>
              <w:rPr>
                <w:sz w:val="20"/>
                <w:szCs w:val="20"/>
                <w:color w:val="auto"/>
              </w:rPr>
            </w:pPr>
            <w:r>
              <w:rPr>
                <w:rFonts w:ascii="Arial" w:cs="Arial" w:eastAsia="Arial" w:hAnsi="Arial"/>
                <w:sz w:val="18"/>
                <w:szCs w:val="18"/>
                <w:color w:val="auto"/>
              </w:rPr>
              <w:t>28,124</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21,014</w:t>
            </w:r>
          </w:p>
        </w:tc>
        <w:tc>
          <w:tcPr>
            <w:tcW w:w="100" w:type="dxa"/>
            <w:vAlign w:val="bottom"/>
          </w:tcPr>
          <w:p>
            <w:pPr>
              <w:spacing w:after="0"/>
              <w:rPr>
                <w:sz w:val="18"/>
                <w:szCs w:val="18"/>
                <w:color w:val="auto"/>
              </w:rPr>
            </w:pPr>
          </w:p>
        </w:tc>
      </w:tr>
      <w:tr>
        <w:trPr>
          <w:trHeight w:val="20"/>
        </w:trPr>
        <w:tc>
          <w:tcPr>
            <w:tcW w:w="78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exercise price:</w:t>
            </w:r>
          </w:p>
        </w:tc>
        <w:tc>
          <w:tcPr>
            <w:tcW w:w="14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  15.14</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17.48</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18.79</w:t>
            </w:r>
          </w:p>
        </w:tc>
        <w:tc>
          <w:tcPr>
            <w:tcW w:w="100" w:type="dxa"/>
            <w:vAlign w:val="bottom"/>
            <w:shd w:val="clear" w:color="auto" w:fill="CCEEFF"/>
          </w:tcPr>
          <w:p>
            <w:pPr>
              <w:spacing w:after="0"/>
              <w:rPr>
                <w:sz w:val="18"/>
                <w:szCs w:val="18"/>
                <w:color w:val="auto"/>
              </w:rPr>
            </w:pPr>
          </w:p>
        </w:tc>
      </w:tr>
      <w:tr>
        <w:trPr>
          <w:trHeight w:val="20"/>
        </w:trPr>
        <w:tc>
          <w:tcPr>
            <w:tcW w:w="78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Anti-dilutive potential shares for stock options are excluded from the calculation of diluted earnings per share for the periods reported above because either their exercise price exceeded the average market price during the period or certain stock options with exercise prices less than the average market price were determined to be anti-dilutive based on applying the treasury stock method. The anti-dilutive shares reported above also include shares from stock options that contain market conditions for vesting since the market value of the Company’s stock as of February 1, 2014, February 2, 2013 and January 28, 2012 was lower than the required market condition. There were 2.7 million shares in fiscal 2014 and 3.0 million anti-dilutive shares in each of fiscal 2013 and 2012, from stock options that contain market conditions. See “Note 12–Shareholders’ Equity” for additional details.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Derivative Financial Instruments: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3"/>
          </w:tcPr>
          <w:p>
            <w:pPr>
              <w:jc w:val="right"/>
              <w:ind w:right="83"/>
              <w:spacing w:after="0"/>
              <w:rPr>
                <w:sz w:val="20"/>
                <w:szCs w:val="20"/>
                <w:color w:val="auto"/>
              </w:rPr>
            </w:pPr>
            <w:r>
              <w:rPr>
                <w:rFonts w:ascii="Arial" w:cs="Arial" w:eastAsia="Arial" w:hAnsi="Arial"/>
                <w:sz w:val="14"/>
                <w:szCs w:val="14"/>
                <w:b w:val="1"/>
                <w:bCs w:val="1"/>
                <w:color w:val="auto"/>
                <w:w w:val="85"/>
              </w:rPr>
              <w:t>Buy Contracts</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6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4"/>
              </w:rPr>
              <w:t>February 1,</w:t>
            </w:r>
          </w:p>
        </w:tc>
        <w:tc>
          <w:tcPr>
            <w:tcW w:w="20" w:type="dxa"/>
            <w:vAlign w:val="bottom"/>
          </w:tcPr>
          <w:p>
            <w:pPr>
              <w:spacing w:after="0"/>
              <w:rPr>
                <w:sz w:val="11"/>
                <w:szCs w:val="11"/>
                <w:color w:val="auto"/>
              </w:rPr>
            </w:pPr>
          </w:p>
        </w:tc>
        <w:tc>
          <w:tcPr>
            <w:tcW w:w="1520" w:type="dxa"/>
            <w:vAlign w:val="bottom"/>
            <w:gridSpan w:val="3"/>
          </w:tcPr>
          <w:p>
            <w:pPr>
              <w:ind w:left="820"/>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r>
      <w:tr>
        <w:trPr>
          <w:trHeight w:val="161"/>
        </w:trPr>
        <w:tc>
          <w:tcPr>
            <w:tcW w:w="63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20" w:type="dxa"/>
            <w:vAlign w:val="bottom"/>
            <w:tcBorders>
              <w:bottom w:val="single" w:sz="8" w:color="auto"/>
            </w:tcBorders>
          </w:tcPr>
          <w:p>
            <w:pPr>
              <w:spacing w:after="0"/>
              <w:rPr>
                <w:sz w:val="14"/>
                <w:szCs w:val="14"/>
                <w:color w:val="auto"/>
              </w:rPr>
            </w:pPr>
          </w:p>
        </w:tc>
        <w:tc>
          <w:tcPr>
            <w:tcW w:w="8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210"/>
        </w:trPr>
        <w:tc>
          <w:tcPr>
            <w:tcW w:w="63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39,670</w:t>
            </w:r>
          </w:p>
        </w:tc>
        <w:tc>
          <w:tcPr>
            <w:tcW w:w="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ind w:left="60"/>
              <w:spacing w:after="0"/>
              <w:rPr>
                <w:sz w:val="20"/>
                <w:szCs w:val="20"/>
                <w:color w:val="auto"/>
              </w:rPr>
            </w:pPr>
            <w:r>
              <w:rPr>
                <w:rFonts w:ascii="Arial" w:cs="Arial" w:eastAsia="Arial" w:hAnsi="Arial"/>
                <w:sz w:val="18"/>
                <w:szCs w:val="18"/>
                <w:color w:val="auto"/>
                <w:w w:val="83"/>
              </w:rPr>
              <w:t>38,249</w:t>
            </w:r>
          </w:p>
        </w:tc>
        <w:tc>
          <w:tcPr>
            <w:tcW w:w="100" w:type="dxa"/>
            <w:vAlign w:val="bottom"/>
            <w:shd w:val="clear" w:color="auto" w:fill="CCEEFF"/>
          </w:tcPr>
          <w:p>
            <w:pPr>
              <w:spacing w:after="0"/>
              <w:rPr>
                <w:sz w:val="18"/>
                <w:szCs w:val="18"/>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Euro</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5,718</w:t>
            </w:r>
          </w:p>
        </w:tc>
        <w:tc>
          <w:tcPr>
            <w:tcW w:w="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ind w:left="280"/>
              <w:spacing w:after="0"/>
              <w:rPr>
                <w:sz w:val="20"/>
                <w:szCs w:val="20"/>
                <w:color w:val="auto"/>
              </w:rPr>
            </w:pPr>
            <w:r>
              <w:rPr>
                <w:rFonts w:ascii="Arial" w:cs="Arial" w:eastAsia="Arial" w:hAnsi="Arial"/>
                <w:sz w:val="18"/>
                <w:szCs w:val="18"/>
                <w:color w:val="auto"/>
              </w:rPr>
              <w:t>—</w:t>
            </w: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Swedish krona</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3,709</w:t>
            </w:r>
          </w:p>
        </w:tc>
        <w:tc>
          <w:tcPr>
            <w:tcW w:w="20" w:type="dxa"/>
            <w:vAlign w:val="bottom"/>
            <w:tcBorders>
              <w:bottom w:val="single" w:sz="8" w:color="auto"/>
            </w:tcBorders>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r>
      <w:tr>
        <w:trPr>
          <w:trHeight w:val="222"/>
        </w:trPr>
        <w:tc>
          <w:tcPr>
            <w:tcW w:w="6360" w:type="dxa"/>
            <w:vAlign w:val="bottom"/>
          </w:tcPr>
          <w:p>
            <w:pPr>
              <w:spacing w:after="0"/>
              <w:rPr>
                <w:sz w:val="19"/>
                <w:szCs w:val="19"/>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49,097</w:t>
            </w: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ind w:left="60"/>
              <w:spacing w:after="0"/>
              <w:rPr>
                <w:sz w:val="20"/>
                <w:szCs w:val="20"/>
                <w:color w:val="auto"/>
              </w:rPr>
            </w:pPr>
            <w:r>
              <w:rPr>
                <w:rFonts w:ascii="Arial" w:cs="Arial" w:eastAsia="Arial" w:hAnsi="Arial"/>
                <w:sz w:val="18"/>
                <w:szCs w:val="18"/>
                <w:color w:val="auto"/>
                <w:w w:val="83"/>
              </w:rPr>
              <w:t>38,249</w:t>
            </w:r>
          </w:p>
        </w:tc>
        <w:tc>
          <w:tcPr>
            <w:tcW w:w="100" w:type="dxa"/>
            <w:vAlign w:val="bottom"/>
          </w:tcPr>
          <w:p>
            <w:pPr>
              <w:spacing w:after="0"/>
              <w:rPr>
                <w:sz w:val="19"/>
                <w:szCs w:val="19"/>
                <w:color w:val="auto"/>
              </w:rPr>
            </w:pPr>
          </w:p>
        </w:tc>
      </w:tr>
      <w:tr>
        <w:trPr>
          <w:trHeight w:val="20"/>
        </w:trPr>
        <w:tc>
          <w:tcPr>
            <w:tcW w:w="63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i w:val="1"/>
          <w:iCs w:val="1"/>
          <w:color w:val="auto"/>
        </w:rPr>
        <w:t xml:space="preserve">Cash Flow Hedges. </w:t>
      </w:r>
      <w:r>
        <w:rPr>
          <w:rFonts w:ascii="Arial" w:cs="Arial" w:eastAsia="Arial" w:hAnsi="Arial"/>
          <w:sz w:val="16"/>
          <w:szCs w:val="16"/>
          <w:color w:val="auto"/>
        </w:rPr>
        <w:t>The Company designates and documents its foreign currency forward exchange contracts as cash flow hedges for certain operating</w:t>
      </w:r>
      <w:r>
        <w:rPr>
          <w:rFonts w:ascii="Arial" w:cs="Arial" w:eastAsia="Arial" w:hAnsi="Arial"/>
          <w:sz w:val="16"/>
          <w:szCs w:val="16"/>
          <w:i w:val="1"/>
          <w:iCs w:val="1"/>
          <w:color w:val="auto"/>
        </w:rPr>
        <w:t xml:space="preserve"> </w:t>
      </w:r>
      <w:r>
        <w:rPr>
          <w:rFonts w:ascii="Arial" w:cs="Arial" w:eastAsia="Arial" w:hAnsi="Arial"/>
          <w:sz w:val="16"/>
          <w:szCs w:val="16"/>
          <w:color w:val="auto"/>
        </w:rPr>
        <w:t>expenses denominated in the Israeli shekel and Swedish krona.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13"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Fair Value Measurements:</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2"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280" w:firstLine="456"/>
        <w:spacing w:after="0" w:line="291"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and liabilities include its marketable investments in time deposits, corporate debt securities, foreign government and agency debt, municipal debt securities and asset back securities as the market inputs to value these instruments consist of market yields, reported trades and broker/dealer quotes, which are corroborated with observable market data. In addition, foreign currency forward contracts and the severance pay fund are classified within Level 2 as the valuation inputs are based on quoted prices and market observable data of similar instruments. The Company’s Level 3 assets include its investments</w:t>
      </w:r>
    </w:p>
    <w:p>
      <w:pPr>
        <w:spacing w:after="0" w:line="10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340"/>
          </w:cols>
          <w:pgMar w:left="240" w:top="459" w:right="31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20"/>
        <w:spacing w:after="0" w:line="256" w:lineRule="auto"/>
        <w:rPr>
          <w:sz w:val="20"/>
          <w:szCs w:val="20"/>
          <w:color w:val="auto"/>
        </w:rPr>
      </w:pPr>
      <w:r>
        <w:rPr>
          <w:rFonts w:ascii="Arial" w:cs="Arial" w:eastAsia="Arial" w:hAnsi="Arial"/>
          <w:sz w:val="18"/>
          <w:szCs w:val="18"/>
          <w:color w:val="auto"/>
        </w:rPr>
        <w:t>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0.3% of total assets as of February 1, 2014.</w:t>
      </w:r>
    </w:p>
    <w:p>
      <w:pPr>
        <w:spacing w:after="0" w:line="143"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February 1, 2014 and February 2, 2013.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3"/>
              </w:rPr>
              <w:t>Portion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2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9"/>
              </w:rPr>
              <w:t>at February 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3"/>
              <w:spacing w:after="0"/>
              <w:rPr>
                <w:sz w:val="20"/>
                <w:szCs w:val="20"/>
                <w:color w:val="auto"/>
              </w:rPr>
            </w:pPr>
            <w:r>
              <w:rPr>
                <w:rFonts w:ascii="Arial" w:cs="Arial" w:eastAsia="Arial" w:hAnsi="Arial"/>
                <w:sz w:val="14"/>
                <w:szCs w:val="14"/>
                <w:b w:val="1"/>
                <w:bCs w:val="1"/>
                <w:color w:val="auto"/>
                <w:w w:val="88"/>
              </w:rPr>
              <w:t>Level 1</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w w:val="92"/>
              </w:rPr>
              <w:t>Level 2</w:t>
            </w:r>
          </w:p>
        </w:tc>
        <w:tc>
          <w:tcPr>
            <w:tcW w:w="440" w:type="dxa"/>
            <w:vAlign w:val="bottom"/>
          </w:tcPr>
          <w:p>
            <w:pPr>
              <w:spacing w:after="0"/>
              <w:rPr>
                <w:sz w:val="14"/>
                <w:szCs w:val="14"/>
                <w:color w:val="auto"/>
              </w:rPr>
            </w:pPr>
          </w:p>
        </w:tc>
        <w:tc>
          <w:tcPr>
            <w:tcW w:w="80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Level 3</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83"/>
              </w:rPr>
              <w:t>2014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27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Assets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28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2,804</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2,804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247,958</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247,958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4,800</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4,800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agency debt</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11,999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3,400</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3,400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301,479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589,514</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Asset backed securities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76,271</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20,292</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Municipal debt securities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16,099</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Foreign currency forward contracts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1,012</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1,012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16,279</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20" w:type="dxa"/>
            <w:vAlign w:val="bottom"/>
          </w:tcPr>
          <w:p>
            <w:pPr>
              <w:ind w:left="860"/>
              <w:spacing w:after="0"/>
              <w:rPr>
                <w:sz w:val="20"/>
                <w:szCs w:val="20"/>
                <w:color w:val="auto"/>
              </w:rPr>
            </w:pPr>
            <w:r>
              <w:rPr>
                <w:rFonts w:ascii="Arial" w:cs="Arial" w:eastAsia="Arial" w:hAnsi="Arial"/>
                <w:sz w:val="18"/>
                <w:szCs w:val="18"/>
                <w:color w:val="auto"/>
              </w:rPr>
              <w:t>Severance pay fund</w:t>
            </w:r>
          </w:p>
        </w:tc>
        <w:tc>
          <w:tcPr>
            <w:tcW w:w="27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2,193</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2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316,282</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961,539</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7"/>
              </w:rPr>
              <w:t>16,279</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1,294,100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2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540" w:type="dxa"/>
            <w:vAlign w:val="bottom"/>
            <w:gridSpan w:val="2"/>
            <w:vMerge w:val="continue"/>
          </w:tcPr>
          <w:p>
            <w:pPr>
              <w:spacing w:after="0"/>
              <w:rPr>
                <w:sz w:val="18"/>
                <w:szCs w:val="18"/>
                <w:color w:val="auto"/>
              </w:rPr>
            </w:pPr>
          </w:p>
        </w:tc>
        <w:tc>
          <w:tcPr>
            <w:tcW w:w="2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Foreign currency forward contracts</w:t>
            </w:r>
          </w:p>
        </w:tc>
        <w:tc>
          <w:tcPr>
            <w:tcW w:w="28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26</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2720" w:type="dxa"/>
            <w:vAlign w:val="bottom"/>
            <w:vMerge w:val="restart"/>
          </w:tcPr>
          <w:p>
            <w:pPr>
              <w:jc w:val="right"/>
              <w:ind w:right="1372"/>
              <w:spacing w:after="0"/>
              <w:rPr>
                <w:sz w:val="20"/>
                <w:szCs w:val="20"/>
                <w:color w:val="auto"/>
              </w:rPr>
            </w:pPr>
            <w:r>
              <w:rPr>
                <w:rFonts w:ascii="Arial" w:cs="Arial" w:eastAsia="Arial" w:hAnsi="Arial"/>
                <w:sz w:val="18"/>
                <w:szCs w:val="18"/>
                <w:color w:val="auto"/>
              </w:rPr>
              <w:t>81</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520" w:type="dxa"/>
            <w:vAlign w:val="bottom"/>
          </w:tcPr>
          <w:p>
            <w:pPr>
              <w:spacing w:after="0"/>
              <w:rPr>
                <w:sz w:val="24"/>
                <w:szCs w:val="24"/>
                <w:color w:val="auto"/>
              </w:rPr>
            </w:pPr>
          </w:p>
        </w:tc>
        <w:tc>
          <w:tcPr>
            <w:tcW w:w="27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Portion of</w:t>
            </w:r>
          </w:p>
        </w:tc>
      </w:tr>
      <w:tr>
        <w:trPr>
          <w:trHeight w:val="149"/>
        </w:trPr>
        <w:tc>
          <w:tcPr>
            <w:tcW w:w="20" w:type="dxa"/>
            <w:vAlign w:val="bottom"/>
          </w:tcPr>
          <w:p>
            <w:pPr>
              <w:spacing w:after="0"/>
              <w:rPr>
                <w:sz w:val="12"/>
                <w:szCs w:val="12"/>
                <w:color w:val="auto"/>
              </w:rPr>
            </w:pPr>
          </w:p>
        </w:tc>
        <w:tc>
          <w:tcPr>
            <w:tcW w:w="7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Carrying</w:t>
            </w:r>
          </w:p>
        </w:tc>
      </w:tr>
      <w:tr>
        <w:trPr>
          <w:trHeight w:val="149"/>
        </w:trPr>
        <w:tc>
          <w:tcPr>
            <w:tcW w:w="20" w:type="dxa"/>
            <w:vAlign w:val="bottom"/>
          </w:tcPr>
          <w:p>
            <w:pPr>
              <w:spacing w:after="0"/>
              <w:rPr>
                <w:sz w:val="12"/>
                <w:szCs w:val="12"/>
                <w:color w:val="auto"/>
              </w:rPr>
            </w:pPr>
          </w:p>
        </w:tc>
        <w:tc>
          <w:tcPr>
            <w:tcW w:w="7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Value</w:t>
            </w:r>
          </w:p>
        </w:tc>
      </w:tr>
      <w:tr>
        <w:trPr>
          <w:trHeight w:val="149"/>
        </w:trPr>
        <w:tc>
          <w:tcPr>
            <w:tcW w:w="20" w:type="dxa"/>
            <w:vAlign w:val="bottom"/>
          </w:tcPr>
          <w:p>
            <w:pPr>
              <w:spacing w:after="0"/>
              <w:rPr>
                <w:sz w:val="12"/>
                <w:szCs w:val="12"/>
                <w:color w:val="auto"/>
              </w:rPr>
            </w:pPr>
          </w:p>
        </w:tc>
        <w:tc>
          <w:tcPr>
            <w:tcW w:w="7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Measured at</w:t>
            </w:r>
          </w:p>
        </w:tc>
      </w:tr>
      <w:tr>
        <w:trPr>
          <w:trHeight w:val="149"/>
        </w:trPr>
        <w:tc>
          <w:tcPr>
            <w:tcW w:w="20" w:type="dxa"/>
            <w:vAlign w:val="bottom"/>
          </w:tcPr>
          <w:p>
            <w:pPr>
              <w:spacing w:after="0"/>
              <w:rPr>
                <w:sz w:val="12"/>
                <w:szCs w:val="12"/>
                <w:color w:val="auto"/>
              </w:rPr>
            </w:pPr>
          </w:p>
        </w:tc>
        <w:tc>
          <w:tcPr>
            <w:tcW w:w="7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Fair Value</w:t>
            </w:r>
          </w:p>
        </w:tc>
      </w:tr>
      <w:tr>
        <w:trPr>
          <w:trHeight w:val="149"/>
        </w:trPr>
        <w:tc>
          <w:tcPr>
            <w:tcW w:w="20" w:type="dxa"/>
            <w:vAlign w:val="bottom"/>
          </w:tcPr>
          <w:p>
            <w:pPr>
              <w:spacing w:after="0"/>
              <w:rPr>
                <w:sz w:val="12"/>
                <w:szCs w:val="12"/>
                <w:color w:val="auto"/>
              </w:rPr>
            </w:pPr>
          </w:p>
        </w:tc>
        <w:tc>
          <w:tcPr>
            <w:tcW w:w="7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9"/>
              </w:rPr>
              <w:t>at February 2,</w:t>
            </w:r>
          </w:p>
        </w:tc>
      </w:tr>
      <w:tr>
        <w:trPr>
          <w:trHeight w:val="161"/>
        </w:trPr>
        <w:tc>
          <w:tcPr>
            <w:tcW w:w="2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1</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2</w:t>
            </w:r>
          </w:p>
        </w:tc>
        <w:tc>
          <w:tcPr>
            <w:tcW w:w="440" w:type="dxa"/>
            <w:vAlign w:val="bottom"/>
          </w:tcPr>
          <w:p>
            <w:pPr>
              <w:spacing w:after="0"/>
              <w:rPr>
                <w:sz w:val="14"/>
                <w:szCs w:val="14"/>
                <w:color w:val="auto"/>
              </w:rPr>
            </w:pPr>
          </w:p>
        </w:tc>
        <w:tc>
          <w:tcPr>
            <w:tcW w:w="80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Level 3</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jc w:val="center"/>
              <w:ind w:right="18"/>
              <w:spacing w:after="0"/>
              <w:rPr>
                <w:sz w:val="20"/>
                <w:szCs w:val="20"/>
                <w:color w:val="auto"/>
              </w:rPr>
            </w:pPr>
            <w:r>
              <w:rPr>
                <w:rFonts w:ascii="Arial" w:cs="Arial" w:eastAsia="Arial" w:hAnsi="Arial"/>
                <w:sz w:val="14"/>
                <w:szCs w:val="14"/>
                <w:b w:val="1"/>
                <w:bCs w:val="1"/>
                <w:color w:val="auto"/>
                <w:w w:val="83"/>
              </w:rPr>
              <w:t>2013</w:t>
            </w:r>
          </w:p>
        </w:tc>
        <w:tc>
          <w:tcPr>
            <w:tcW w:w="100" w:type="dxa"/>
            <w:vAlign w:val="bottom"/>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72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27,029</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27,029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21,523</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21,523</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119,874</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119,874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318,479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318,479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579,624</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579,624</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188,000</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76,615</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76,615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4,319</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4,319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Foreign currency forward contracts</w:t>
            </w: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1,144</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1,144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16,769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1,977</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367,031</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971,553</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7"/>
              </w:rPr>
              <w:t>16,769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1,355,353</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7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The following table summarizes the change in fair values for Level 3 assets for the year ended February 1, 2014 and February 2, 2013 (in thousands):</w:t>
      </w:r>
    </w:p>
    <w:p>
      <w:pPr>
        <w:spacing w:after="0" w:line="230"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8900" w:type="dxa"/>
            <w:vAlign w:val="bottom"/>
          </w:tcPr>
          <w:p>
            <w:pPr>
              <w:spacing w:after="0"/>
              <w:rPr>
                <w:sz w:val="14"/>
                <w:szCs w:val="14"/>
                <w:color w:val="auto"/>
              </w:rPr>
            </w:pPr>
          </w:p>
        </w:tc>
        <w:tc>
          <w:tcPr>
            <w:tcW w:w="68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Level 3</w:t>
            </w:r>
          </w:p>
        </w:tc>
      </w:tr>
      <w:tr>
        <w:trPr>
          <w:trHeight w:val="196"/>
        </w:trPr>
        <w:tc>
          <w:tcPr>
            <w:tcW w:w="8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Changes in fair value during the year (pre-tax):</w:t>
            </w: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8900" w:type="dxa"/>
            <w:vAlign w:val="bottom"/>
          </w:tcPr>
          <w:p>
            <w:pPr>
              <w:spacing w:after="0"/>
              <w:rPr>
                <w:sz w:val="20"/>
                <w:szCs w:val="20"/>
                <w:color w:val="auto"/>
              </w:rPr>
            </w:pPr>
            <w:r>
              <w:rPr>
                <w:rFonts w:ascii="Arial" w:cs="Arial" w:eastAsia="Arial" w:hAnsi="Arial"/>
                <w:sz w:val="18"/>
                <w:szCs w:val="18"/>
                <w:color w:val="auto"/>
              </w:rPr>
              <w:t>Ending balance at January 28, 2012</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$23,215</w:t>
            </w:r>
          </w:p>
        </w:tc>
        <w:tc>
          <w:tcPr>
            <w:tcW w:w="100" w:type="dxa"/>
            <w:vAlign w:val="bottom"/>
          </w:tcPr>
          <w:p>
            <w:pPr>
              <w:spacing w:after="0"/>
              <w:rPr>
                <w:sz w:val="18"/>
                <w:szCs w:val="18"/>
                <w:color w:val="auto"/>
              </w:rPr>
            </w:pP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Sales, redemption and settlement</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(5,050)</w:t>
            </w:r>
          </w:p>
        </w:tc>
      </w:tr>
      <w:tr>
        <w:trPr>
          <w:trHeight w:val="223"/>
        </w:trPr>
        <w:tc>
          <w:tcPr>
            <w:tcW w:w="8900" w:type="dxa"/>
            <w:vAlign w:val="bottom"/>
          </w:tcPr>
          <w:p>
            <w:pPr>
              <w:spacing w:after="0"/>
              <w:rPr>
                <w:sz w:val="20"/>
                <w:szCs w:val="20"/>
                <w:color w:val="auto"/>
              </w:rPr>
            </w:pPr>
            <w:r>
              <w:rPr>
                <w:rFonts w:ascii="Arial" w:cs="Arial" w:eastAsia="Arial" w:hAnsi="Arial"/>
                <w:sz w:val="18"/>
                <w:szCs w:val="18"/>
                <w:color w:val="auto"/>
              </w:rPr>
              <w:t>Unrealized loss included in accumulated other comprehensive income</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(1,396)</w:t>
            </w: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Ending balance at February 2, 2013</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shd w:val="clear" w:color="auto" w:fill="CCEEFF"/>
          </w:tcPr>
          <w:p>
            <w:pPr>
              <w:spacing w:after="0"/>
              <w:rPr>
                <w:sz w:val="18"/>
                <w:szCs w:val="18"/>
                <w:color w:val="auto"/>
              </w:rPr>
            </w:pPr>
          </w:p>
        </w:tc>
      </w:tr>
      <w:tr>
        <w:trPr>
          <w:trHeight w:val="216"/>
        </w:trPr>
        <w:tc>
          <w:tcPr>
            <w:tcW w:w="8900" w:type="dxa"/>
            <w:vAlign w:val="bottom"/>
          </w:tcPr>
          <w:p>
            <w:pPr>
              <w:spacing w:after="0"/>
              <w:rPr>
                <w:sz w:val="20"/>
                <w:szCs w:val="20"/>
                <w:color w:val="auto"/>
              </w:rPr>
            </w:pPr>
            <w:r>
              <w:rPr>
                <w:rFonts w:ascii="Arial" w:cs="Arial" w:eastAsia="Arial" w:hAnsi="Arial"/>
                <w:sz w:val="18"/>
                <w:szCs w:val="18"/>
                <w:color w:val="auto"/>
              </w:rPr>
              <w:t>Sales, redemption and settlement</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(300)</w:t>
            </w: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accumulated other comprehensive income</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(190)</w:t>
            </w:r>
          </w:p>
        </w:tc>
      </w:tr>
      <w:tr>
        <w:trPr>
          <w:trHeight w:val="222"/>
        </w:trPr>
        <w:tc>
          <w:tcPr>
            <w:tcW w:w="8900" w:type="dxa"/>
            <w:vAlign w:val="bottom"/>
          </w:tcPr>
          <w:p>
            <w:pPr>
              <w:spacing w:after="0"/>
              <w:rPr>
                <w:sz w:val="20"/>
                <w:szCs w:val="20"/>
                <w:color w:val="auto"/>
              </w:rPr>
            </w:pPr>
            <w:r>
              <w:rPr>
                <w:rFonts w:ascii="Arial" w:cs="Arial" w:eastAsia="Arial" w:hAnsi="Arial"/>
                <w:sz w:val="18"/>
                <w:szCs w:val="18"/>
                <w:color w:val="auto"/>
              </w:rPr>
              <w:t>Ending balance at February 1, 2014</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16,279</w:t>
            </w:r>
          </w:p>
        </w:tc>
        <w:tc>
          <w:tcPr>
            <w:tcW w:w="100" w:type="dxa"/>
            <w:vAlign w:val="bottom"/>
          </w:tcPr>
          <w:p>
            <w:pPr>
              <w:spacing w:after="0"/>
              <w:rPr>
                <w:sz w:val="19"/>
                <w:szCs w:val="19"/>
                <w:color w:val="auto"/>
              </w:rPr>
            </w:pPr>
          </w:p>
        </w:tc>
      </w:tr>
      <w:tr>
        <w:trPr>
          <w:trHeight w:val="20"/>
        </w:trPr>
        <w:tc>
          <w:tcPr>
            <w:tcW w:w="89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Goodwill and Acquired Intangible Assets: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Company evaluates goodwill for potential impairment annually in its fiscal fourth quarter or more frequently if the Company believes indicators of impairment exist. In fiscal 2014, the Company performed a qualitative assessment to determine whether it was more likely than not the fair value of the reporting unit was greater than its carrying value. Since the Company has only one reporting unit, it determines the fair value of the reporting unit by taking the market capitalization of the Company as determined through quoted market prices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420"/>
          </w:cols>
          <w:pgMar w:left="240" w:top="459" w:right="2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40"/>
        <w:spacing w:after="0" w:line="254" w:lineRule="auto"/>
        <w:rPr>
          <w:sz w:val="20"/>
          <w:szCs w:val="20"/>
          <w:color w:val="auto"/>
        </w:rPr>
      </w:pPr>
      <w:r>
        <w:rPr>
          <w:rFonts w:ascii="Arial" w:cs="Arial" w:eastAsia="Arial" w:hAnsi="Arial"/>
          <w:sz w:val="18"/>
          <w:szCs w:val="18"/>
          <w:color w:val="auto"/>
        </w:rPr>
        <w:t>and adjusts for control premiums and other relevant factors, and compares the fair value to the Company’s net book value. In fiscal 2014, the Company experienced an upward trend in its stock price and as a result, the Company concluded there were no negative indicators that its goodwill was impaired. In fiscal 2013, the Company experienced a decline in its stock price combined with a decrease in its outstanding shares from its share repurchase activity, resulting in a lower market capitalization. As a result, the Company performed a quantitative assessment of goodwill using its market capitalization as described above to determine its fair value which it compared to the Company’s net book value. As a result, the Company concluded there was no impairment of its goodwill in fiscal 2013.</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 (in thousands):</w:t>
      </w:r>
    </w:p>
    <w:p>
      <w:pPr>
        <w:spacing w:after="0" w:line="2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38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2012</w:t>
            </w:r>
          </w:p>
        </w:tc>
        <w:tc>
          <w:tcPr>
            <w:tcW w:w="8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5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$ 2,031,991</w:t>
            </w:r>
          </w:p>
        </w:tc>
        <w:tc>
          <w:tcPr>
            <w:tcW w:w="120" w:type="dxa"/>
            <w:vAlign w:val="bottom"/>
            <w:shd w:val="clear" w:color="auto" w:fill="CCEEFF"/>
          </w:tcPr>
          <w:p>
            <w:pPr>
              <w:spacing w:after="0"/>
              <w:rPr>
                <w:sz w:val="18"/>
                <w:szCs w:val="18"/>
                <w:color w:val="auto"/>
              </w:rPr>
            </w:pPr>
          </w:p>
        </w:tc>
        <w:tc>
          <w:tcPr>
            <w:tcW w:w="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Additions due to business combinations</w:t>
            </w:r>
          </w:p>
        </w:tc>
        <w:tc>
          <w:tcPr>
            <w:tcW w:w="8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147</w:t>
            </w:r>
          </w:p>
        </w:tc>
        <w:tc>
          <w:tcPr>
            <w:tcW w:w="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8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5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2,032,138</w:t>
            </w:r>
          </w:p>
        </w:tc>
        <w:tc>
          <w:tcPr>
            <w:tcW w:w="120" w:type="dxa"/>
            <w:vAlign w:val="bottom"/>
            <w:shd w:val="clear" w:color="auto" w:fill="CCEEFF"/>
          </w:tcPr>
          <w:p>
            <w:pPr>
              <w:spacing w:after="0"/>
              <w:rPr>
                <w:sz w:val="18"/>
                <w:szCs w:val="18"/>
                <w:color w:val="auto"/>
              </w:rPr>
            </w:pPr>
          </w:p>
        </w:tc>
        <w:tc>
          <w:tcPr>
            <w:tcW w:w="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Additions due to business combinations</w:t>
            </w:r>
          </w:p>
        </w:tc>
        <w:tc>
          <w:tcPr>
            <w:tcW w:w="8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rPr>
              <w:t>400</w:t>
            </w: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Sale of a business</w:t>
            </w:r>
          </w:p>
        </w:tc>
        <w:tc>
          <w:tcPr>
            <w:tcW w:w="8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(2,593)</w:t>
            </w:r>
          </w:p>
        </w:tc>
        <w:tc>
          <w:tcPr>
            <w:tcW w:w="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40" w:type="dxa"/>
            <w:vAlign w:val="bottom"/>
            <w:gridSpan w:val="2"/>
            <w:vMerge w:val="restart"/>
          </w:tcPr>
          <w:p>
            <w:pPr>
              <w:ind w:left="1380"/>
              <w:spacing w:after="0"/>
              <w:rPr>
                <w:sz w:val="20"/>
                <w:szCs w:val="20"/>
                <w:color w:val="auto"/>
              </w:rPr>
            </w:pPr>
            <w:r>
              <w:rPr>
                <w:rFonts w:ascii="Arial" w:cs="Arial" w:eastAsia="Arial" w:hAnsi="Arial"/>
                <w:sz w:val="18"/>
                <w:szCs w:val="18"/>
                <w:color w:val="auto"/>
              </w:rPr>
              <w:t>Balance at February 1, 2014</w:t>
            </w:r>
          </w:p>
        </w:tc>
        <w:tc>
          <w:tcPr>
            <w:tcW w:w="8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28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740" w:type="dxa"/>
            <w:vAlign w:val="bottom"/>
            <w:gridSpan w:val="2"/>
            <w:vMerge w:val="continue"/>
          </w:tcPr>
          <w:p>
            <w:pPr>
              <w:spacing w:after="0"/>
              <w:rPr>
                <w:sz w:val="19"/>
                <w:szCs w:val="19"/>
                <w:color w:val="auto"/>
              </w:rPr>
            </w:pPr>
          </w:p>
        </w:tc>
        <w:tc>
          <w:tcPr>
            <w:tcW w:w="8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560" w:type="dxa"/>
            <w:vAlign w:val="bottom"/>
            <w:gridSpan w:val="6"/>
          </w:tcPr>
          <w:p>
            <w:pPr>
              <w:jc w:val="right"/>
              <w:spacing w:after="0"/>
              <w:rPr>
                <w:sz w:val="20"/>
                <w:szCs w:val="20"/>
                <w:color w:val="auto"/>
              </w:rPr>
            </w:pPr>
            <w:r>
              <w:rPr>
                <w:rFonts w:ascii="Arial" w:cs="Arial" w:eastAsia="Arial" w:hAnsi="Arial"/>
                <w:sz w:val="18"/>
                <w:szCs w:val="18"/>
                <w:color w:val="auto"/>
              </w:rPr>
              <w:t>$ 2,029,945</w:t>
            </w:r>
          </w:p>
        </w:tc>
        <w:tc>
          <w:tcPr>
            <w:tcW w:w="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740" w:type="dxa"/>
            <w:vAlign w:val="bottom"/>
            <w:gridSpan w:val="2"/>
            <w:vMerge w:val="restart"/>
          </w:tcPr>
          <w:p>
            <w:pPr>
              <w:ind w:left="460"/>
              <w:spacing w:after="0"/>
              <w:rPr>
                <w:sz w:val="20"/>
                <w:szCs w:val="20"/>
                <w:color w:val="auto"/>
              </w:rPr>
            </w:pPr>
            <w:r>
              <w:rPr>
                <w:rFonts w:ascii="Arial" w:cs="Arial" w:eastAsia="Arial" w:hAnsi="Arial"/>
                <w:sz w:val="18"/>
                <w:szCs w:val="18"/>
                <w:b w:val="1"/>
                <w:bCs w:val="1"/>
                <w:i w:val="1"/>
                <w:iCs w:val="1"/>
                <w:color w:val="auto"/>
              </w:rPr>
              <w:t>Acquired Intangible Assets</w:t>
            </w:r>
          </w:p>
        </w:tc>
        <w:tc>
          <w:tcPr>
            <w:tcW w:w="8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740" w:type="dxa"/>
            <w:vAlign w:val="bottom"/>
            <w:gridSpan w:val="2"/>
            <w:vMerge w:val="continue"/>
          </w:tcPr>
          <w:p>
            <w:pPr>
              <w:spacing w:after="0"/>
              <w:rPr>
                <w:sz w:val="24"/>
                <w:szCs w:val="24"/>
                <w:color w:val="auto"/>
              </w:rPr>
            </w:pP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420" w:type="dxa"/>
            <w:vAlign w:val="bottom"/>
            <w:gridSpan w:val="6"/>
          </w:tcPr>
          <w:p>
            <w:pPr>
              <w:ind w:left="460"/>
              <w:spacing w:after="0"/>
              <w:rPr>
                <w:sz w:val="20"/>
                <w:szCs w:val="20"/>
                <w:color w:val="auto"/>
              </w:rPr>
            </w:pPr>
            <w:r>
              <w:rPr>
                <w:rFonts w:ascii="Arial" w:cs="Arial" w:eastAsia="Arial" w:hAnsi="Arial"/>
                <w:sz w:val="18"/>
                <w:szCs w:val="18"/>
                <w:color w:val="auto"/>
                <w:w w:val="91"/>
              </w:rPr>
              <w:t>The carrying amounts of acquired intangible assets are as follows (in thousands):</w:t>
            </w:r>
          </w:p>
        </w:tc>
        <w:tc>
          <w:tcPr>
            <w:tcW w:w="2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38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8"/>
              </w:rPr>
              <w:t>February 1, 2014</w:t>
            </w:r>
          </w:p>
        </w:tc>
        <w:tc>
          <w:tcPr>
            <w:tcW w:w="580" w:type="dxa"/>
            <w:vAlign w:val="bottom"/>
            <w:tcBorders>
              <w:bottom w:val="single" w:sz="8" w:color="auto"/>
            </w:tcBorders>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gridSpan w:val="6"/>
          </w:tcPr>
          <w:p>
            <w:pPr>
              <w:jc w:val="right"/>
              <w:ind w:right="120"/>
              <w:spacing w:after="0"/>
              <w:rPr>
                <w:sz w:val="20"/>
                <w:szCs w:val="20"/>
                <w:color w:val="auto"/>
              </w:rPr>
            </w:pPr>
            <w:r>
              <w:rPr>
                <w:rFonts w:ascii="Arial" w:cs="Arial" w:eastAsia="Arial" w:hAnsi="Arial"/>
                <w:sz w:val="14"/>
                <w:szCs w:val="14"/>
                <w:b w:val="1"/>
                <w:bCs w:val="1"/>
                <w:color w:val="auto"/>
              </w:rPr>
              <w:t>February 2, 2013</w:t>
            </w:r>
          </w:p>
        </w:tc>
        <w:tc>
          <w:tcPr>
            <w:tcW w:w="12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380" w:type="dxa"/>
            <w:vAlign w:val="bottom"/>
          </w:tcPr>
          <w:p>
            <w:pPr>
              <w:spacing w:after="0"/>
              <w:rPr>
                <w:sz w:val="11"/>
                <w:szCs w:val="11"/>
                <w:color w:val="auto"/>
              </w:rPr>
            </w:pPr>
          </w:p>
        </w:tc>
        <w:tc>
          <w:tcPr>
            <w:tcW w:w="33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00" w:type="dxa"/>
            <w:vAlign w:val="bottom"/>
            <w:gridSpan w:val="3"/>
          </w:tcPr>
          <w:p>
            <w:pPr>
              <w:jc w:val="center"/>
              <w:ind w:right="3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60" w:type="dxa"/>
            <w:vAlign w:val="bottom"/>
            <w:gridSpan w:val="5"/>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38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0" w:type="dxa"/>
            <w:vAlign w:val="bottom"/>
            <w:gridSpan w:val="2"/>
          </w:tcPr>
          <w:p>
            <w:pPr>
              <w:jc w:val="right"/>
              <w:ind w:right="140"/>
              <w:spacing w:after="0" w:line="149" w:lineRule="exact"/>
              <w:rPr>
                <w:sz w:val="20"/>
                <w:szCs w:val="20"/>
                <w:color w:val="auto"/>
              </w:rPr>
            </w:pPr>
            <w:r>
              <w:rPr>
                <w:rFonts w:ascii="Arial" w:cs="Arial" w:eastAsia="Arial" w:hAnsi="Arial"/>
                <w:sz w:val="14"/>
                <w:szCs w:val="14"/>
                <w:b w:val="1"/>
                <w:bCs w:val="1"/>
                <w:color w:val="auto"/>
              </w:rPr>
              <w:t>Gross</w:t>
            </w:r>
          </w:p>
        </w:tc>
        <w:tc>
          <w:tcPr>
            <w:tcW w:w="280" w:type="dxa"/>
            <w:vAlign w:val="bottom"/>
          </w:tcPr>
          <w:p>
            <w:pPr>
              <w:spacing w:after="0"/>
              <w:rPr>
                <w:sz w:val="12"/>
                <w:szCs w:val="12"/>
                <w:color w:val="auto"/>
              </w:rPr>
            </w:pPr>
          </w:p>
        </w:tc>
        <w:tc>
          <w:tcPr>
            <w:tcW w:w="110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580" w:type="dxa"/>
            <w:vAlign w:val="bottom"/>
          </w:tcPr>
          <w:p>
            <w:pPr>
              <w:jc w:val="right"/>
              <w:ind w:right="99"/>
              <w:spacing w:after="0" w:line="149" w:lineRule="exact"/>
              <w:rPr>
                <w:sz w:val="20"/>
                <w:szCs w:val="20"/>
                <w:color w:val="auto"/>
              </w:rPr>
            </w:pPr>
            <w:r>
              <w:rPr>
                <w:rFonts w:ascii="Arial" w:cs="Arial" w:eastAsia="Arial" w:hAnsi="Arial"/>
                <w:sz w:val="14"/>
                <w:szCs w:val="14"/>
                <w:b w:val="1"/>
                <w:bCs w:val="1"/>
                <w:color w:val="auto"/>
              </w:rPr>
              <w:t>Net</w:t>
            </w:r>
          </w:p>
        </w:tc>
        <w:tc>
          <w:tcPr>
            <w:tcW w:w="300" w:type="dxa"/>
            <w:vAlign w:val="bottom"/>
          </w:tcPr>
          <w:p>
            <w:pPr>
              <w:spacing w:after="0"/>
              <w:rPr>
                <w:sz w:val="12"/>
                <w:szCs w:val="12"/>
                <w:color w:val="auto"/>
              </w:rPr>
            </w:pPr>
          </w:p>
        </w:tc>
        <w:tc>
          <w:tcPr>
            <w:tcW w:w="680" w:type="dxa"/>
            <w:vAlign w:val="bottom"/>
            <w:gridSpan w:val="2"/>
          </w:tcPr>
          <w:p>
            <w:pPr>
              <w:jc w:val="right"/>
              <w:ind w:right="180"/>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960" w:type="dxa"/>
            <w:vAlign w:val="bottom"/>
            <w:gridSpan w:val="5"/>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2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138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10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Range of</w:t>
            </w:r>
          </w:p>
        </w:tc>
        <w:tc>
          <w:tcPr>
            <w:tcW w:w="600" w:type="dxa"/>
            <w:vAlign w:val="bottom"/>
            <w:gridSpan w:val="2"/>
          </w:tcPr>
          <w:p>
            <w:pPr>
              <w:jc w:val="right"/>
              <w:ind w:right="40"/>
              <w:spacing w:after="0" w:line="149" w:lineRule="exact"/>
              <w:rPr>
                <w:sz w:val="20"/>
                <w:szCs w:val="20"/>
                <w:color w:val="auto"/>
              </w:rPr>
            </w:pPr>
            <w:r>
              <w:rPr>
                <w:rFonts w:ascii="Arial" w:cs="Arial" w:eastAsia="Arial" w:hAnsi="Arial"/>
                <w:sz w:val="14"/>
                <w:szCs w:val="14"/>
                <w:b w:val="1"/>
                <w:bCs w:val="1"/>
                <w:color w:val="auto"/>
                <w:w w:val="93"/>
              </w:rPr>
              <w:t>Carrying</w:t>
            </w:r>
          </w:p>
        </w:tc>
        <w:tc>
          <w:tcPr>
            <w:tcW w:w="2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2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8"/>
              </w:rPr>
              <w:t>and</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680" w:type="dxa"/>
            <w:vAlign w:val="bottom"/>
            <w:gridSpan w:val="2"/>
          </w:tcPr>
          <w:p>
            <w:pPr>
              <w:jc w:val="right"/>
              <w:ind w:right="80"/>
              <w:spacing w:after="0" w:line="149" w:lineRule="exact"/>
              <w:rPr>
                <w:sz w:val="20"/>
                <w:szCs w:val="20"/>
                <w:color w:val="auto"/>
              </w:rPr>
            </w:pPr>
            <w:r>
              <w:rPr>
                <w:rFonts w:ascii="Arial" w:cs="Arial" w:eastAsia="Arial" w:hAnsi="Arial"/>
                <w:sz w:val="14"/>
                <w:szCs w:val="14"/>
                <w:b w:val="1"/>
                <w:bCs w:val="1"/>
                <w:color w:val="auto"/>
              </w:rPr>
              <w:t>Carrying</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4"/>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and</w:t>
            </w:r>
          </w:p>
        </w:tc>
        <w:tc>
          <w:tcPr>
            <w:tcW w:w="12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10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9"/>
              </w:rPr>
              <w:t>Useful Lives</w:t>
            </w:r>
          </w:p>
        </w:tc>
        <w:tc>
          <w:tcPr>
            <w:tcW w:w="600" w:type="dxa"/>
            <w:vAlign w:val="bottom"/>
            <w:gridSpan w:val="2"/>
          </w:tcPr>
          <w:p>
            <w:pPr>
              <w:jc w:val="right"/>
              <w:ind w:right="40"/>
              <w:spacing w:after="0"/>
              <w:rPr>
                <w:sz w:val="20"/>
                <w:szCs w:val="20"/>
                <w:color w:val="auto"/>
              </w:rPr>
            </w:pPr>
            <w:r>
              <w:rPr>
                <w:rFonts w:ascii="Arial" w:cs="Arial" w:eastAsia="Arial" w:hAnsi="Arial"/>
                <w:sz w:val="14"/>
                <w:szCs w:val="14"/>
                <w:b w:val="1"/>
                <w:bCs w:val="1"/>
                <w:color w:val="auto"/>
                <w:w w:val="88"/>
              </w:rPr>
              <w:t>Amounts</w:t>
            </w:r>
          </w:p>
        </w:tc>
        <w:tc>
          <w:tcPr>
            <w:tcW w:w="280" w:type="dxa"/>
            <w:vAlign w:val="bottom"/>
          </w:tcPr>
          <w:p>
            <w:pPr>
              <w:spacing w:after="0"/>
              <w:rPr>
                <w:sz w:val="14"/>
                <w:szCs w:val="14"/>
                <w:color w:val="auto"/>
              </w:rPr>
            </w:pPr>
          </w:p>
        </w:tc>
        <w:tc>
          <w:tcPr>
            <w:tcW w:w="110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94"/>
              </w:rPr>
              <w:t>Write-Offs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8"/>
              </w:rPr>
              <w:t>Amounts</w:t>
            </w:r>
          </w:p>
        </w:tc>
        <w:tc>
          <w:tcPr>
            <w:tcW w:w="300" w:type="dxa"/>
            <w:vAlign w:val="bottom"/>
          </w:tcPr>
          <w:p>
            <w:pPr>
              <w:spacing w:after="0"/>
              <w:rPr>
                <w:sz w:val="14"/>
                <w:szCs w:val="14"/>
                <w:color w:val="auto"/>
              </w:rPr>
            </w:pPr>
          </w:p>
        </w:tc>
        <w:tc>
          <w:tcPr>
            <w:tcW w:w="68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w w:val="95"/>
              </w:rPr>
              <w:t>Amounts</w:t>
            </w:r>
          </w:p>
        </w:tc>
        <w:tc>
          <w:tcPr>
            <w:tcW w:w="300" w:type="dxa"/>
            <w:vAlign w:val="bottom"/>
          </w:tcPr>
          <w:p>
            <w:pPr>
              <w:spacing w:after="0"/>
              <w:rPr>
                <w:sz w:val="14"/>
                <w:szCs w:val="14"/>
                <w:color w:val="auto"/>
              </w:rPr>
            </w:pPr>
          </w:p>
        </w:tc>
        <w:tc>
          <w:tcPr>
            <w:tcW w:w="960" w:type="dxa"/>
            <w:vAlign w:val="bottom"/>
            <w:gridSpan w:val="5"/>
          </w:tcPr>
          <w:p>
            <w:pPr>
              <w:jc w:val="center"/>
              <w:ind w:right="200"/>
              <w:spacing w:after="0"/>
              <w:rPr>
                <w:sz w:val="20"/>
                <w:szCs w:val="20"/>
                <w:color w:val="auto"/>
              </w:rPr>
            </w:pPr>
            <w:r>
              <w:rPr>
                <w:rFonts w:ascii="Arial" w:cs="Arial" w:eastAsia="Arial" w:hAnsi="Arial"/>
                <w:sz w:val="14"/>
                <w:szCs w:val="14"/>
                <w:b w:val="1"/>
                <w:bCs w:val="1"/>
                <w:color w:val="auto"/>
                <w:w w:val="94"/>
              </w:rPr>
              <w:t>Write-Offs</w:t>
            </w:r>
          </w:p>
        </w:tc>
        <w:tc>
          <w:tcPr>
            <w:tcW w:w="12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0" w:type="dxa"/>
            <w:vAlign w:val="bottom"/>
          </w:tcPr>
          <w:p>
            <w:pPr>
              <w:spacing w:after="0"/>
              <w:rPr>
                <w:sz w:val="1"/>
                <w:szCs w:val="1"/>
                <w:color w:val="auto"/>
              </w:rPr>
            </w:pPr>
          </w:p>
        </w:tc>
      </w:tr>
      <w:tr>
        <w:trPr>
          <w:trHeight w:val="210"/>
        </w:trPr>
        <w:tc>
          <w:tcPr>
            <w:tcW w:w="47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4 - 7 years</w:t>
            </w:r>
          </w:p>
        </w:tc>
        <w:tc>
          <w:tcPr>
            <w:tcW w:w="2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$49,240</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7"/>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(20,634)</w:t>
            </w:r>
          </w:p>
        </w:tc>
        <w:tc>
          <w:tcPr>
            <w:tcW w:w="3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$28,606</w:t>
            </w:r>
          </w:p>
        </w:tc>
        <w:tc>
          <w:tcPr>
            <w:tcW w:w="3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4"/>
              </w:rPr>
              <w:t>$ 54,690</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95"/>
              </w:rPr>
              <w:t>(18,552)</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$36,138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4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1080" w:type="dxa"/>
            <w:vAlign w:val="bottom"/>
            <w:gridSpan w:val="2"/>
          </w:tcPr>
          <w:p>
            <w:pPr>
              <w:jc w:val="right"/>
              <w:ind w:right="280"/>
              <w:spacing w:after="0"/>
              <w:rPr>
                <w:sz w:val="20"/>
                <w:szCs w:val="20"/>
                <w:color w:val="auto"/>
              </w:rPr>
            </w:pPr>
            <w:r>
              <w:rPr>
                <w:rFonts w:ascii="Arial" w:cs="Arial" w:eastAsia="Arial" w:hAnsi="Arial"/>
                <w:sz w:val="18"/>
                <w:szCs w:val="18"/>
                <w:color w:val="auto"/>
                <w:w w:val="91"/>
              </w:rPr>
              <w:t>5 - 8 years</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2,350</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(1,583)</w:t>
            </w:r>
          </w:p>
        </w:tc>
        <w:tc>
          <w:tcPr>
            <w:tcW w:w="580" w:type="dxa"/>
            <w:vAlign w:val="bottom"/>
          </w:tcPr>
          <w:p>
            <w:pPr>
              <w:jc w:val="right"/>
              <w:spacing w:after="0"/>
              <w:rPr>
                <w:sz w:val="20"/>
                <w:szCs w:val="20"/>
                <w:color w:val="auto"/>
              </w:rPr>
            </w:pPr>
            <w:r>
              <w:rPr>
                <w:rFonts w:ascii="Arial" w:cs="Arial" w:eastAsia="Arial" w:hAnsi="Arial"/>
                <w:sz w:val="18"/>
                <w:szCs w:val="18"/>
                <w:color w:val="auto"/>
              </w:rPr>
              <w:t>767</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138,650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4"/>
          </w:tcPr>
          <w:p>
            <w:pPr>
              <w:jc w:val="right"/>
              <w:ind w:right="120"/>
              <w:spacing w:after="0"/>
              <w:rPr>
                <w:sz w:val="20"/>
                <w:szCs w:val="20"/>
                <w:color w:val="auto"/>
              </w:rPr>
            </w:pPr>
            <w:r>
              <w:rPr>
                <w:rFonts w:ascii="Arial" w:cs="Arial" w:eastAsia="Arial" w:hAnsi="Arial"/>
                <w:sz w:val="18"/>
                <w:szCs w:val="18"/>
                <w:color w:val="auto"/>
                <w:w w:val="90"/>
              </w:rPr>
              <w:t>(123,298)</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15,352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names</w:t>
            </w:r>
          </w:p>
        </w:tc>
        <w:tc>
          <w:tcPr>
            <w:tcW w:w="10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 years</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1,300</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(568)</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9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(308)</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40" w:type="dxa"/>
            <w:vAlign w:val="bottom"/>
            <w:gridSpan w:val="2"/>
          </w:tcPr>
          <w:p>
            <w:pPr>
              <w:spacing w:after="0"/>
              <w:rPr>
                <w:sz w:val="20"/>
                <w:szCs w:val="20"/>
                <w:color w:val="auto"/>
              </w:rPr>
            </w:pPr>
            <w:r>
              <w:rPr>
                <w:rFonts w:ascii="Arial" w:cs="Arial" w:eastAsia="Arial" w:hAnsi="Arial"/>
                <w:sz w:val="18"/>
                <w:szCs w:val="18"/>
                <w:color w:val="auto"/>
              </w:rPr>
              <w:t>Customer intangibles</w:t>
            </w:r>
          </w:p>
        </w:tc>
        <w:tc>
          <w:tcPr>
            <w:tcW w:w="1080" w:type="dxa"/>
            <w:vAlign w:val="bottom"/>
            <w:gridSpan w:val="2"/>
          </w:tcPr>
          <w:p>
            <w:pPr>
              <w:jc w:val="right"/>
              <w:ind w:right="280"/>
              <w:spacing w:after="0"/>
              <w:rPr>
                <w:sz w:val="20"/>
                <w:szCs w:val="20"/>
                <w:color w:val="auto"/>
              </w:rPr>
            </w:pPr>
            <w:r>
              <w:rPr>
                <w:rFonts w:ascii="Arial" w:cs="Arial" w:eastAsia="Arial" w:hAnsi="Arial"/>
                <w:sz w:val="18"/>
                <w:szCs w:val="18"/>
                <w:color w:val="auto"/>
                <w:w w:val="91"/>
              </w:rPr>
              <w:t>5 - 7 years</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28,600</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w w:val="95"/>
              </w:rPr>
              <w:t>(13,056)</w:t>
            </w:r>
          </w:p>
        </w:tc>
        <w:tc>
          <w:tcPr>
            <w:tcW w:w="580" w:type="dxa"/>
            <w:vAlign w:val="bottom"/>
          </w:tcPr>
          <w:p>
            <w:pPr>
              <w:jc w:val="right"/>
              <w:spacing w:after="0"/>
              <w:rPr>
                <w:sz w:val="20"/>
                <w:szCs w:val="20"/>
                <w:color w:val="auto"/>
              </w:rPr>
            </w:pPr>
            <w:r>
              <w:rPr>
                <w:rFonts w:ascii="Arial" w:cs="Arial" w:eastAsia="Arial" w:hAnsi="Arial"/>
                <w:sz w:val="18"/>
                <w:szCs w:val="18"/>
                <w:color w:val="auto"/>
              </w:rPr>
              <w:t>15,544</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89,400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4"/>
          </w:tcPr>
          <w:p>
            <w:pPr>
              <w:jc w:val="right"/>
              <w:ind w:right="120"/>
              <w:spacing w:after="0"/>
              <w:rPr>
                <w:sz w:val="20"/>
                <w:szCs w:val="20"/>
                <w:color w:val="auto"/>
              </w:rPr>
            </w:pPr>
            <w:r>
              <w:rPr>
                <w:rFonts w:ascii="Arial" w:cs="Arial" w:eastAsia="Arial" w:hAnsi="Arial"/>
                <w:sz w:val="18"/>
                <w:szCs w:val="18"/>
                <w:color w:val="auto"/>
              </w:rPr>
              <w:t>(61,927)</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27,473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IPR&amp;D</w:t>
            </w:r>
          </w:p>
        </w:tc>
        <w:tc>
          <w:tcPr>
            <w:tcW w:w="800" w:type="dxa"/>
            <w:vAlign w:val="bottom"/>
            <w:shd w:val="clear" w:color="auto" w:fill="CCEEFF"/>
          </w:tcPr>
          <w:p>
            <w:pPr>
              <w:jc w:val="right"/>
              <w:ind w:right="258"/>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300" w:type="dxa"/>
            <w:vAlign w:val="bottom"/>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3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740" w:type="dxa"/>
            <w:vAlign w:val="bottom"/>
            <w:gridSpan w:val="2"/>
          </w:tcPr>
          <w:p>
            <w:pPr>
              <w:ind w:left="440"/>
              <w:spacing w:after="0"/>
              <w:rPr>
                <w:sz w:val="20"/>
                <w:szCs w:val="20"/>
                <w:color w:val="auto"/>
              </w:rPr>
            </w:pPr>
            <w:r>
              <w:rPr>
                <w:rFonts w:ascii="Arial" w:cs="Arial" w:eastAsia="Arial" w:hAnsi="Arial"/>
                <w:sz w:val="18"/>
                <w:szCs w:val="18"/>
                <w:color w:val="auto"/>
              </w:rPr>
              <w:t>Total acquired intangible assets, net</w:t>
            </w:r>
          </w:p>
        </w:tc>
        <w:tc>
          <w:tcPr>
            <w:tcW w:w="8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84,876</w:t>
            </w:r>
          </w:p>
        </w:tc>
        <w:tc>
          <w:tcPr>
            <w:tcW w:w="460" w:type="dxa"/>
            <w:vAlign w:val="bottom"/>
            <w:gridSpan w:val="2"/>
          </w:tcPr>
          <w:p>
            <w:pPr>
              <w:jc w:val="right"/>
              <w:ind w:right="7"/>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w w:val="95"/>
              </w:rPr>
              <w:t>(35,841)</w:t>
            </w: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49,035</w:t>
            </w:r>
          </w:p>
        </w:tc>
        <w:tc>
          <w:tcPr>
            <w:tcW w:w="98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293,740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4"/>
          </w:tcPr>
          <w:p>
            <w:pPr>
              <w:jc w:val="right"/>
              <w:ind w:right="120"/>
              <w:spacing w:after="0"/>
              <w:rPr>
                <w:sz w:val="20"/>
                <w:szCs w:val="20"/>
                <w:color w:val="auto"/>
              </w:rPr>
            </w:pPr>
            <w:r>
              <w:rPr>
                <w:rFonts w:ascii="Arial" w:cs="Arial" w:eastAsia="Arial" w:hAnsi="Arial"/>
                <w:sz w:val="18"/>
                <w:szCs w:val="18"/>
                <w:color w:val="auto"/>
                <w:w w:val="90"/>
              </w:rPr>
              <w:t>(204,085)</w:t>
            </w:r>
          </w:p>
        </w:tc>
        <w:tc>
          <w:tcPr>
            <w:tcW w:w="7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89,655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128905</wp:posOffset>
            </wp:positionV>
            <wp:extent cx="72898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15" w:lineRule="exact"/>
        <w:rPr>
          <w:sz w:val="20"/>
          <w:szCs w:val="20"/>
          <w:color w:val="auto"/>
        </w:rPr>
      </w:pPr>
    </w:p>
    <w:p>
      <w:pPr>
        <w:ind w:left="220" w:right="100" w:hanging="212"/>
        <w:spacing w:after="0" w:line="332" w:lineRule="auto"/>
        <w:tabs>
          <w:tab w:leader="none" w:pos="220" w:val="left"/>
        </w:tabs>
        <w:numPr>
          <w:ilvl w:val="0"/>
          <w:numId w:val="21"/>
        </w:numPr>
        <w:rPr>
          <w:rFonts w:ascii="Arial" w:cs="Arial" w:eastAsia="Arial" w:hAnsi="Arial"/>
          <w:sz w:val="16"/>
          <w:szCs w:val="16"/>
          <w:color w:val="auto"/>
        </w:rPr>
      </w:pPr>
      <w:r>
        <w:rPr>
          <w:rFonts w:ascii="Arial" w:cs="Arial" w:eastAsia="Arial" w:hAnsi="Arial"/>
          <w:sz w:val="16"/>
          <w:szCs w:val="16"/>
          <w:color w:val="auto"/>
        </w:rPr>
        <w:t>Upon completion of the projects, the related IPR&amp;D assets will be amortized over its estimated useful life. If any of the projects are abandoned or the forecast of the project indicates that the fair value is less than the carrying amount, the Company will be required to write down the related IPR&amp;D asset.</w:t>
      </w:r>
    </w:p>
    <w:p>
      <w:pPr>
        <w:spacing w:after="0" w:line="85"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Intangible assets, along with the related accumulated amortization, are removed from the table above at the end of the fiscal year they become fully amortized. The Company recorded charges of $8.1 million in fiscal 2014 for the impairment of an acquired intangible asset and $0.8 million in fiscal 2013 to write-off IPR&amp;D related to an abandoned project, which are included in amortization and write-off of acquired intangible assets in the consolidated statement of operations. There was no impairment of acquired intangible assets in fiscal 2012.</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Based on the identified intangible assets recorded at February 1, 2014, the future amortization expense of identified intangibles excluding IPR&amp;D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8900" w:type="dxa"/>
            <w:vAlign w:val="bottom"/>
            <w:gridSpan w:val="2"/>
          </w:tcPr>
          <w:p>
            <w:pPr>
              <w:spacing w:after="0"/>
              <w:rPr>
                <w:sz w:val="20"/>
                <w:szCs w:val="20"/>
                <w:color w:val="auto"/>
              </w:rPr>
            </w:pPr>
            <w:r>
              <w:rPr>
                <w:rFonts w:ascii="Arial" w:cs="Arial" w:eastAsia="Arial" w:hAnsi="Arial"/>
                <w:sz w:val="14"/>
                <w:szCs w:val="14"/>
                <w:b w:val="1"/>
                <w:bCs w:val="1"/>
                <w:color w:val="auto"/>
              </w:rPr>
              <w:t>Fiscal Year</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210"/>
        </w:trPr>
        <w:tc>
          <w:tcPr>
            <w:tcW w:w="7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2015</w:t>
            </w:r>
          </w:p>
        </w:tc>
        <w:tc>
          <w:tcPr>
            <w:tcW w:w="8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$14,951</w:t>
            </w:r>
          </w:p>
        </w:tc>
        <w:tc>
          <w:tcPr>
            <w:tcW w:w="100" w:type="dxa"/>
            <w:vAlign w:val="bottom"/>
            <w:shd w:val="clear" w:color="auto" w:fill="CCEEFF"/>
          </w:tcPr>
          <w:p>
            <w:pPr>
              <w:spacing w:after="0"/>
              <w:rPr>
                <w:sz w:val="18"/>
                <w:szCs w:val="18"/>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2016</w:t>
            </w:r>
          </w:p>
        </w:tc>
        <w:tc>
          <w:tcPr>
            <w:tcW w:w="8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12,212</w:t>
            </w:r>
          </w:p>
        </w:tc>
        <w:tc>
          <w:tcPr>
            <w:tcW w:w="100" w:type="dxa"/>
            <w:vAlign w:val="bottom"/>
          </w:tcPr>
          <w:p>
            <w:pPr>
              <w:spacing w:after="0"/>
              <w:rPr>
                <w:sz w:val="18"/>
                <w:szCs w:val="18"/>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8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11,027</w:t>
            </w:r>
          </w:p>
        </w:tc>
        <w:tc>
          <w:tcPr>
            <w:tcW w:w="100" w:type="dxa"/>
            <w:vAlign w:val="bottom"/>
            <w:shd w:val="clear" w:color="auto" w:fill="CCEEFF"/>
          </w:tcPr>
          <w:p>
            <w:pPr>
              <w:spacing w:after="0"/>
              <w:rPr>
                <w:sz w:val="18"/>
                <w:szCs w:val="18"/>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2018</w:t>
            </w:r>
          </w:p>
        </w:tc>
        <w:tc>
          <w:tcPr>
            <w:tcW w:w="8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5,599</w:t>
            </w:r>
          </w:p>
        </w:tc>
        <w:tc>
          <w:tcPr>
            <w:tcW w:w="100" w:type="dxa"/>
            <w:vAlign w:val="bottom"/>
          </w:tcPr>
          <w:p>
            <w:pPr>
              <w:spacing w:after="0"/>
              <w:rPr>
                <w:sz w:val="18"/>
                <w:szCs w:val="18"/>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8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1,860</w:t>
            </w:r>
          </w:p>
        </w:tc>
        <w:tc>
          <w:tcPr>
            <w:tcW w:w="100" w:type="dxa"/>
            <w:vAlign w:val="bottom"/>
            <w:shd w:val="clear" w:color="auto" w:fill="CCEEFF"/>
          </w:tcPr>
          <w:p>
            <w:pPr>
              <w:spacing w:after="0"/>
              <w:rPr>
                <w:sz w:val="18"/>
                <w:szCs w:val="18"/>
                <w:color w:val="auto"/>
              </w:rPr>
            </w:pPr>
          </w:p>
        </w:tc>
      </w:tr>
      <w:tr>
        <w:trPr>
          <w:trHeight w:val="223"/>
        </w:trPr>
        <w:tc>
          <w:tcPr>
            <w:tcW w:w="89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r>
      <w:tr>
        <w:trPr>
          <w:trHeight w:val="216"/>
        </w:trPr>
        <w:tc>
          <w:tcPr>
            <w:tcW w:w="700" w:type="dxa"/>
            <w:vAlign w:val="bottom"/>
            <w:shd w:val="clear" w:color="auto" w:fill="CCEEFF"/>
          </w:tcPr>
          <w:p>
            <w:pPr>
              <w:spacing w:after="0"/>
              <w:rPr>
                <w:sz w:val="18"/>
                <w:szCs w:val="18"/>
                <w:color w:val="auto"/>
              </w:rPr>
            </w:pPr>
          </w:p>
        </w:tc>
        <w:tc>
          <w:tcPr>
            <w:tcW w:w="8200" w:type="dxa"/>
            <w:vAlign w:val="bottom"/>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45,649</w:t>
            </w:r>
          </w:p>
        </w:tc>
        <w:tc>
          <w:tcPr>
            <w:tcW w:w="100" w:type="dxa"/>
            <w:vAlign w:val="bottom"/>
            <w:shd w:val="clear" w:color="auto" w:fill="CCEEFF"/>
          </w:tcPr>
          <w:p>
            <w:pPr>
              <w:spacing w:after="0"/>
              <w:rPr>
                <w:sz w:val="18"/>
                <w:szCs w:val="18"/>
                <w:color w:val="auto"/>
              </w:rPr>
            </w:pPr>
          </w:p>
        </w:tc>
      </w:tr>
      <w:tr>
        <w:trPr>
          <w:trHeight w:val="20"/>
        </w:trPr>
        <w:tc>
          <w:tcPr>
            <w:tcW w:w="700" w:type="dxa"/>
            <w:vAlign w:val="bottom"/>
          </w:tcPr>
          <w:p>
            <w:pPr>
              <w:spacing w:after="0" w:line="20" w:lineRule="exact"/>
              <w:rPr>
                <w:sz w:val="1"/>
                <w:szCs w:val="1"/>
                <w:color w:val="auto"/>
              </w:rPr>
            </w:pPr>
          </w:p>
        </w:tc>
        <w:tc>
          <w:tcPr>
            <w:tcW w:w="82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Note 8 </w:t>
      </w:r>
      <w:r>
        <w:rPr>
          <w:rFonts w:ascii="Arial" w:cs="Arial" w:eastAsia="Arial" w:hAnsi="Arial"/>
          <w:sz w:val="18"/>
          <w:szCs w:val="18"/>
          <w:color w:val="auto"/>
        </w:rPr>
        <w:t>—</w:t>
      </w:r>
      <w:r>
        <w:rPr>
          <w:rFonts w:ascii="Arial" w:cs="Arial" w:eastAsia="Arial" w:hAnsi="Arial"/>
          <w:sz w:val="18"/>
          <w:szCs w:val="18"/>
          <w:b w:val="1"/>
          <w:bCs w:val="1"/>
          <w:color w:val="auto"/>
        </w:rPr>
        <w:t xml:space="preserve"> Restructuring:</w:t>
      </w:r>
    </w:p>
    <w:p>
      <w:pPr>
        <w:spacing w:after="0" w:line="9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In fiscal 2014, the Company recorded a restructuring charge of $4.2 million related to the closure of two sites. This amount included $2.8 million of severance costs, and $1.4 million for other exit-related costs in connection with vacating two facilities and the write-off of equipment. All activities related to the closure of the two sites were substantially completed by the end fiscal 2014.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fiscal 2013, the Company recorded a restructuring charge when the sublease of one of its previously vacated facilities was terminated.</w:t>
      </w:r>
    </w:p>
    <w:p>
      <w:pPr>
        <w:spacing w:after="0" w:line="171"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In fiscal 2012, the Company decided to vacate a leased facility it assumed in connection with the Xelerated acquisition immediately after the close of the transaction. As a result, the Company recorded an insignificant restructuring charge for the lease obligation. In fiscal 2012, the Company also completed the sale of its building that was previously classified as held for sale in fiscal 2011. The building was sold to an unrelated third party for $6.8 million, equal to its revised carrying value.</w:t>
      </w:r>
    </w:p>
    <w:p>
      <w:pPr>
        <w:spacing w:after="0" w:line="14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Company also continued to make payments and incurred restructuring charges for ongoing operating expenses related to previously vacated facilities during fiscal 2014, 2013 and 2012.</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3"/>
          </w:tcPr>
          <w:p>
            <w:pPr>
              <w:jc w:val="center"/>
              <w:ind w:right="380"/>
              <w:spacing w:after="0"/>
              <w:rPr>
                <w:sz w:val="20"/>
                <w:szCs w:val="20"/>
                <w:color w:val="auto"/>
              </w:rPr>
            </w:pPr>
            <w:r>
              <w:rPr>
                <w:rFonts w:ascii="Arial" w:cs="Arial" w:eastAsia="Arial" w:hAnsi="Arial"/>
                <w:sz w:val="14"/>
                <w:szCs w:val="14"/>
                <w:b w:val="1"/>
                <w:bCs w:val="1"/>
                <w:color w:val="auto"/>
                <w:w w:val="88"/>
              </w:rPr>
              <w:t>Year Ended</w:t>
            </w:r>
          </w:p>
        </w:tc>
        <w:tc>
          <w:tcPr>
            <w:tcW w:w="3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408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7"/>
              </w:rPr>
              <w:t>February 1,</w:t>
            </w:r>
          </w:p>
        </w:tc>
        <w:tc>
          <w:tcPr>
            <w:tcW w:w="720" w:type="dxa"/>
            <w:vAlign w:val="bottom"/>
          </w:tcPr>
          <w:p>
            <w:pPr>
              <w:spacing w:after="0"/>
              <w:rPr>
                <w:sz w:val="11"/>
                <w:szCs w:val="11"/>
                <w:color w:val="auto"/>
              </w:rPr>
            </w:pPr>
          </w:p>
        </w:tc>
        <w:tc>
          <w:tcPr>
            <w:tcW w:w="1060" w:type="dxa"/>
            <w:vAlign w:val="bottom"/>
            <w:gridSpan w:val="3"/>
          </w:tcPr>
          <w:p>
            <w:pPr>
              <w:jc w:val="center"/>
              <w:ind w:right="380"/>
              <w:spacing w:after="0" w:line="129" w:lineRule="exact"/>
              <w:rPr>
                <w:sz w:val="20"/>
                <w:szCs w:val="20"/>
                <w:color w:val="auto"/>
              </w:rPr>
            </w:pPr>
            <w:r>
              <w:rPr>
                <w:rFonts w:ascii="Arial" w:cs="Arial" w:eastAsia="Arial" w:hAnsi="Arial"/>
                <w:sz w:val="14"/>
                <w:szCs w:val="14"/>
                <w:b w:val="1"/>
                <w:bCs w:val="1"/>
                <w:color w:val="auto"/>
                <w:w w:val="90"/>
              </w:rPr>
              <w:t>February 2,</w:t>
            </w:r>
          </w:p>
        </w:tc>
        <w:tc>
          <w:tcPr>
            <w:tcW w:w="34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Borders>
              <w:bottom w:val="single" w:sz="8" w:color="CCEEFF"/>
            </w:tcBorders>
          </w:tcPr>
          <w:p>
            <w:pPr>
              <w:spacing w:after="0"/>
              <w:rPr>
                <w:sz w:val="14"/>
                <w:szCs w:val="14"/>
                <w:color w:val="auto"/>
              </w:rPr>
            </w:pPr>
          </w:p>
        </w:tc>
        <w:tc>
          <w:tcPr>
            <w:tcW w:w="40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7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center"/>
              <w:ind w:right="56"/>
              <w:spacing w:after="0"/>
              <w:rPr>
                <w:sz w:val="20"/>
                <w:szCs w:val="20"/>
                <w:color w:val="auto"/>
              </w:rPr>
            </w:pPr>
            <w:r>
              <w:rPr>
                <w:rFonts w:ascii="Arial" w:cs="Arial" w:eastAsia="Arial" w:hAnsi="Arial"/>
                <w:sz w:val="14"/>
                <w:szCs w:val="14"/>
                <w:b w:val="1"/>
                <w:bCs w:val="1"/>
                <w:color w:val="auto"/>
                <w:w w:val="89"/>
              </w:rPr>
              <w:t>2013</w:t>
            </w:r>
          </w:p>
        </w:tc>
        <w:tc>
          <w:tcPr>
            <w:tcW w:w="38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7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40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3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Selling and marketing</w:t>
            </w:r>
          </w:p>
        </w:tc>
        <w:tc>
          <w:tcPr>
            <w:tcW w:w="4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795</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(3)</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408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1,051</w:t>
            </w:r>
          </w:p>
        </w:tc>
        <w:tc>
          <w:tcPr>
            <w:tcW w:w="7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1,213</w:t>
            </w:r>
          </w:p>
        </w:tc>
        <w:tc>
          <w:tcPr>
            <w:tcW w:w="3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760" w:type="dxa"/>
            <w:vAlign w:val="bottom"/>
          </w:tcPr>
          <w:p>
            <w:pPr>
              <w:spacing w:after="0"/>
              <w:rPr>
                <w:sz w:val="19"/>
                <w:szCs w:val="19"/>
                <w:color w:val="auto"/>
              </w:rPr>
            </w:pPr>
          </w:p>
        </w:tc>
        <w:tc>
          <w:tcPr>
            <w:tcW w:w="4220" w:type="dxa"/>
            <w:vAlign w:val="bottom"/>
            <w:gridSpan w:val="2"/>
          </w:tcPr>
          <w:p>
            <w:pPr>
              <w:ind w:left="40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4,732</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1,257</w:t>
            </w:r>
          </w:p>
        </w:tc>
        <w:tc>
          <w:tcPr>
            <w:tcW w:w="380" w:type="dxa"/>
            <w:vAlign w:val="bottom"/>
          </w:tcPr>
          <w:p>
            <w:pPr>
              <w:spacing w:after="0"/>
              <w:rPr>
                <w:sz w:val="19"/>
                <w:szCs w:val="19"/>
                <w:color w:val="auto"/>
              </w:rPr>
            </w:pPr>
          </w:p>
        </w:tc>
        <w:tc>
          <w:tcPr>
            <w:tcW w:w="48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1,856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760" w:type="dxa"/>
            <w:vAlign w:val="bottom"/>
          </w:tcPr>
          <w:p>
            <w:pPr>
              <w:spacing w:after="0" w:line="20" w:lineRule="exact"/>
              <w:rPr>
                <w:sz w:val="1"/>
                <w:szCs w:val="1"/>
                <w:color w:val="auto"/>
              </w:rPr>
            </w:pPr>
          </w:p>
        </w:tc>
        <w:tc>
          <w:tcPr>
            <w:tcW w:w="4080" w:type="dxa"/>
            <w:vAlign w:val="bottom"/>
            <w:vMerge w:val="restart"/>
          </w:tcPr>
          <w:p>
            <w:pPr>
              <w:jc w:val="right"/>
              <w:ind w:right="1952"/>
              <w:spacing w:after="0"/>
              <w:rPr>
                <w:sz w:val="20"/>
                <w:szCs w:val="20"/>
                <w:color w:val="auto"/>
              </w:rPr>
            </w:pPr>
            <w:r>
              <w:rPr>
                <w:rFonts w:ascii="Arial" w:cs="Arial" w:eastAsia="Arial" w:hAnsi="Arial"/>
                <w:sz w:val="18"/>
                <w:szCs w:val="18"/>
                <w:color w:val="auto"/>
              </w:rPr>
              <w:t>84</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60" w:type="dxa"/>
            <w:vAlign w:val="bottom"/>
          </w:tcPr>
          <w:p>
            <w:pPr>
              <w:spacing w:after="0"/>
              <w:rPr>
                <w:sz w:val="24"/>
                <w:szCs w:val="24"/>
                <w:color w:val="auto"/>
              </w:rPr>
            </w:pPr>
          </w:p>
        </w:tc>
        <w:tc>
          <w:tcPr>
            <w:tcW w:w="408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restructuring charges (in thousands):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120" w:type="dxa"/>
            <w:vAlign w:val="bottom"/>
            <w:gridSpan w:val="3"/>
          </w:tcPr>
          <w:p>
            <w:pPr>
              <w:ind w:left="60"/>
              <w:spacing w:after="0"/>
              <w:rPr>
                <w:sz w:val="20"/>
                <w:szCs w:val="20"/>
                <w:color w:val="auto"/>
              </w:rPr>
            </w:pPr>
            <w:r>
              <w:rPr>
                <w:rFonts w:ascii="Arial" w:cs="Arial" w:eastAsia="Arial" w:hAnsi="Arial"/>
                <w:sz w:val="14"/>
                <w:szCs w:val="14"/>
                <w:b w:val="1"/>
                <w:bCs w:val="1"/>
                <w:color w:val="auto"/>
              </w:rPr>
              <w:t>Severance</w:t>
            </w: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3"/>
              </w:rPr>
              <w:t>Facilities</w:t>
            </w: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0"/>
              </w:rPr>
              <w:t>Other</w:t>
            </w:r>
          </w:p>
        </w:tc>
        <w:tc>
          <w:tcPr>
            <w:tcW w:w="3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0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11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and Related</w:t>
            </w:r>
          </w:p>
        </w:tc>
        <w:tc>
          <w:tcPr>
            <w:tcW w:w="340" w:type="dxa"/>
            <w:vAlign w:val="bottom"/>
          </w:tcPr>
          <w:p>
            <w:pPr>
              <w:spacing w:after="0"/>
              <w:rPr>
                <w:sz w:val="12"/>
                <w:szCs w:val="12"/>
                <w:color w:val="auto"/>
              </w:rPr>
            </w:pPr>
          </w:p>
        </w:tc>
        <w:tc>
          <w:tcPr>
            <w:tcW w:w="11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360" w:type="dxa"/>
            <w:vAlign w:val="bottom"/>
          </w:tcPr>
          <w:p>
            <w:pPr>
              <w:spacing w:after="0"/>
              <w:rPr>
                <w:sz w:val="12"/>
                <w:szCs w:val="12"/>
                <w:color w:val="auto"/>
              </w:rPr>
            </w:pPr>
          </w:p>
        </w:tc>
        <w:tc>
          <w:tcPr>
            <w:tcW w:w="112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88"/>
              </w:rPr>
              <w:t>Exit-Related</w:t>
            </w:r>
          </w:p>
        </w:tc>
        <w:tc>
          <w:tcPr>
            <w:tcW w:w="3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w w:val="92"/>
              </w:rPr>
              <w:t>Costs</w:t>
            </w: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Costs</w:t>
            </w: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2"/>
              </w:rPr>
              <w:t>Costs</w:t>
            </w:r>
          </w:p>
        </w:tc>
        <w:tc>
          <w:tcPr>
            <w:tcW w:w="360" w:type="dxa"/>
            <w:vAlign w:val="bottom"/>
          </w:tcPr>
          <w:p>
            <w:pPr>
              <w:spacing w:after="0"/>
              <w:rPr>
                <w:sz w:val="14"/>
                <w:szCs w:val="14"/>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17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2,917</w:t>
            </w:r>
          </w:p>
        </w:tc>
        <w:tc>
          <w:tcPr>
            <w:tcW w:w="40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0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$ 2,917</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tcPr>
          <w:p>
            <w:pPr>
              <w:ind w:left="420"/>
              <w:spacing w:after="0"/>
              <w:rPr>
                <w:sz w:val="20"/>
                <w:szCs w:val="20"/>
                <w:color w:val="auto"/>
              </w:rPr>
            </w:pPr>
            <w:r>
              <w:rPr>
                <w:rFonts w:ascii="Arial" w:cs="Arial" w:eastAsia="Arial" w:hAnsi="Arial"/>
                <w:sz w:val="18"/>
                <w:szCs w:val="18"/>
                <w:color w:val="auto"/>
              </w:rPr>
              <w:t>Restructuring charges</w:t>
            </w:r>
          </w:p>
        </w:tc>
        <w:tc>
          <w:tcPr>
            <w:tcW w:w="1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553</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20" w:type="dxa"/>
            <w:vAlign w:val="bottom"/>
            <w:gridSpan w:val="3"/>
          </w:tcPr>
          <w:p>
            <w:pPr>
              <w:jc w:val="right"/>
              <w:ind w:right="100"/>
              <w:spacing w:after="0"/>
              <w:rPr>
                <w:sz w:val="20"/>
                <w:szCs w:val="20"/>
                <w:color w:val="auto"/>
              </w:rPr>
            </w:pPr>
            <w:r>
              <w:rPr>
                <w:rFonts w:ascii="Arial" w:cs="Arial" w:eastAsia="Arial" w:hAnsi="Arial"/>
                <w:sz w:val="18"/>
                <w:szCs w:val="18"/>
                <w:color w:val="auto"/>
              </w:rPr>
              <w:t>553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cash payments</w:t>
            </w:r>
          </w:p>
        </w:tc>
        <w:tc>
          <w:tcPr>
            <w:tcW w:w="1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(1,329)</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(1,329)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tcPr>
          <w:p>
            <w:pPr>
              <w:ind w:left="420"/>
              <w:spacing w:after="0"/>
              <w:rPr>
                <w:sz w:val="20"/>
                <w:szCs w:val="20"/>
                <w:color w:val="auto"/>
              </w:rPr>
            </w:pPr>
            <w:r>
              <w:rPr>
                <w:rFonts w:ascii="Arial" w:cs="Arial" w:eastAsia="Arial" w:hAnsi="Arial"/>
                <w:sz w:val="18"/>
                <w:szCs w:val="18"/>
                <w:color w:val="auto"/>
              </w:rPr>
              <w:t>Non-cash adjustments</w:t>
            </w:r>
          </w:p>
        </w:tc>
        <w:tc>
          <w:tcPr>
            <w:tcW w:w="1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10</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20" w:type="dxa"/>
            <w:vAlign w:val="bottom"/>
            <w:gridSpan w:val="3"/>
          </w:tcPr>
          <w:p>
            <w:pPr>
              <w:jc w:val="right"/>
              <w:ind w:right="10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previous estimates</w:t>
            </w:r>
          </w:p>
        </w:tc>
        <w:tc>
          <w:tcPr>
            <w:tcW w:w="17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704</w:t>
            </w:r>
          </w:p>
        </w:tc>
        <w:tc>
          <w:tcPr>
            <w:tcW w:w="4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20" w:type="dxa"/>
            <w:vAlign w:val="bottom"/>
            <w:gridSpan w:val="2"/>
          </w:tcPr>
          <w:p>
            <w:pPr>
              <w:spacing w:after="0"/>
              <w:rPr>
                <w:sz w:val="20"/>
                <w:szCs w:val="20"/>
                <w:color w:val="auto"/>
              </w:rPr>
            </w:pPr>
            <w:r>
              <w:rPr>
                <w:rFonts w:ascii="Arial" w:cs="Arial" w:eastAsia="Arial" w:hAnsi="Arial"/>
                <w:sz w:val="18"/>
                <w:szCs w:val="18"/>
                <w:color w:val="auto"/>
              </w:rPr>
              <w:t>Balance at February 2, 2013</w:t>
            </w:r>
          </w:p>
        </w:tc>
        <w:tc>
          <w:tcPr>
            <w:tcW w:w="17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420" w:type="dxa"/>
            <w:vAlign w:val="bottom"/>
            <w:gridSpan w:val="2"/>
          </w:tcPr>
          <w:p>
            <w:pPr>
              <w:ind w:left="340"/>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2,855</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20" w:type="dxa"/>
            <w:vAlign w:val="bottom"/>
            <w:gridSpan w:val="3"/>
          </w:tcPr>
          <w:p>
            <w:pPr>
              <w:jc w:val="right"/>
              <w:ind w:right="100"/>
              <w:spacing w:after="0"/>
              <w:rPr>
                <w:sz w:val="20"/>
                <w:szCs w:val="20"/>
                <w:color w:val="auto"/>
              </w:rPr>
            </w:pPr>
            <w:r>
              <w:rPr>
                <w:rFonts w:ascii="Arial" w:cs="Arial" w:eastAsia="Arial" w:hAnsi="Arial"/>
                <w:sz w:val="18"/>
                <w:szCs w:val="18"/>
                <w:color w:val="auto"/>
              </w:rPr>
              <w:t>2,855</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6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 charges</w:t>
            </w:r>
          </w:p>
        </w:tc>
        <w:tc>
          <w:tcPr>
            <w:tcW w:w="1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2,786</w:t>
            </w:r>
          </w:p>
        </w:tc>
        <w:tc>
          <w:tcPr>
            <w:tcW w:w="4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1,672</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213</w:t>
            </w:r>
          </w:p>
        </w:tc>
        <w:tc>
          <w:tcPr>
            <w:tcW w:w="10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4,671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tcPr>
          <w:p>
            <w:pPr>
              <w:spacing w:after="0"/>
              <w:rPr>
                <w:sz w:val="20"/>
                <w:szCs w:val="20"/>
                <w:color w:val="auto"/>
              </w:rPr>
            </w:pPr>
            <w:r>
              <w:rPr>
                <w:rFonts w:ascii="Arial" w:cs="Arial" w:eastAsia="Arial" w:hAnsi="Arial"/>
                <w:sz w:val="18"/>
                <w:szCs w:val="18"/>
                <w:color w:val="auto"/>
              </w:rPr>
              <w:t>Net cash payments</w:t>
            </w:r>
          </w:p>
        </w:tc>
        <w:tc>
          <w:tcPr>
            <w:tcW w:w="1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(2,735)</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2"/>
          </w:tcPr>
          <w:p>
            <w:pPr>
              <w:jc w:val="right"/>
              <w:ind w:right="340"/>
              <w:spacing w:after="0"/>
              <w:rPr>
                <w:sz w:val="20"/>
                <w:szCs w:val="20"/>
                <w:color w:val="auto"/>
              </w:rPr>
            </w:pPr>
            <w:r>
              <w:rPr>
                <w:rFonts w:ascii="Arial" w:cs="Arial" w:eastAsia="Arial" w:hAnsi="Arial"/>
                <w:sz w:val="18"/>
                <w:szCs w:val="18"/>
                <w:color w:val="auto"/>
              </w:rPr>
              <w:t>(2,144)</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(194)</w:t>
            </w:r>
          </w:p>
        </w:tc>
        <w:tc>
          <w:tcPr>
            <w:tcW w:w="1020" w:type="dxa"/>
            <w:vAlign w:val="bottom"/>
            <w:gridSpan w:val="3"/>
          </w:tcPr>
          <w:p>
            <w:pPr>
              <w:jc w:val="right"/>
              <w:ind w:right="40"/>
              <w:spacing w:after="0"/>
              <w:rPr>
                <w:sz w:val="20"/>
                <w:szCs w:val="20"/>
                <w:color w:val="auto"/>
              </w:rPr>
            </w:pPr>
            <w:r>
              <w:rPr>
                <w:rFonts w:ascii="Arial" w:cs="Arial" w:eastAsia="Arial" w:hAnsi="Arial"/>
                <w:sz w:val="18"/>
                <w:szCs w:val="18"/>
                <w:color w:val="auto"/>
              </w:rPr>
              <w:t>(5,073)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60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36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1, 2014</w:t>
            </w:r>
          </w:p>
        </w:tc>
        <w:tc>
          <w:tcPr>
            <w:tcW w:w="1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4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40"/>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2,383</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19</w:t>
            </w:r>
          </w:p>
        </w:tc>
        <w:tc>
          <w:tcPr>
            <w:tcW w:w="10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$ 2,453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0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60" w:firstLine="456"/>
        <w:spacing w:after="0" w:line="259" w:lineRule="auto"/>
        <w:rPr>
          <w:sz w:val="20"/>
          <w:szCs w:val="20"/>
          <w:color w:val="auto"/>
        </w:rPr>
      </w:pPr>
      <w:r>
        <w:rPr>
          <w:rFonts w:ascii="Arial" w:cs="Arial" w:eastAsia="Arial" w:hAnsi="Arial"/>
          <w:sz w:val="18"/>
          <w:szCs w:val="18"/>
          <w:color w:val="auto"/>
        </w:rPr>
        <w:t>The severance costs included in the table above are expected to be paid in the first quarter of fiscal 2015. The facility and related costs recorded in fiscal 2014 primarily represent payments under lease obligations of vacated facilities associated with the closure of two sites, which are expected to be paid through fiscal 2015.</w:t>
      </w:r>
    </w:p>
    <w:p>
      <w:pPr>
        <w:spacing w:after="0" w:line="14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balance at February 1, 2014 for facility and related costs also includes remaining payments under lease obligations related to vacated facilities under previous restructure actions which are expected to be paid through fiscal 2018.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Income Taxes: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U.S. and non-U.S. components of income before income taxes consist of the following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Year Ended</w:t>
            </w:r>
          </w:p>
        </w:tc>
        <w:tc>
          <w:tcPr>
            <w:tcW w:w="2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478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90"/>
              </w:rPr>
              <w:t>February 1,</w:t>
            </w:r>
          </w:p>
        </w:tc>
        <w:tc>
          <w:tcPr>
            <w:tcW w:w="400" w:type="dxa"/>
            <w:vAlign w:val="bottom"/>
          </w:tcPr>
          <w:p>
            <w:pPr>
              <w:spacing w:after="0"/>
              <w:rPr>
                <w:sz w:val="11"/>
                <w:szCs w:val="11"/>
                <w:color w:val="auto"/>
              </w:rPr>
            </w:pPr>
          </w:p>
        </w:tc>
        <w:tc>
          <w:tcPr>
            <w:tcW w:w="9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2,</w:t>
            </w:r>
          </w:p>
        </w:tc>
        <w:tc>
          <w:tcPr>
            <w:tcW w:w="200" w:type="dxa"/>
            <w:vAlign w:val="bottom"/>
          </w:tcPr>
          <w:p>
            <w:pPr>
              <w:spacing w:after="0"/>
              <w:rPr>
                <w:sz w:val="11"/>
                <w:szCs w:val="11"/>
                <w:color w:val="auto"/>
              </w:rPr>
            </w:pPr>
          </w:p>
        </w:tc>
        <w:tc>
          <w:tcPr>
            <w:tcW w:w="74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40" w:type="dxa"/>
            <w:vAlign w:val="bottom"/>
            <w:tcBorders>
              <w:bottom w:val="single" w:sz="8" w:color="CCEEFF"/>
            </w:tcBorders>
          </w:tcPr>
          <w:p>
            <w:pPr>
              <w:spacing w:after="0"/>
              <w:rPr>
                <w:sz w:val="14"/>
                <w:szCs w:val="14"/>
                <w:color w:val="auto"/>
              </w:rPr>
            </w:pPr>
          </w:p>
        </w:tc>
        <w:tc>
          <w:tcPr>
            <w:tcW w:w="47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2014</w:t>
            </w:r>
          </w:p>
        </w:tc>
        <w:tc>
          <w:tcPr>
            <w:tcW w:w="4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2013</w:t>
            </w:r>
          </w:p>
        </w:tc>
        <w:tc>
          <w:tcPr>
            <w:tcW w:w="2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5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U.S. operations</w:t>
            </w:r>
          </w:p>
        </w:tc>
        <w:tc>
          <w:tcPr>
            <w:tcW w:w="4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31,339</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34,900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540" w:type="dxa"/>
            <w:vAlign w:val="bottom"/>
          </w:tcPr>
          <w:p>
            <w:pPr>
              <w:spacing w:after="0"/>
              <w:rPr>
                <w:sz w:val="20"/>
                <w:szCs w:val="20"/>
                <w:color w:val="auto"/>
              </w:rPr>
            </w:pPr>
            <w:r>
              <w:rPr>
                <w:rFonts w:ascii="Arial" w:cs="Arial" w:eastAsia="Arial" w:hAnsi="Arial"/>
                <w:sz w:val="18"/>
                <w:szCs w:val="18"/>
                <w:color w:val="auto"/>
              </w:rPr>
              <w:t>Non-U.S. operations</w:t>
            </w:r>
          </w:p>
        </w:tc>
        <w:tc>
          <w:tcPr>
            <w:tcW w:w="47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274,918</w:t>
            </w:r>
          </w:p>
        </w:tc>
        <w:tc>
          <w:tcPr>
            <w:tcW w:w="4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275,290</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591,020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18"/>
                <w:szCs w:val="18"/>
                <w:color w:val="auto"/>
              </w:rPr>
            </w:pPr>
          </w:p>
        </w:tc>
        <w:tc>
          <w:tcPr>
            <w:tcW w:w="4900" w:type="dxa"/>
            <w:vAlign w:val="bottom"/>
            <w:gridSpan w:val="2"/>
            <w:shd w:val="clear" w:color="auto" w:fill="CCEEFF"/>
          </w:tcPr>
          <w:p>
            <w:pPr>
              <w:ind w:left="478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306,257</w:t>
            </w:r>
          </w:p>
        </w:tc>
        <w:tc>
          <w:tcPr>
            <w:tcW w:w="5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310,190</w:t>
            </w:r>
          </w:p>
        </w:tc>
        <w:tc>
          <w:tcPr>
            <w:tcW w:w="2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619,059</w:t>
            </w: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4780" w:type="dxa"/>
            <w:vAlign w:val="bottom"/>
            <w:vMerge w:val="restart"/>
          </w:tcPr>
          <w:p>
            <w:pPr>
              <w:jc w:val="right"/>
              <w:ind w:right="2432"/>
              <w:spacing w:after="0"/>
              <w:rPr>
                <w:sz w:val="20"/>
                <w:szCs w:val="20"/>
                <w:color w:val="auto"/>
              </w:rPr>
            </w:pPr>
            <w:r>
              <w:rPr>
                <w:rFonts w:ascii="Arial" w:cs="Arial" w:eastAsia="Arial" w:hAnsi="Arial"/>
                <w:sz w:val="18"/>
                <w:szCs w:val="18"/>
                <w:color w:val="auto"/>
              </w:rPr>
              <w:t>85</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40" w:type="dxa"/>
            <w:vAlign w:val="bottom"/>
          </w:tcPr>
          <w:p>
            <w:pPr>
              <w:spacing w:after="0"/>
              <w:rPr>
                <w:sz w:val="24"/>
                <w:szCs w:val="24"/>
                <w:color w:val="auto"/>
              </w:rPr>
            </w:pPr>
          </w:p>
        </w:tc>
        <w:tc>
          <w:tcPr>
            <w:tcW w:w="478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provision (benefit) for income taxes consists of the following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6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5"/>
          </w:tcPr>
          <w:p>
            <w:pPr>
              <w:spacing w:after="0"/>
              <w:rPr>
                <w:sz w:val="20"/>
                <w:szCs w:val="20"/>
                <w:color w:val="auto"/>
              </w:rPr>
            </w:pPr>
            <w:r>
              <w:rPr>
                <w:rFonts w:ascii="Arial" w:cs="Arial" w:eastAsia="Arial" w:hAnsi="Arial"/>
                <w:sz w:val="14"/>
                <w:szCs w:val="14"/>
                <w:b w:val="1"/>
                <w:bCs w:val="1"/>
                <w:color w:val="auto"/>
              </w:rPr>
              <w:t>Year Ended</w:t>
            </w:r>
          </w:p>
        </w:tc>
        <w:tc>
          <w:tcPr>
            <w:tcW w:w="2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46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14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112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2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460" w:type="dxa"/>
            <w:vAlign w:val="bottom"/>
            <w:tcBorders>
              <w:bottom w:val="single" w:sz="8" w:color="CCEEFF"/>
            </w:tcBorders>
          </w:tcPr>
          <w:p>
            <w:pPr>
              <w:spacing w:after="0"/>
              <w:rPr>
                <w:sz w:val="14"/>
                <w:szCs w:val="14"/>
                <w:color w:val="auto"/>
              </w:rPr>
            </w:pPr>
          </w:p>
        </w:tc>
        <w:tc>
          <w:tcPr>
            <w:tcW w:w="13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2014</w:t>
            </w:r>
          </w:p>
        </w:tc>
        <w:tc>
          <w:tcPr>
            <w:tcW w:w="76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3"/>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4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Current income tax provision (benefit):</w:t>
            </w:r>
          </w:p>
        </w:tc>
        <w:tc>
          <w:tcPr>
            <w:tcW w:w="13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ind w:left="420"/>
              <w:spacing w:after="0"/>
              <w:rPr>
                <w:sz w:val="20"/>
                <w:szCs w:val="20"/>
                <w:color w:val="auto"/>
              </w:rPr>
            </w:pPr>
            <w:r>
              <w:rPr>
                <w:rFonts w:ascii="Arial" w:cs="Arial" w:eastAsia="Arial" w:hAnsi="Arial"/>
                <w:sz w:val="18"/>
                <w:szCs w:val="18"/>
                <w:color w:val="auto"/>
              </w:rPr>
              <w:t>Federal</w:t>
            </w:r>
          </w:p>
        </w:tc>
        <w:tc>
          <w:tcPr>
            <w:tcW w:w="1460" w:type="dxa"/>
            <w:vAlign w:val="bottom"/>
            <w:gridSpan w:val="2"/>
          </w:tcPr>
          <w:p>
            <w:pPr>
              <w:ind w:left="1340"/>
              <w:spacing w:after="0"/>
              <w:rPr>
                <w:sz w:val="20"/>
                <w:szCs w:val="20"/>
                <w:color w:val="auto"/>
              </w:rPr>
            </w:pPr>
            <w:r>
              <w:rPr>
                <w:rFonts w:ascii="Arial" w:cs="Arial" w:eastAsia="Arial" w:hAnsi="Arial"/>
                <w:sz w:val="18"/>
                <w:szCs w:val="18"/>
                <w:color w:val="auto"/>
                <w:w w:val="9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5,774</w:t>
            </w:r>
          </w:p>
        </w:tc>
        <w:tc>
          <w:tcPr>
            <w:tcW w:w="760" w:type="dxa"/>
            <w:vAlign w:val="bottom"/>
          </w:tcPr>
          <w:p>
            <w:pPr>
              <w:spacing w:after="0"/>
              <w:rPr>
                <w:sz w:val="18"/>
                <w:szCs w:val="18"/>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4,461</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20" w:type="dxa"/>
            <w:vAlign w:val="bottom"/>
            <w:gridSpan w:val="3"/>
          </w:tcPr>
          <w:p>
            <w:pPr>
              <w:ind w:left="320"/>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8,183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State</w:t>
            </w:r>
          </w:p>
        </w:tc>
        <w:tc>
          <w:tcPr>
            <w:tcW w:w="1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7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407</w:t>
            </w: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ind w:left="420"/>
              <w:spacing w:after="0"/>
              <w:rPr>
                <w:sz w:val="20"/>
                <w:szCs w:val="20"/>
                <w:color w:val="auto"/>
              </w:rPr>
            </w:pPr>
            <w:r>
              <w:rPr>
                <w:rFonts w:ascii="Arial" w:cs="Arial" w:eastAsia="Arial" w:hAnsi="Arial"/>
                <w:sz w:val="18"/>
                <w:szCs w:val="18"/>
                <w:color w:val="auto"/>
              </w:rPr>
              <w:t>Foreign</w:t>
            </w:r>
          </w:p>
        </w:tc>
        <w:tc>
          <w:tcPr>
            <w:tcW w:w="1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20" w:type="dxa"/>
            <w:vAlign w:val="bottom"/>
            <w:gridSpan w:val="2"/>
          </w:tcPr>
          <w:p>
            <w:pPr>
              <w:jc w:val="right"/>
              <w:ind w:right="700"/>
              <w:spacing w:after="0"/>
              <w:rPr>
                <w:sz w:val="20"/>
                <w:szCs w:val="20"/>
                <w:color w:val="auto"/>
              </w:rPr>
            </w:pPr>
            <w:r>
              <w:rPr>
                <w:rFonts w:ascii="Arial" w:cs="Arial" w:eastAsia="Arial" w:hAnsi="Arial"/>
                <w:sz w:val="18"/>
                <w:szCs w:val="18"/>
                <w:color w:val="auto"/>
                <w:w w:val="89"/>
              </w:rPr>
              <w:t>(18,829)</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(8,289)</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(1,069)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4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76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Total current income tax provision (benefit)</w:t>
            </w:r>
          </w:p>
        </w:tc>
        <w:tc>
          <w:tcPr>
            <w:tcW w:w="1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w w:val="89"/>
              </w:rPr>
              <w:t>(12,982)</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(3,421)</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spacing w:after="0"/>
              <w:rPr>
                <w:sz w:val="20"/>
                <w:szCs w:val="20"/>
                <w:color w:val="auto"/>
              </w:rPr>
            </w:pPr>
            <w:r>
              <w:rPr>
                <w:rFonts w:ascii="Arial" w:cs="Arial" w:eastAsia="Arial" w:hAnsi="Arial"/>
                <w:sz w:val="18"/>
                <w:szCs w:val="18"/>
                <w:color w:val="auto"/>
              </w:rPr>
              <w:t>Deferred income tax provision (benefit):</w:t>
            </w:r>
          </w:p>
        </w:tc>
        <w:tc>
          <w:tcPr>
            <w:tcW w:w="1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Federal</w:t>
            </w:r>
          </w:p>
        </w:tc>
        <w:tc>
          <w:tcPr>
            <w:tcW w:w="1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w:t>
            </w:r>
          </w:p>
        </w:tc>
        <w:tc>
          <w:tcPr>
            <w:tcW w:w="7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6,306</w:t>
            </w: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ind w:left="420"/>
              <w:spacing w:after="0"/>
              <w:rPr>
                <w:sz w:val="20"/>
                <w:szCs w:val="20"/>
                <w:color w:val="auto"/>
              </w:rPr>
            </w:pPr>
            <w:r>
              <w:rPr>
                <w:rFonts w:ascii="Arial" w:cs="Arial" w:eastAsia="Arial" w:hAnsi="Arial"/>
                <w:sz w:val="18"/>
                <w:szCs w:val="18"/>
                <w:color w:val="auto"/>
              </w:rPr>
              <w:t>State</w:t>
            </w:r>
          </w:p>
        </w:tc>
        <w:tc>
          <w:tcPr>
            <w:tcW w:w="1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32</w:t>
            </w: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90</w:t>
            </w: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1,078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w:t>
            </w:r>
          </w:p>
        </w:tc>
        <w:tc>
          <w:tcPr>
            <w:tcW w:w="1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3,570</w:t>
            </w:r>
          </w:p>
        </w:tc>
        <w:tc>
          <w:tcPr>
            <w:tcW w:w="7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w:t>
            </w: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(2,962)</w:t>
            </w:r>
          </w:p>
        </w:tc>
        <w:tc>
          <w:tcPr>
            <w:tcW w:w="0" w:type="dxa"/>
            <w:vAlign w:val="bottom"/>
          </w:tcPr>
          <w:p>
            <w:pPr>
              <w:spacing w:after="0"/>
              <w:rPr>
                <w:sz w:val="1"/>
                <w:szCs w:val="1"/>
                <w:color w:val="auto"/>
              </w:rPr>
            </w:pPr>
          </w:p>
        </w:tc>
      </w:tr>
      <w:tr>
        <w:trPr>
          <w:trHeight w:val="20"/>
        </w:trPr>
        <w:tc>
          <w:tcPr>
            <w:tcW w:w="5480" w:type="dxa"/>
            <w:vAlign w:val="bottom"/>
            <w:gridSpan w:val="2"/>
            <w:vMerge w:val="restart"/>
          </w:tcPr>
          <w:p>
            <w:pPr>
              <w:spacing w:after="0"/>
              <w:rPr>
                <w:sz w:val="20"/>
                <w:szCs w:val="20"/>
                <w:color w:val="auto"/>
              </w:rPr>
            </w:pPr>
            <w:r>
              <w:rPr>
                <w:rFonts w:ascii="Arial" w:cs="Arial" w:eastAsia="Arial" w:hAnsi="Arial"/>
                <w:sz w:val="18"/>
                <w:szCs w:val="18"/>
                <w:color w:val="auto"/>
              </w:rPr>
              <w:t>Total deferred income tax provision (benefit)</w:t>
            </w:r>
          </w:p>
        </w:tc>
        <w:tc>
          <w:tcPr>
            <w:tcW w:w="13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480" w:type="dxa"/>
            <w:vAlign w:val="bottom"/>
            <w:gridSpan w:val="2"/>
            <w:vMerge w:val="continue"/>
          </w:tcPr>
          <w:p>
            <w:pPr>
              <w:spacing w:after="0"/>
              <w:rPr>
                <w:sz w:val="19"/>
                <w:szCs w:val="19"/>
                <w:color w:val="auto"/>
              </w:rPr>
            </w:pPr>
          </w:p>
        </w:tc>
        <w:tc>
          <w:tcPr>
            <w:tcW w:w="1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3,919</w:t>
            </w:r>
          </w:p>
        </w:tc>
        <w:tc>
          <w:tcPr>
            <w:tcW w:w="7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7,026</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(3,245)</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4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760" w:type="dxa"/>
            <w:vAlign w:val="bottom"/>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Total provision (benefit) for income taxes</w:t>
            </w:r>
          </w:p>
        </w:tc>
        <w:tc>
          <w:tcPr>
            <w:tcW w:w="1460" w:type="dxa"/>
            <w:vAlign w:val="bottom"/>
            <w:gridSpan w:val="2"/>
            <w:shd w:val="clear" w:color="auto" w:fill="CCEEFF"/>
          </w:tcPr>
          <w:p>
            <w:pPr>
              <w:ind w:left="1340"/>
              <w:spacing w:after="0"/>
              <w:rPr>
                <w:sz w:val="20"/>
                <w:szCs w:val="20"/>
                <w:color w:val="auto"/>
              </w:rPr>
            </w:pPr>
            <w:r>
              <w:rPr>
                <w:rFonts w:ascii="Arial" w:cs="Arial" w:eastAsia="Arial" w:hAnsi="Arial"/>
                <w:sz w:val="18"/>
                <w:szCs w:val="18"/>
                <w:color w:val="auto"/>
                <w:w w:val="99"/>
              </w:rPr>
              <w:t>$</w:t>
            </w:r>
          </w:p>
        </w:tc>
        <w:tc>
          <w:tcPr>
            <w:tcW w:w="13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(9,063)</w:t>
            </w:r>
          </w:p>
        </w:tc>
        <w:tc>
          <w:tcPr>
            <w:tcW w:w="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3,605</w:t>
            </w: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20" w:type="dxa"/>
            <w:vAlign w:val="bottom"/>
            <w:gridSpan w:val="3"/>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3,968</w:t>
            </w:r>
          </w:p>
        </w:tc>
        <w:tc>
          <w:tcPr>
            <w:tcW w:w="0" w:type="dxa"/>
            <w:vAlign w:val="bottom"/>
          </w:tcPr>
          <w:p>
            <w:pPr>
              <w:spacing w:after="0"/>
              <w:rPr>
                <w:sz w:val="1"/>
                <w:szCs w:val="1"/>
                <w:color w:val="auto"/>
              </w:rPr>
            </w:pPr>
          </w:p>
        </w:tc>
      </w:tr>
      <w:tr>
        <w:trPr>
          <w:trHeight w:val="20"/>
        </w:trPr>
        <w:tc>
          <w:tcPr>
            <w:tcW w:w="5480" w:type="dxa"/>
            <w:vAlign w:val="bottom"/>
            <w:gridSpan w:val="2"/>
            <w:vMerge w:val="restart"/>
          </w:tcPr>
          <w:p>
            <w:pPr>
              <w:spacing w:after="0"/>
              <w:rPr>
                <w:sz w:val="20"/>
                <w:szCs w:val="20"/>
                <w:color w:val="auto"/>
              </w:rPr>
            </w:pPr>
            <w:r>
              <w:rPr>
                <w:rFonts w:ascii="Arial" w:cs="Arial" w:eastAsia="Arial" w:hAnsi="Arial"/>
                <w:sz w:val="18"/>
                <w:szCs w:val="18"/>
                <w:color w:val="auto"/>
              </w:rPr>
              <w:t>Deferred tax assets consist of the following (in thousands):</w:t>
            </w:r>
          </w:p>
        </w:tc>
        <w:tc>
          <w:tcPr>
            <w:tcW w:w="13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480" w:type="dxa"/>
            <w:vAlign w:val="bottom"/>
            <w:gridSpan w:val="2"/>
            <w:vMerge w:val="continue"/>
          </w:tcPr>
          <w:p>
            <w:pPr>
              <w:spacing w:after="0"/>
              <w:rPr>
                <w:sz w:val="24"/>
                <w:szCs w:val="24"/>
                <w:color w:val="auto"/>
              </w:rPr>
            </w:pPr>
          </w:p>
        </w:tc>
        <w:tc>
          <w:tcPr>
            <w:tcW w:w="1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54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60" w:type="dxa"/>
            <w:vAlign w:val="bottom"/>
            <w:gridSpan w:val="4"/>
          </w:tcPr>
          <w:p>
            <w:pPr>
              <w:jc w:val="right"/>
              <w:ind w:right="360"/>
              <w:spacing w:after="0"/>
              <w:rPr>
                <w:sz w:val="20"/>
                <w:szCs w:val="20"/>
                <w:color w:val="auto"/>
              </w:rPr>
            </w:pPr>
            <w:r>
              <w:rPr>
                <w:rFonts w:ascii="Arial" w:cs="Arial" w:eastAsia="Arial" w:hAnsi="Arial"/>
                <w:sz w:val="14"/>
                <w:szCs w:val="14"/>
                <w:b w:val="1"/>
                <w:bCs w:val="1"/>
                <w:color w:val="auto"/>
                <w:w w:val="90"/>
              </w:rPr>
              <w:t>February 1,</w:t>
            </w:r>
          </w:p>
        </w:tc>
        <w:tc>
          <w:tcPr>
            <w:tcW w:w="280" w:type="dxa"/>
            <w:vAlign w:val="bottom"/>
          </w:tcPr>
          <w:p>
            <w:pPr>
              <w:spacing w:after="0"/>
              <w:rPr>
                <w:sz w:val="24"/>
                <w:szCs w:val="24"/>
                <w:color w:val="auto"/>
              </w:rPr>
            </w:pPr>
          </w:p>
        </w:tc>
        <w:tc>
          <w:tcPr>
            <w:tcW w:w="840" w:type="dxa"/>
            <w:vAlign w:val="bottom"/>
            <w:gridSpan w:val="4"/>
          </w:tcPr>
          <w:p>
            <w:pPr>
              <w:ind w:left="2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460" w:type="dxa"/>
            <w:vAlign w:val="bottom"/>
            <w:tcBorders>
              <w:bottom w:val="single" w:sz="8" w:color="CCEEFF"/>
            </w:tcBorders>
          </w:tcPr>
          <w:p>
            <w:pPr>
              <w:spacing w:after="0"/>
              <w:rPr>
                <w:sz w:val="14"/>
                <w:szCs w:val="14"/>
                <w:color w:val="auto"/>
              </w:rPr>
            </w:pPr>
          </w:p>
        </w:tc>
        <w:tc>
          <w:tcPr>
            <w:tcW w:w="13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560" w:type="dxa"/>
            <w:vAlign w:val="bottom"/>
            <w:tcBorders>
              <w:bottom w:val="single" w:sz="8" w:color="CCEEFF"/>
            </w:tcBorders>
          </w:tcPr>
          <w:p>
            <w:pPr>
              <w:spacing w:after="0"/>
              <w:rPr>
                <w:sz w:val="14"/>
                <w:szCs w:val="14"/>
                <w:color w:val="auto"/>
              </w:rPr>
            </w:pPr>
          </w:p>
        </w:tc>
        <w:tc>
          <w:tcPr>
            <w:tcW w:w="76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auto"/>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3"/>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4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Deferred tax assets:</w:t>
            </w:r>
          </w:p>
        </w:tc>
        <w:tc>
          <w:tcPr>
            <w:tcW w:w="13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ind w:left="420"/>
              <w:spacing w:after="0"/>
              <w:rPr>
                <w:sz w:val="20"/>
                <w:szCs w:val="20"/>
                <w:color w:val="auto"/>
              </w:rPr>
            </w:pPr>
            <w:r>
              <w:rPr>
                <w:rFonts w:ascii="Arial" w:cs="Arial" w:eastAsia="Arial" w:hAnsi="Arial"/>
                <w:sz w:val="18"/>
                <w:szCs w:val="18"/>
                <w:color w:val="auto"/>
              </w:rPr>
              <w:t>Federal and California research and other tax credits</w:t>
            </w:r>
          </w:p>
        </w:tc>
        <w:tc>
          <w:tcPr>
            <w:tcW w:w="1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gridSpan w:val="4"/>
          </w:tcPr>
          <w:p>
            <w:pPr>
              <w:jc w:val="right"/>
              <w:spacing w:after="0"/>
              <w:rPr>
                <w:sz w:val="20"/>
                <w:szCs w:val="20"/>
                <w:color w:val="auto"/>
              </w:rPr>
            </w:pPr>
            <w:r>
              <w:rPr>
                <w:rFonts w:ascii="Arial" w:cs="Arial" w:eastAsia="Arial" w:hAnsi="Arial"/>
                <w:sz w:val="18"/>
                <w:szCs w:val="18"/>
                <w:color w:val="auto"/>
                <w:w w:val="94"/>
              </w:rPr>
              <w:t>$ 335,894</w:t>
            </w:r>
          </w:p>
        </w:tc>
        <w:tc>
          <w:tcPr>
            <w:tcW w:w="340" w:type="dxa"/>
            <w:vAlign w:val="bottom"/>
          </w:tcPr>
          <w:p>
            <w:pPr>
              <w:spacing w:after="0"/>
              <w:rPr>
                <w:sz w:val="18"/>
                <w:szCs w:val="18"/>
                <w:color w:val="auto"/>
              </w:rPr>
            </w:pPr>
          </w:p>
        </w:tc>
        <w:tc>
          <w:tcPr>
            <w:tcW w:w="1120" w:type="dxa"/>
            <w:vAlign w:val="bottom"/>
            <w:gridSpan w:val="5"/>
          </w:tcPr>
          <w:p>
            <w:pPr>
              <w:jc w:val="right"/>
              <w:ind w:right="100"/>
              <w:spacing w:after="0"/>
              <w:rPr>
                <w:sz w:val="20"/>
                <w:szCs w:val="20"/>
                <w:color w:val="auto"/>
              </w:rPr>
            </w:pPr>
            <w:r>
              <w:rPr>
                <w:rFonts w:ascii="Arial" w:cs="Arial" w:eastAsia="Arial" w:hAnsi="Arial"/>
                <w:sz w:val="18"/>
                <w:szCs w:val="18"/>
                <w:color w:val="auto"/>
              </w:rPr>
              <w:t>$ 299,475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Reserves and accruals</w:t>
            </w:r>
          </w:p>
        </w:tc>
        <w:tc>
          <w:tcPr>
            <w:tcW w:w="1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25,833</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27,830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tcPr>
          <w:p>
            <w:pPr>
              <w:ind w:left="420"/>
              <w:spacing w:after="0"/>
              <w:rPr>
                <w:sz w:val="20"/>
                <w:szCs w:val="20"/>
                <w:color w:val="auto"/>
              </w:rPr>
            </w:pPr>
            <w:r>
              <w:rPr>
                <w:rFonts w:ascii="Arial" w:cs="Arial" w:eastAsia="Arial" w:hAnsi="Arial"/>
                <w:sz w:val="18"/>
                <w:szCs w:val="18"/>
                <w:color w:val="auto"/>
              </w:rPr>
              <w:t>Share-based compensation</w:t>
            </w:r>
          </w:p>
        </w:tc>
        <w:tc>
          <w:tcPr>
            <w:tcW w:w="1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4,067</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3,523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operating losses</w:t>
            </w:r>
          </w:p>
        </w:tc>
        <w:tc>
          <w:tcPr>
            <w:tcW w:w="1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18,470</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20,553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480" w:type="dxa"/>
            <w:vAlign w:val="bottom"/>
            <w:gridSpan w:val="2"/>
          </w:tcPr>
          <w:p>
            <w:pPr>
              <w:spacing w:after="0"/>
              <w:rPr>
                <w:sz w:val="20"/>
                <w:szCs w:val="20"/>
                <w:color w:val="auto"/>
              </w:rPr>
            </w:pPr>
            <w:r>
              <w:rPr>
                <w:rFonts w:ascii="Arial" w:cs="Arial" w:eastAsia="Arial" w:hAnsi="Arial"/>
                <w:sz w:val="18"/>
                <w:szCs w:val="18"/>
                <w:color w:val="auto"/>
              </w:rPr>
              <w:t>Gross deferred tax assets</w:t>
            </w:r>
          </w:p>
        </w:tc>
        <w:tc>
          <w:tcPr>
            <w:tcW w:w="1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5"/>
              </w:rPr>
              <w:t>384,264</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351,381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1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w w:val="88"/>
              </w:rPr>
              <w:t>(335,890)</w:t>
            </w:r>
          </w:p>
        </w:tc>
        <w:tc>
          <w:tcPr>
            <w:tcW w:w="112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(299,449)</w:t>
            </w:r>
          </w:p>
        </w:tc>
        <w:tc>
          <w:tcPr>
            <w:tcW w:w="0" w:type="dxa"/>
            <w:vAlign w:val="bottom"/>
          </w:tcPr>
          <w:p>
            <w:pPr>
              <w:spacing w:after="0"/>
              <w:rPr>
                <w:sz w:val="1"/>
                <w:szCs w:val="1"/>
                <w:color w:val="auto"/>
              </w:rPr>
            </w:pPr>
          </w:p>
        </w:tc>
      </w:tr>
      <w:tr>
        <w:trPr>
          <w:trHeight w:val="221"/>
        </w:trPr>
        <w:tc>
          <w:tcPr>
            <w:tcW w:w="5480" w:type="dxa"/>
            <w:vAlign w:val="bottom"/>
            <w:gridSpan w:val="2"/>
          </w:tcPr>
          <w:p>
            <w:pPr>
              <w:spacing w:after="0"/>
              <w:rPr>
                <w:sz w:val="20"/>
                <w:szCs w:val="20"/>
                <w:color w:val="auto"/>
              </w:rPr>
            </w:pPr>
            <w:r>
              <w:rPr>
                <w:rFonts w:ascii="Arial" w:cs="Arial" w:eastAsia="Arial" w:hAnsi="Arial"/>
                <w:sz w:val="18"/>
                <w:szCs w:val="18"/>
                <w:color w:val="auto"/>
              </w:rPr>
              <w:t>Total deferred tax assets</w:t>
            </w:r>
          </w:p>
        </w:tc>
        <w:tc>
          <w:tcPr>
            <w:tcW w:w="1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48,374</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51,932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46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1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(17,586)</w:t>
            </w:r>
          </w:p>
        </w:tc>
        <w:tc>
          <w:tcPr>
            <w:tcW w:w="2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(17,225)</w:t>
            </w:r>
          </w:p>
        </w:tc>
        <w:tc>
          <w:tcPr>
            <w:tcW w:w="0" w:type="dxa"/>
            <w:vAlign w:val="bottom"/>
          </w:tcPr>
          <w:p>
            <w:pPr>
              <w:spacing w:after="0"/>
              <w:rPr>
                <w:sz w:val="1"/>
                <w:szCs w:val="1"/>
                <w:color w:val="auto"/>
              </w:rPr>
            </w:pPr>
          </w:p>
        </w:tc>
      </w:tr>
      <w:tr>
        <w:trPr>
          <w:trHeight w:val="20"/>
        </w:trPr>
        <w:tc>
          <w:tcPr>
            <w:tcW w:w="5480" w:type="dxa"/>
            <w:vAlign w:val="bottom"/>
            <w:gridSpan w:val="2"/>
            <w:vMerge w:val="restart"/>
          </w:tcPr>
          <w:p>
            <w:pPr>
              <w:spacing w:after="0"/>
              <w:rPr>
                <w:sz w:val="20"/>
                <w:szCs w:val="20"/>
                <w:color w:val="auto"/>
              </w:rPr>
            </w:pPr>
            <w:r>
              <w:rPr>
                <w:rFonts w:ascii="Arial" w:cs="Arial" w:eastAsia="Arial" w:hAnsi="Arial"/>
                <w:sz w:val="18"/>
                <w:szCs w:val="18"/>
                <w:color w:val="auto"/>
              </w:rPr>
              <w:t>Net deferred tax assets</w:t>
            </w:r>
          </w:p>
        </w:tc>
        <w:tc>
          <w:tcPr>
            <w:tcW w:w="1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480" w:type="dxa"/>
            <w:vAlign w:val="bottom"/>
            <w:gridSpan w:val="2"/>
            <w:vMerge w:val="continue"/>
          </w:tcPr>
          <w:p>
            <w:pPr>
              <w:spacing w:after="0"/>
              <w:rPr>
                <w:sz w:val="19"/>
                <w:szCs w:val="19"/>
                <w:color w:val="auto"/>
              </w:rPr>
            </w:pPr>
          </w:p>
        </w:tc>
        <w:tc>
          <w:tcPr>
            <w:tcW w:w="1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40" w:type="dxa"/>
            <w:vAlign w:val="bottom"/>
            <w:gridSpan w:val="2"/>
          </w:tcPr>
          <w:p>
            <w:pPr>
              <w:ind w:left="60"/>
              <w:spacing w:after="0"/>
              <w:rPr>
                <w:sz w:val="20"/>
                <w:szCs w:val="20"/>
                <w:color w:val="auto"/>
              </w:rPr>
            </w:pPr>
            <w:r>
              <w:rPr>
                <w:rFonts w:ascii="Arial" w:cs="Arial" w:eastAsia="Arial" w:hAnsi="Arial"/>
                <w:sz w:val="15"/>
                <w:szCs w:val="15"/>
                <w:color w:val="auto"/>
                <w:w w:val="71"/>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30,788</w:t>
            </w:r>
          </w:p>
        </w:tc>
        <w:tc>
          <w:tcPr>
            <w:tcW w:w="340" w:type="dxa"/>
            <w:vAlign w:val="bottom"/>
          </w:tcPr>
          <w:p>
            <w:pPr>
              <w:spacing w:after="0"/>
              <w:rPr>
                <w:sz w:val="19"/>
                <w:szCs w:val="19"/>
                <w:color w:val="auto"/>
              </w:rPr>
            </w:pPr>
          </w:p>
        </w:tc>
        <w:tc>
          <w:tcPr>
            <w:tcW w:w="42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34,707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non-current portion of the deferred tax assets as of February 1, 2014 and February 2, 2013 was $19.3 million and $26.3 million, respectively, and is included in other non-current assets. During fiscal 2014, deferred tax assets, net of a corresponding valuation allowance decreased $3.9 million from the end of fiscal 2013, mostly due to an increase in the Singapore deferred tax liability since the Singapore government has not yet granted an extension of the tax incentive arrangement in Singapore which expires in June 2014.</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of February 1, 2014, the Company had net operating loss carryforwards available to offset future taxable income of approximately $68.9 million, $1.9 million and $7.3 million for foreign, U.S. federal and state of California purposes, respectively. The federal carryforwards will expire in various fiscal years between 2021 and 2027, and the California carryforwards will expire at various fiscal years between 2016 and 2033, if not utilized before these years. The losses in non-U.S. companies can be carried forward indefinitely. For U.S. federal income tax return purposes, the Company had research tax credit carryforwards of approximately $211.8 million that expire through fiscal 2034. As of February 1, 2014, the Company had unused California research and tax</w:t>
      </w:r>
    </w:p>
    <w:p>
      <w:pPr>
        <w:spacing w:after="0" w:line="10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320"/>
          </w:cols>
          <w:pgMar w:left="240" w:top="459" w:right="3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credit carryforwards of approximately $211.4 million, which can be carryforward indefinitely. Included in the U.S. federal and California carryforward amounts are $53.9 million and $52.3 million, respectively, that are attributable to excess tax benefits from stock options. Upon realization, the benefit associated with these credits will increase additional paid-in capital. The Company also has research and investment tax credit carryforwards of approximately $18.8 million in other U.S. states that expire through fiscal 2029 due to the statute of limitation.</w:t>
      </w:r>
    </w:p>
    <w:p>
      <w:pPr>
        <w:spacing w:after="0" w:line="14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At the end of fiscal 2014, the Company has provided a full valuation allowance against its federal and various state research credits which it earns in excess of its current year tax liabilities, as well as a portion against its net operating loss carryforwards. Based on the available objective positive and negative evidence, the Company has determined that it is more likely than not that these research credits and acquired net operating losses will not be realized. Therefore, the Company has recorded a valuation allowance of $335.9 million, an increase of $36.4 million from fiscal 2013.</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680" w:type="dxa"/>
            <w:vAlign w:val="bottom"/>
            <w:tcBorders>
              <w:bottom w:val="single" w:sz="8" w:color="auto"/>
            </w:tcBorders>
            <w:gridSpan w:val="6"/>
          </w:tcPr>
          <w:p>
            <w:pPr>
              <w:jc w:val="right"/>
              <w:ind w:right="880"/>
              <w:spacing w:after="0"/>
              <w:rPr>
                <w:sz w:val="20"/>
                <w:szCs w:val="20"/>
                <w:color w:val="auto"/>
              </w:rPr>
            </w:pPr>
            <w:r>
              <w:rPr>
                <w:rFonts w:ascii="Arial" w:cs="Arial" w:eastAsia="Arial" w:hAnsi="Arial"/>
                <w:sz w:val="14"/>
                <w:szCs w:val="14"/>
                <w:b w:val="1"/>
                <w:bCs w:val="1"/>
                <w:color w:val="auto"/>
              </w:rPr>
              <w:t>Year Ended</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80" w:type="dxa"/>
            <w:vAlign w:val="bottom"/>
          </w:tcPr>
          <w:p>
            <w:pPr>
              <w:spacing w:after="0"/>
              <w:rPr>
                <w:sz w:val="11"/>
                <w:szCs w:val="11"/>
                <w:color w:val="auto"/>
              </w:rPr>
            </w:pPr>
          </w:p>
        </w:tc>
        <w:tc>
          <w:tcPr>
            <w:tcW w:w="740" w:type="dxa"/>
            <w:vAlign w:val="bottom"/>
            <w:gridSpan w:val="3"/>
          </w:tcPr>
          <w:p>
            <w:pPr>
              <w:jc w:val="center"/>
              <w:ind w:right="60"/>
              <w:spacing w:after="0" w:line="129" w:lineRule="exact"/>
              <w:rPr>
                <w:sz w:val="20"/>
                <w:szCs w:val="20"/>
                <w:color w:val="auto"/>
              </w:rPr>
            </w:pPr>
            <w:r>
              <w:rPr>
                <w:rFonts w:ascii="Arial" w:cs="Arial" w:eastAsia="Arial" w:hAnsi="Arial"/>
                <w:sz w:val="14"/>
                <w:szCs w:val="14"/>
                <w:b w:val="1"/>
                <w:bCs w:val="1"/>
                <w:color w:val="auto"/>
                <w:w w:val="90"/>
              </w:rPr>
              <w:t>February 1,</w:t>
            </w: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540" w:type="dxa"/>
            <w:vAlign w:val="bottom"/>
            <w:gridSpan w:val="5"/>
          </w:tcPr>
          <w:p>
            <w:pPr>
              <w:jc w:val="right"/>
              <w:ind w:right="840"/>
              <w:spacing w:after="0" w:line="129" w:lineRule="exact"/>
              <w:rPr>
                <w:sz w:val="20"/>
                <w:szCs w:val="20"/>
                <w:color w:val="auto"/>
              </w:rPr>
            </w:pPr>
            <w:r>
              <w:rPr>
                <w:rFonts w:ascii="Arial" w:cs="Arial" w:eastAsia="Arial" w:hAnsi="Arial"/>
                <w:sz w:val="14"/>
                <w:szCs w:val="14"/>
                <w:b w:val="1"/>
                <w:bCs w:val="1"/>
                <w:color w:val="auto"/>
                <w:w w:val="90"/>
              </w:rPr>
              <w:t>February 2,</w:t>
            </w:r>
          </w:p>
        </w:tc>
        <w:tc>
          <w:tcPr>
            <w:tcW w:w="70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w w:val="88"/>
              </w:rPr>
              <w:t>January 28,</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80" w:type="dxa"/>
            <w:vAlign w:val="bottom"/>
            <w:tcBorders>
              <w:bottom w:val="single" w:sz="8" w:color="CCEEFF"/>
            </w:tcBorders>
          </w:tcPr>
          <w:p>
            <w:pPr>
              <w:spacing w:after="0"/>
              <w:rPr>
                <w:sz w:val="14"/>
                <w:szCs w:val="14"/>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2014</w:t>
            </w:r>
          </w:p>
        </w:tc>
        <w:tc>
          <w:tcPr>
            <w:tcW w:w="140" w:type="dxa"/>
            <w:vAlign w:val="bottom"/>
            <w:tcBorders>
              <w:bottom w:val="single" w:sz="8" w:color="auto"/>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3"/>
              </w:rPr>
              <w:t>2013</w:t>
            </w:r>
          </w:p>
        </w:tc>
        <w:tc>
          <w:tcPr>
            <w:tcW w:w="30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83"/>
              </w:rPr>
              <w:t>2012</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Provision at U.S. notional statutory rate</w:t>
            </w:r>
          </w:p>
        </w:tc>
        <w:tc>
          <w:tcPr>
            <w:tcW w:w="1240" w:type="dxa"/>
            <w:vAlign w:val="bottom"/>
            <w:gridSpan w:val="4"/>
            <w:shd w:val="clear" w:color="auto" w:fill="CCEEFF"/>
          </w:tcPr>
          <w:p>
            <w:pPr>
              <w:jc w:val="right"/>
              <w:ind w:right="315"/>
              <w:spacing w:after="0"/>
              <w:rPr>
                <w:sz w:val="20"/>
                <w:szCs w:val="20"/>
                <w:color w:val="auto"/>
              </w:rPr>
            </w:pPr>
            <w:r>
              <w:rPr>
                <w:rFonts w:ascii="Arial" w:cs="Arial" w:eastAsia="Arial" w:hAnsi="Arial"/>
                <w:sz w:val="18"/>
                <w:szCs w:val="18"/>
                <w:color w:val="auto"/>
              </w:rPr>
              <w:t>35.0%</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4"/>
            <w:shd w:val="clear" w:color="auto" w:fill="CCEEFF"/>
          </w:tcPr>
          <w:p>
            <w:pPr>
              <w:jc w:val="right"/>
              <w:ind w:right="72"/>
              <w:spacing w:after="0"/>
              <w:rPr>
                <w:sz w:val="20"/>
                <w:szCs w:val="20"/>
                <w:color w:val="auto"/>
              </w:rPr>
            </w:pPr>
            <w:r>
              <w:rPr>
                <w:rFonts w:ascii="Arial" w:cs="Arial" w:eastAsia="Arial" w:hAnsi="Arial"/>
                <w:sz w:val="18"/>
                <w:szCs w:val="18"/>
                <w:color w:val="auto"/>
              </w:rPr>
              <w:t>35.0%</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Non-deductible share-based compensation</w:t>
            </w:r>
          </w:p>
        </w:tc>
        <w:tc>
          <w:tcPr>
            <w:tcW w:w="740" w:type="dxa"/>
            <w:vAlign w:val="bottom"/>
            <w:gridSpan w:val="3"/>
          </w:tcPr>
          <w:p>
            <w:pPr>
              <w:jc w:val="right"/>
              <w:ind w:right="60"/>
              <w:spacing w:after="0"/>
              <w:rPr>
                <w:sz w:val="20"/>
                <w:szCs w:val="20"/>
                <w:color w:val="auto"/>
              </w:rPr>
            </w:pPr>
            <w:r>
              <w:rPr>
                <w:rFonts w:ascii="Arial" w:cs="Arial" w:eastAsia="Arial" w:hAnsi="Arial"/>
                <w:sz w:val="18"/>
                <w:szCs w:val="18"/>
                <w:color w:val="auto"/>
              </w:rPr>
              <w:t>19.4</w:t>
            </w: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gridSpan w:val="5"/>
          </w:tcPr>
          <w:p>
            <w:pPr>
              <w:jc w:val="right"/>
              <w:ind w:right="212"/>
              <w:spacing w:after="0"/>
              <w:rPr>
                <w:sz w:val="20"/>
                <w:szCs w:val="20"/>
                <w:color w:val="auto"/>
              </w:rPr>
            </w:pPr>
            <w:r>
              <w:rPr>
                <w:rFonts w:ascii="Arial" w:cs="Arial" w:eastAsia="Arial" w:hAnsi="Arial"/>
                <w:sz w:val="18"/>
                <w:szCs w:val="18"/>
                <w:color w:val="auto"/>
              </w:rPr>
              <w:t>15.4</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Difference in U.S. and non-U.S. tax rates</w:t>
            </w:r>
          </w:p>
        </w:tc>
        <w:tc>
          <w:tcPr>
            <w:tcW w:w="7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(55.8)</w:t>
            </w: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gridSpan w:val="5"/>
            <w:shd w:val="clear" w:color="auto" w:fill="CCEEFF"/>
          </w:tcPr>
          <w:p>
            <w:pPr>
              <w:jc w:val="right"/>
              <w:ind w:right="152"/>
              <w:spacing w:after="0"/>
              <w:rPr>
                <w:sz w:val="20"/>
                <w:szCs w:val="20"/>
                <w:color w:val="auto"/>
              </w:rPr>
            </w:pPr>
            <w:r>
              <w:rPr>
                <w:rFonts w:ascii="Arial" w:cs="Arial" w:eastAsia="Arial" w:hAnsi="Arial"/>
                <w:sz w:val="18"/>
                <w:szCs w:val="18"/>
                <w:color w:val="auto"/>
              </w:rPr>
              <w:t>(48.8)</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Benefits from utilization of general business credits</w:t>
            </w: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(14.1)</w:t>
            </w: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gridSpan w:val="5"/>
          </w:tcPr>
          <w:p>
            <w:pPr>
              <w:jc w:val="right"/>
              <w:ind w:right="152"/>
              <w:spacing w:after="0"/>
              <w:rPr>
                <w:sz w:val="20"/>
                <w:szCs w:val="20"/>
                <w:color w:val="auto"/>
              </w:rPr>
            </w:pPr>
            <w:r>
              <w:rPr>
                <w:rFonts w:ascii="Arial" w:cs="Arial" w:eastAsia="Arial" w:hAnsi="Arial"/>
                <w:sz w:val="18"/>
                <w:szCs w:val="18"/>
                <w:color w:val="auto"/>
              </w:rPr>
              <w:t>(13.8)</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Change in valuation allowance</w:t>
            </w:r>
          </w:p>
        </w:tc>
        <w:tc>
          <w:tcPr>
            <w:tcW w:w="7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11.9</w:t>
            </w: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gridSpan w:val="5"/>
            <w:shd w:val="clear" w:color="auto" w:fill="CCEEFF"/>
          </w:tcPr>
          <w:p>
            <w:pPr>
              <w:jc w:val="right"/>
              <w:ind w:right="212"/>
              <w:spacing w:after="0"/>
              <w:rPr>
                <w:sz w:val="20"/>
                <w:szCs w:val="20"/>
                <w:color w:val="auto"/>
              </w:rPr>
            </w:pPr>
            <w:r>
              <w:rPr>
                <w:rFonts w:ascii="Arial" w:cs="Arial" w:eastAsia="Arial" w:hAnsi="Arial"/>
                <w:sz w:val="18"/>
                <w:szCs w:val="18"/>
                <w:color w:val="auto"/>
              </w:rPr>
              <w:t>12.9</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Other</w:t>
            </w:r>
          </w:p>
        </w:tc>
        <w:tc>
          <w:tcPr>
            <w:tcW w:w="740" w:type="dxa"/>
            <w:vAlign w:val="bottom"/>
            <w:gridSpan w:val="3"/>
          </w:tcPr>
          <w:p>
            <w:pPr>
              <w:jc w:val="right"/>
              <w:ind w:right="60"/>
              <w:spacing w:after="0"/>
              <w:rPr>
                <w:sz w:val="20"/>
                <w:szCs w:val="20"/>
                <w:color w:val="auto"/>
              </w:rPr>
            </w:pPr>
            <w:r>
              <w:rPr>
                <w:rFonts w:ascii="Arial" w:cs="Arial" w:eastAsia="Arial" w:hAnsi="Arial"/>
                <w:sz w:val="18"/>
                <w:szCs w:val="18"/>
                <w:color w:val="auto"/>
              </w:rPr>
              <w:t>0.6</w:t>
            </w: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ind w:right="212"/>
              <w:spacing w:after="0"/>
              <w:rPr>
                <w:sz w:val="20"/>
                <w:szCs w:val="20"/>
                <w:color w:val="auto"/>
              </w:rPr>
            </w:pPr>
            <w:r>
              <w:rPr>
                <w:rFonts w:ascii="Arial" w:cs="Arial" w:eastAsia="Arial" w:hAnsi="Arial"/>
                <w:sz w:val="18"/>
                <w:szCs w:val="18"/>
                <w:color w:val="auto"/>
              </w:rPr>
              <w:t>0.5</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38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5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Effective tax rate</w:t>
            </w:r>
          </w:p>
        </w:tc>
        <w:tc>
          <w:tcPr>
            <w:tcW w:w="1240" w:type="dxa"/>
            <w:vAlign w:val="bottom"/>
            <w:gridSpan w:val="4"/>
            <w:shd w:val="clear" w:color="auto" w:fill="CCEEFF"/>
          </w:tcPr>
          <w:p>
            <w:pPr>
              <w:jc w:val="right"/>
              <w:ind w:right="275"/>
              <w:spacing w:after="0"/>
              <w:rPr>
                <w:sz w:val="20"/>
                <w:szCs w:val="20"/>
                <w:color w:val="auto"/>
              </w:rPr>
            </w:pPr>
            <w:r>
              <w:rPr>
                <w:rFonts w:ascii="Arial" w:cs="Arial" w:eastAsia="Arial" w:hAnsi="Arial"/>
                <w:sz w:val="18"/>
                <w:szCs w:val="18"/>
                <w:color w:val="auto"/>
              </w:rPr>
              <w:t>(3.0)%</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72"/>
              <w:spacing w:after="0"/>
              <w:rPr>
                <w:sz w:val="20"/>
                <w:szCs w:val="20"/>
                <w:color w:val="auto"/>
              </w:rPr>
            </w:pPr>
            <w:r>
              <w:rPr>
                <w:rFonts w:ascii="Arial" w:cs="Arial" w:eastAsia="Arial" w:hAnsi="Arial"/>
                <w:sz w:val="18"/>
                <w:szCs w:val="18"/>
                <w:color w:val="auto"/>
                <w:w w:val="97"/>
              </w:rPr>
              <w:t>1.2%</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vMerge w:val="restart"/>
          </w:tcPr>
          <w:p>
            <w:pPr>
              <w:ind w:left="440"/>
              <w:spacing w:after="0"/>
              <w:rPr>
                <w:sz w:val="20"/>
                <w:szCs w:val="20"/>
                <w:color w:val="auto"/>
              </w:rPr>
            </w:pPr>
            <w:r>
              <w:rPr>
                <w:rFonts w:ascii="Arial" w:cs="Arial" w:eastAsia="Arial" w:hAnsi="Arial"/>
                <w:sz w:val="18"/>
                <w:szCs w:val="18"/>
                <w:color w:val="auto"/>
              </w:rPr>
              <w:t>The following table reflects changes in the unrecognized tax benefits (in thousands):</w:t>
            </w:r>
          </w:p>
        </w:tc>
        <w:tc>
          <w:tcPr>
            <w:tcW w:w="5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7380" w:type="dxa"/>
            <w:vAlign w:val="bottom"/>
            <w:vMerge w:val="continue"/>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3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gridSpan w:val="4"/>
          </w:tcPr>
          <w:p>
            <w:pPr>
              <w:jc w:val="center"/>
              <w:ind w:right="520"/>
              <w:spacing w:after="0"/>
              <w:rPr>
                <w:sz w:val="20"/>
                <w:szCs w:val="20"/>
                <w:color w:val="auto"/>
              </w:rPr>
            </w:pPr>
            <w:r>
              <w:rPr>
                <w:rFonts w:ascii="Arial" w:cs="Arial" w:eastAsia="Arial" w:hAnsi="Arial"/>
                <w:sz w:val="14"/>
                <w:szCs w:val="14"/>
                <w:b w:val="1"/>
                <w:bCs w:val="1"/>
                <w:color w:val="auto"/>
                <w:w w:val="88"/>
              </w:rPr>
              <w:t>Year Ended</w:t>
            </w: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900" w:type="dxa"/>
            <w:vAlign w:val="bottom"/>
            <w:gridSpan w:val="4"/>
          </w:tcPr>
          <w:p>
            <w:pPr>
              <w:ind w:left="20"/>
              <w:spacing w:after="0" w:line="129" w:lineRule="exact"/>
              <w:rPr>
                <w:sz w:val="20"/>
                <w:szCs w:val="20"/>
                <w:color w:val="auto"/>
              </w:rPr>
            </w:pPr>
            <w:r>
              <w:rPr>
                <w:rFonts w:ascii="Arial" w:cs="Arial" w:eastAsia="Arial" w:hAnsi="Arial"/>
                <w:sz w:val="14"/>
                <w:szCs w:val="14"/>
                <w:b w:val="1"/>
                <w:bCs w:val="1"/>
                <w:color w:val="auto"/>
              </w:rPr>
              <w:t>February 1,</w:t>
            </w:r>
          </w:p>
        </w:tc>
        <w:tc>
          <w:tcPr>
            <w:tcW w:w="1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4"/>
          </w:tcPr>
          <w:p>
            <w:pPr>
              <w:jc w:val="center"/>
              <w:ind w:right="540"/>
              <w:spacing w:after="0" w:line="129" w:lineRule="exact"/>
              <w:rPr>
                <w:sz w:val="20"/>
                <w:szCs w:val="20"/>
                <w:color w:val="auto"/>
              </w:rPr>
            </w:pPr>
            <w:r>
              <w:rPr>
                <w:rFonts w:ascii="Arial" w:cs="Arial" w:eastAsia="Arial" w:hAnsi="Arial"/>
                <w:sz w:val="14"/>
                <w:szCs w:val="14"/>
                <w:b w:val="1"/>
                <w:bCs w:val="1"/>
                <w:color w:val="auto"/>
                <w:w w:val="92"/>
              </w:rPr>
              <w:t>February 2,</w:t>
            </w:r>
          </w:p>
        </w:tc>
        <w:tc>
          <w:tcPr>
            <w:tcW w:w="100" w:type="dxa"/>
            <w:vAlign w:val="bottom"/>
          </w:tcPr>
          <w:p>
            <w:pPr>
              <w:spacing w:after="0"/>
              <w:rPr>
                <w:sz w:val="11"/>
                <w:szCs w:val="11"/>
                <w:color w:val="auto"/>
              </w:rPr>
            </w:pPr>
          </w:p>
        </w:tc>
        <w:tc>
          <w:tcPr>
            <w:tcW w:w="7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88"/>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8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83"/>
              </w:rPr>
              <w:t>2014</w:t>
            </w:r>
          </w:p>
        </w:tc>
        <w:tc>
          <w:tcPr>
            <w:tcW w:w="20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2"/>
          </w:tcPr>
          <w:p>
            <w:pPr>
              <w:jc w:val="center"/>
              <w:ind w:right="32"/>
              <w:spacing w:after="0"/>
              <w:rPr>
                <w:sz w:val="20"/>
                <w:szCs w:val="20"/>
                <w:color w:val="auto"/>
              </w:rPr>
            </w:pPr>
            <w:r>
              <w:rPr>
                <w:rFonts w:ascii="Arial" w:cs="Arial" w:eastAsia="Arial" w:hAnsi="Arial"/>
                <w:sz w:val="14"/>
                <w:szCs w:val="14"/>
                <w:b w:val="1"/>
                <w:bCs w:val="1"/>
                <w:color w:val="auto"/>
                <w:w w:val="83"/>
              </w:rPr>
              <w:t>2013</w:t>
            </w:r>
          </w:p>
        </w:tc>
        <w:tc>
          <w:tcPr>
            <w:tcW w:w="5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Unrecognized tax benefits at beginning of the year</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79,031</w:t>
            </w:r>
          </w:p>
        </w:tc>
        <w:tc>
          <w:tcPr>
            <w:tcW w:w="200" w:type="dxa"/>
            <w:vAlign w:val="bottom"/>
            <w:shd w:val="clear" w:color="auto" w:fill="CCEEFF"/>
          </w:tcPr>
          <w:p>
            <w:pPr>
              <w:spacing w:after="0"/>
              <w:rPr>
                <w:sz w:val="18"/>
                <w:szCs w:val="18"/>
                <w:color w:val="auto"/>
              </w:rPr>
            </w:pPr>
          </w:p>
        </w:tc>
        <w:tc>
          <w:tcPr>
            <w:tcW w:w="440" w:type="dxa"/>
            <w:vAlign w:val="bottom"/>
            <w:gridSpan w:val="2"/>
            <w:shd w:val="clear" w:color="auto" w:fill="CCEEFF"/>
          </w:tcPr>
          <w:p>
            <w:pPr>
              <w:spacing w:after="0"/>
              <w:rPr>
                <w:sz w:val="18"/>
                <w:szCs w:val="18"/>
                <w:color w:val="auto"/>
              </w:rPr>
            </w:pPr>
          </w:p>
        </w:tc>
        <w:tc>
          <w:tcPr>
            <w:tcW w:w="1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96,294</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102,612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Increases related to prior year tax positions</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499</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1,106</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ind w:right="100"/>
              <w:spacing w:after="0"/>
              <w:rPr>
                <w:sz w:val="20"/>
                <w:szCs w:val="20"/>
                <w:color w:val="auto"/>
              </w:rPr>
            </w:pPr>
            <w:r>
              <w:rPr>
                <w:rFonts w:ascii="Arial" w:cs="Arial" w:eastAsia="Arial" w:hAnsi="Arial"/>
                <w:sz w:val="18"/>
                <w:szCs w:val="18"/>
                <w:color w:val="auto"/>
              </w:rPr>
              <w:t>987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Decreases related to prior year tax positions</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(111)</w:t>
            </w: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99"/>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Increases related to current year tax positions</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2,666</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1,139</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ind w:right="100"/>
              <w:spacing w:after="0"/>
              <w:rPr>
                <w:sz w:val="20"/>
                <w:szCs w:val="20"/>
                <w:color w:val="auto"/>
              </w:rPr>
            </w:pPr>
            <w:r>
              <w:rPr>
                <w:rFonts w:ascii="Arial" w:cs="Arial" w:eastAsia="Arial" w:hAnsi="Arial"/>
                <w:sz w:val="18"/>
                <w:szCs w:val="18"/>
                <w:color w:val="auto"/>
              </w:rPr>
              <w:t>1,229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Settlements</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4"/>
              </w:rPr>
              <w:t>(7,423)</w:t>
            </w: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(3,956)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Lapse in the statute of limitations</w:t>
            </w:r>
          </w:p>
        </w:tc>
        <w:tc>
          <w:tcPr>
            <w:tcW w:w="1440" w:type="dxa"/>
            <w:vAlign w:val="bottom"/>
            <w:gridSpan w:val="5"/>
          </w:tcPr>
          <w:p>
            <w:pPr>
              <w:jc w:val="right"/>
              <w:ind w:right="140"/>
              <w:spacing w:after="0"/>
              <w:rPr>
                <w:sz w:val="20"/>
                <w:szCs w:val="20"/>
                <w:color w:val="auto"/>
              </w:rPr>
            </w:pPr>
            <w:r>
              <w:rPr>
                <w:rFonts w:ascii="Arial" w:cs="Arial" w:eastAsia="Arial" w:hAnsi="Arial"/>
                <w:sz w:val="18"/>
                <w:szCs w:val="18"/>
                <w:color w:val="auto"/>
              </w:rPr>
              <w:t>(13,969)</w:t>
            </w: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gridSpan w:val="3"/>
          </w:tcPr>
          <w:p>
            <w:pPr>
              <w:jc w:val="right"/>
              <w:ind w:right="480"/>
              <w:spacing w:after="0"/>
              <w:rPr>
                <w:sz w:val="20"/>
                <w:szCs w:val="20"/>
                <w:color w:val="auto"/>
              </w:rPr>
            </w:pPr>
            <w:r>
              <w:rPr>
                <w:rFonts w:ascii="Arial" w:cs="Arial" w:eastAsia="Arial" w:hAnsi="Arial"/>
                <w:sz w:val="18"/>
                <w:szCs w:val="18"/>
                <w:color w:val="auto"/>
                <w:w w:val="92"/>
              </w:rPr>
              <w:t>(15,543)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3"/>
          </w:tcPr>
          <w:p>
            <w:pPr>
              <w:jc w:val="right"/>
              <w:ind w:right="40"/>
              <w:spacing w:after="0"/>
              <w:rPr>
                <w:sz w:val="20"/>
                <w:szCs w:val="20"/>
                <w:color w:val="auto"/>
              </w:rPr>
            </w:pPr>
            <w:r>
              <w:rPr>
                <w:rFonts w:ascii="Arial" w:cs="Arial" w:eastAsia="Arial" w:hAnsi="Arial"/>
                <w:sz w:val="18"/>
                <w:szCs w:val="18"/>
                <w:color w:val="auto"/>
              </w:rPr>
              <w:t>(9,529)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Foreign exchange (gain) loss</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4"/>
              </w:rPr>
              <w:t>(9,011)</w:t>
            </w: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480"/>
              <w:spacing w:after="0"/>
              <w:rPr>
                <w:sz w:val="20"/>
                <w:szCs w:val="20"/>
                <w:color w:val="auto"/>
              </w:rPr>
            </w:pPr>
            <w:r>
              <w:rPr>
                <w:rFonts w:ascii="Arial" w:cs="Arial" w:eastAsia="Arial" w:hAnsi="Arial"/>
                <w:sz w:val="18"/>
                <w:szCs w:val="18"/>
                <w:color w:val="auto"/>
              </w:rPr>
              <w:t>(9)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1,545</w:t>
            </w:r>
          </w:p>
        </w:tc>
        <w:tc>
          <w:tcPr>
            <w:tcW w:w="0" w:type="dxa"/>
            <w:vAlign w:val="bottom"/>
          </w:tcPr>
          <w:p>
            <w:pPr>
              <w:spacing w:after="0"/>
              <w:rPr>
                <w:sz w:val="1"/>
                <w:szCs w:val="1"/>
                <w:color w:val="auto"/>
              </w:rPr>
            </w:pPr>
          </w:p>
        </w:tc>
      </w:tr>
      <w:tr>
        <w:trPr>
          <w:trHeight w:val="222"/>
        </w:trPr>
        <w:tc>
          <w:tcPr>
            <w:tcW w:w="7400" w:type="dxa"/>
            <w:vAlign w:val="bottom"/>
            <w:gridSpan w:val="2"/>
          </w:tcPr>
          <w:p>
            <w:pPr>
              <w:spacing w:after="0"/>
              <w:rPr>
                <w:sz w:val="20"/>
                <w:szCs w:val="20"/>
                <w:color w:val="auto"/>
              </w:rPr>
            </w:pPr>
            <w:r>
              <w:rPr>
                <w:rFonts w:ascii="Arial" w:cs="Arial" w:eastAsia="Arial" w:hAnsi="Arial"/>
                <w:sz w:val="18"/>
                <w:szCs w:val="18"/>
                <w:color w:val="auto"/>
              </w:rPr>
              <w:t>Gross amounts of unrecognized tax benefits at end of the year</w:t>
            </w:r>
          </w:p>
        </w:tc>
        <w:tc>
          <w:tcPr>
            <w:tcW w:w="54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0" w:type="dxa"/>
            <w:vAlign w:val="bottom"/>
            <w:tcBorders>
              <w:top w:val="single" w:sz="8" w:color="auto"/>
              <w:bottom w:val="single" w:sz="8" w:color="auto"/>
            </w:tcBorders>
          </w:tcPr>
          <w:p>
            <w:pPr>
              <w:spacing w:after="0"/>
              <w:rPr>
                <w:sz w:val="19"/>
                <w:szCs w:val="19"/>
                <w:color w:val="auto"/>
              </w:rPr>
            </w:pP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51,682</w:t>
            </w:r>
          </w:p>
        </w:tc>
        <w:tc>
          <w:tcPr>
            <w:tcW w:w="200" w:type="dxa"/>
            <w:vAlign w:val="bottom"/>
          </w:tcPr>
          <w:p>
            <w:pPr>
              <w:spacing w:after="0"/>
              <w:rPr>
                <w:sz w:val="19"/>
                <w:szCs w:val="19"/>
                <w:color w:val="auto"/>
              </w:rPr>
            </w:pPr>
          </w:p>
        </w:tc>
        <w:tc>
          <w:tcPr>
            <w:tcW w:w="440" w:type="dxa"/>
            <w:vAlign w:val="bottom"/>
            <w:gridSpan w:val="2"/>
          </w:tcPr>
          <w:p>
            <w:pPr>
              <w:spacing w:after="0"/>
              <w:rPr>
                <w:sz w:val="19"/>
                <w:szCs w:val="19"/>
                <w:color w:val="auto"/>
              </w:rPr>
            </w:pPr>
          </w:p>
        </w:tc>
        <w:tc>
          <w:tcPr>
            <w:tcW w:w="120" w:type="dxa"/>
            <w:vAlign w:val="bottom"/>
            <w:tcBorders>
              <w:top w:val="single" w:sz="8" w:color="auto"/>
              <w:bottom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79,031</w:t>
            </w:r>
          </w:p>
        </w:tc>
        <w:tc>
          <w:tcPr>
            <w:tcW w:w="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96,294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balances as of February 1, 2014 is $43.2 million of unrecognized tax benefit that would affect the effective income tax rate if recognized.</w:t>
      </w:r>
    </w:p>
    <w:p>
      <w:pPr>
        <w:spacing w:after="0" w:line="194"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The amounts in the table above do not include the related interest and penalties. The amount of interest and penalties accrued as of February 1, 2014 was approximately $29.6 million, as of February 2, 2013 was approximately $33.8 million and as of January 28, 2012 was approximately $35.3 million. The consolidated statements of operations for fiscal 2014, 2013 and 2012 included $6.2 million, $5.8 million and $5.9 million, respectively, of interest and penalties related to the unrecognized tax benefits.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420"/>
          </w:cols>
          <w:pgMar w:left="240" w:top="459" w:right="2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February 1, 2014, the material jurisdictions that are subject to examination include China, Israel, Singapore, Switzerland and the United States for the Company’s fiscal years 2004 through 2014. As of February 1, 2014, one of the Company’s non-U.S. entities is under examination for fiscal years encompassing 2007 through 2010.</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During fiscal 2014, the Company will continue to review its tax positions and provide for or reverse unrecognized tax benefits as issues arise. During the next 12 months,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$20 million from the lapse of the statutes of limitation in various jurisdictions during the next 12 months.</w:t>
      </w:r>
    </w:p>
    <w:p>
      <w:pPr>
        <w:spacing w:after="0" w:line="113"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The Singapore Economic Development Board (“EDB”) initially granted a 10-year Pioneer Status in July 1999 to the Company’s subsidiary in Singapore if the Company met several requirements as to investments, headcount and activities. In October 2004, the Company’s subsidiary in Singapore was granted a second incentive known as the Development and Expansion Incentive (“DEI”), which was retroactively effective to July 2004 and is renewable every 5 years. The DEI was to benefit the non-Pioneer income. In June 2006, the EDB agreed to extend the Pioneer status for 15 years to June 2014. In 2009, the EDB renewed the DEI to June 2014. In fiscal 2014, 2013 and 2012 tax savings associated with these tax holidays were approximately $3.7 million, $13.6 million and $3.1 million, respectively, which if paid would impact the Company’s earnings per share by $0.01 per share in fiscal 2014, $0.02 per share in fiscal 2013 and $0.01 per share in fiscal 2012. The maximum period for the Pioneer Incentive is 15 years; therefore, the Company’s subsidiary is no longer eligible to apply for this incentive. The Company is currently in discussion with the EDB to extend the DEI through June 2019. DEI can be enjoyed up to 40 years. Renewals and extensions of such tax incentives are at the discretion of the Singapore government. An extension of this tax incentive arrangement has not yet been granted by the Singapore government beyond its expiration in June 2014. Absent the tax incentives, the corporate income tax rate in Singapore would otherwise be 17%.</w:t>
      </w:r>
    </w:p>
    <w:p>
      <w:pPr>
        <w:spacing w:after="0" w:line="123" w:lineRule="exact"/>
        <w:rPr>
          <w:sz w:val="20"/>
          <w:szCs w:val="20"/>
          <w:color w:val="auto"/>
        </w:rPr>
      </w:pPr>
    </w:p>
    <w:p>
      <w:pPr>
        <w:ind w:right="40" w:firstLine="456"/>
        <w:spacing w:after="0" w:line="302" w:lineRule="auto"/>
        <w:rPr>
          <w:sz w:val="20"/>
          <w:szCs w:val="20"/>
          <w:color w:val="auto"/>
        </w:rPr>
      </w:pPr>
      <w:r>
        <w:rPr>
          <w:rFonts w:ascii="Arial" w:cs="Arial" w:eastAsia="Arial" w:hAnsi="Arial"/>
          <w:sz w:val="15"/>
          <w:szCs w:val="15"/>
          <w:color w:val="auto"/>
        </w:rPr>
        <w:t>Under the Israeli Encouragement law of “approved or benefited enterprise,” two branches of Marvell Israel (M.I.S.L) Ltd. (“MISL”), the GTL branch and the cellular branch (formerly Marvell DSPC), are entitled to approved and benefited tax programs that include reduced tax rates and exemption of certain income. The first program was approved for MISL in fiscal 1996 and the most recent was started in fiscal 2013. The cellular branch has five approved programs and three benefited programs with the first approved in fiscal 1991 and the most recent benefited enterprise started in fiscal 2011. The benefit period is generally 10 to</w:t>
      </w:r>
    </w:p>
    <w:p>
      <w:pPr>
        <w:spacing w:after="0" w:line="3" w:lineRule="exact"/>
        <w:rPr>
          <w:sz w:val="20"/>
          <w:szCs w:val="20"/>
          <w:color w:val="auto"/>
        </w:rPr>
      </w:pPr>
    </w:p>
    <w:p>
      <w:pPr>
        <w:spacing w:after="0" w:line="252" w:lineRule="auto"/>
        <w:rPr>
          <w:sz w:val="20"/>
          <w:szCs w:val="20"/>
          <w:color w:val="auto"/>
        </w:rPr>
      </w:pPr>
      <w:r>
        <w:rPr>
          <w:rFonts w:ascii="Arial" w:cs="Arial" w:eastAsia="Arial" w:hAnsi="Arial"/>
          <w:sz w:val="18"/>
          <w:szCs w:val="18"/>
          <w:color w:val="auto"/>
        </w:rPr>
        <w:t>15 years and begins in the first year in which the Company’s Israeli divisions earn taxable income from the approved or benefited enterprises, provided the maximum period has not elapsed. Income from the approved or benefited enterprises is subject to reduced tax rates ranging between 0% and 10% or tax exemptions for fiscal years 2008 through fiscal 2027. A new amendment to the Encouragement law, which was approved by the Israeli government in December 2011, came into effect January 1, 2012. For fiscal 2014, 2013 and 2012, the benefit associated with these approved or benefited enterprise programs was $2.2 million and $13.8 million and $13.6 million, respectively, which provided earnings per share of $0.01 per share in fiscal 2014 and $0.02 per share in each of fiscal 2013 and 2012.</w:t>
      </w:r>
    </w:p>
    <w:p>
      <w:pPr>
        <w:spacing w:after="0" w:line="148"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During fiscal 2007, each of the Swiss Federal Department of Economy and the Vaud Cantonal Tax Administration granted the Company’s subsidiary in Switzerland a 10 year tax holiday on revenues from research and design wafer supply trading activities commencing with its fiscal 2007. The fiscal 2014, 2013 and 2012 tax</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88</w:t>
      </w:r>
    </w:p>
    <w:p>
      <w:pPr>
        <w:sectPr>
          <w:pgSz w:w="11900" w:h="16838" w:orient="portrait"/>
          <w:cols w:equalWidth="0" w:num="1">
            <w:col w:w="11420"/>
          </w:cols>
          <w:pgMar w:left="240" w:top="459" w:right="23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savings associated with this tax holiday is approximately $5.1 million, $4.6 million and $4.7 million, respectively, which provided earnings per share of $0.01 per share in 2014 and less than $0.01 per share in each of fiscal 2013 and 2012.</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Company’s products carry a standard 90 day warranty with certain exceptions in which the warranty period can extend to more than one year based on contractual agreements. The Company’s warranty expense has not been significant in the periods presented.</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90" w:lineRule="exact"/>
        <w:rPr>
          <w:sz w:val="20"/>
          <w:szCs w:val="20"/>
          <w:color w:val="auto"/>
        </w:rPr>
      </w:pPr>
    </w:p>
    <w:p>
      <w:pPr>
        <w:jc w:val="both"/>
        <w:ind w:right="280" w:firstLine="456"/>
        <w:spacing w:after="0" w:line="298" w:lineRule="auto"/>
        <w:rPr>
          <w:sz w:val="20"/>
          <w:szCs w:val="20"/>
          <w:color w:val="auto"/>
        </w:rPr>
      </w:pPr>
      <w:r>
        <w:rPr>
          <w:rFonts w:ascii="Arial" w:cs="Arial" w:eastAsia="Arial" w:hAnsi="Arial"/>
          <w:sz w:val="16"/>
          <w:szCs w:val="16"/>
          <w:color w:val="auto"/>
        </w:rPr>
        <w:t>The Company leases some of its facilities, equipment and computer aided design software under non-cancelable operating leases. Rent expense, net of sublease income for fiscal 2014, 2013 and 2012 was approximately $25.8 million, $23.7 million and $20.5 million, respectively. The Company also purchases certain intellectual property under technology license obligations. Future minimum lease payments, net of estimated sublease, and payments under technology license obligations as of February 1, 2014, are presented in the following tables (in thousands):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9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4"/>
              </w:rPr>
              <w:t>Minimum</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6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Fiscal Year:</w:t>
            </w:r>
          </w:p>
        </w:tc>
        <w:tc>
          <w:tcPr>
            <w:tcW w:w="2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0"/>
              </w:rPr>
              <w:t>Lease</w:t>
            </w:r>
          </w:p>
        </w:tc>
        <w:tc>
          <w:tcPr>
            <w:tcW w:w="220" w:type="dxa"/>
            <w:vAlign w:val="bottom"/>
          </w:tcPr>
          <w:p>
            <w:pPr>
              <w:spacing w:after="0"/>
              <w:rPr>
                <w:sz w:val="12"/>
                <w:szCs w:val="12"/>
                <w:color w:val="auto"/>
              </w:rPr>
            </w:pPr>
          </w:p>
        </w:tc>
        <w:tc>
          <w:tcPr>
            <w:tcW w:w="740" w:type="dxa"/>
            <w:vAlign w:val="bottom"/>
            <w:gridSpan w:val="3"/>
          </w:tcPr>
          <w:p>
            <w:pPr>
              <w:jc w:val="right"/>
              <w:ind w:right="240"/>
              <w:spacing w:after="0" w:line="149" w:lineRule="exact"/>
              <w:rPr>
                <w:sz w:val="20"/>
                <w:szCs w:val="20"/>
                <w:color w:val="auto"/>
              </w:rPr>
            </w:pPr>
            <w:r>
              <w:rPr>
                <w:rFonts w:ascii="Arial" w:cs="Arial" w:eastAsia="Arial" w:hAnsi="Arial"/>
                <w:sz w:val="14"/>
                <w:szCs w:val="14"/>
                <w:b w:val="1"/>
                <w:bCs w:val="1"/>
                <w:color w:val="auto"/>
                <w:w w:val="78"/>
              </w:rPr>
              <w:t>Sublease</w:t>
            </w:r>
          </w:p>
        </w:tc>
        <w:tc>
          <w:tcPr>
            <w:tcW w:w="220" w:type="dxa"/>
            <w:vAlign w:val="bottom"/>
          </w:tcPr>
          <w:p>
            <w:pPr>
              <w:spacing w:after="0"/>
              <w:rPr>
                <w:sz w:val="12"/>
                <w:szCs w:val="12"/>
                <w:color w:val="auto"/>
              </w:rPr>
            </w:pPr>
          </w:p>
        </w:tc>
        <w:tc>
          <w:tcPr>
            <w:tcW w:w="760" w:type="dxa"/>
            <w:vAlign w:val="bottom"/>
            <w:gridSpan w:val="4"/>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Operating</w:t>
            </w:r>
          </w:p>
        </w:tc>
        <w:tc>
          <w:tcPr>
            <w:tcW w:w="0" w:type="dxa"/>
            <w:vAlign w:val="bottom"/>
          </w:tcPr>
          <w:p>
            <w:pPr>
              <w:spacing w:after="0"/>
              <w:rPr>
                <w:sz w:val="1"/>
                <w:szCs w:val="1"/>
                <w:color w:val="auto"/>
              </w:rPr>
            </w:pPr>
          </w:p>
        </w:tc>
      </w:tr>
      <w:tr>
        <w:trPr>
          <w:trHeight w:val="168"/>
        </w:trPr>
        <w:tc>
          <w:tcPr>
            <w:tcW w:w="6040" w:type="dxa"/>
            <w:vAlign w:val="bottom"/>
            <w:gridSpan w:val="3"/>
            <w:vMerge w:val="continue"/>
          </w:tcPr>
          <w:p>
            <w:pPr>
              <w:spacing w:after="0"/>
              <w:rPr>
                <w:sz w:val="14"/>
                <w:szCs w:val="14"/>
                <w:color w:val="auto"/>
              </w:rPr>
            </w:pPr>
          </w:p>
        </w:tc>
        <w:tc>
          <w:tcPr>
            <w:tcW w:w="2540" w:type="dxa"/>
            <w:vAlign w:val="bottom"/>
          </w:tcPr>
          <w:p>
            <w:pPr>
              <w:spacing w:after="0"/>
              <w:rPr>
                <w:sz w:val="14"/>
                <w:szCs w:val="14"/>
                <w:color w:val="auto"/>
              </w:rPr>
            </w:pPr>
          </w:p>
        </w:tc>
        <w:tc>
          <w:tcPr>
            <w:tcW w:w="900" w:type="dxa"/>
            <w:vAlign w:val="bottom"/>
            <w:gridSpan w:val="3"/>
          </w:tcPr>
          <w:p>
            <w:pPr>
              <w:jc w:val="center"/>
              <w:ind w:right="220"/>
              <w:spacing w:after="0" w:line="148" w:lineRule="exact"/>
              <w:rPr>
                <w:sz w:val="20"/>
                <w:szCs w:val="20"/>
                <w:color w:val="auto"/>
              </w:rPr>
            </w:pPr>
            <w:r>
              <w:rPr>
                <w:rFonts w:ascii="Arial" w:cs="Arial" w:eastAsia="Arial" w:hAnsi="Arial"/>
                <w:sz w:val="14"/>
                <w:szCs w:val="14"/>
                <w:b w:val="1"/>
                <w:bCs w:val="1"/>
                <w:color w:val="auto"/>
                <w:w w:val="84"/>
              </w:rPr>
              <w:t>Payments</w:t>
            </w:r>
          </w:p>
        </w:tc>
        <w:tc>
          <w:tcPr>
            <w:tcW w:w="220" w:type="dxa"/>
            <w:vAlign w:val="bottom"/>
          </w:tcPr>
          <w:p>
            <w:pPr>
              <w:spacing w:after="0"/>
              <w:rPr>
                <w:sz w:val="14"/>
                <w:szCs w:val="14"/>
                <w:color w:val="auto"/>
              </w:rPr>
            </w:pPr>
          </w:p>
        </w:tc>
        <w:tc>
          <w:tcPr>
            <w:tcW w:w="740" w:type="dxa"/>
            <w:vAlign w:val="bottom"/>
            <w:gridSpan w:val="3"/>
          </w:tcPr>
          <w:p>
            <w:pPr>
              <w:jc w:val="right"/>
              <w:ind w:right="280"/>
              <w:spacing w:after="0" w:line="148" w:lineRule="exact"/>
              <w:rPr>
                <w:sz w:val="20"/>
                <w:szCs w:val="20"/>
                <w:color w:val="auto"/>
              </w:rPr>
            </w:pPr>
            <w:r>
              <w:rPr>
                <w:rFonts w:ascii="Arial" w:cs="Arial" w:eastAsia="Arial" w:hAnsi="Arial"/>
                <w:sz w:val="14"/>
                <w:szCs w:val="14"/>
                <w:b w:val="1"/>
                <w:bCs w:val="1"/>
                <w:color w:val="auto"/>
                <w:w w:val="89"/>
              </w:rPr>
              <w:t>Income</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gridSpan w:val="3"/>
          </w:tcPr>
          <w:p>
            <w:pPr>
              <w:jc w:val="center"/>
              <w:ind w:right="180"/>
              <w:spacing w:after="0" w:line="148" w:lineRule="exact"/>
              <w:rPr>
                <w:sz w:val="20"/>
                <w:szCs w:val="20"/>
                <w:color w:val="auto"/>
              </w:rPr>
            </w:pPr>
            <w:r>
              <w:rPr>
                <w:rFonts w:ascii="Arial" w:cs="Arial" w:eastAsia="Arial" w:hAnsi="Arial"/>
                <w:sz w:val="14"/>
                <w:szCs w:val="14"/>
                <w:b w:val="1"/>
                <w:bCs w:val="1"/>
                <w:color w:val="auto"/>
                <w:w w:val="79"/>
              </w:rPr>
              <w:t>Leases</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74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2015</w:t>
            </w:r>
          </w:p>
        </w:tc>
        <w:tc>
          <w:tcPr>
            <w:tcW w:w="5280" w:type="dxa"/>
            <w:vAlign w:val="bottom"/>
            <w:tcBorders>
              <w:top w:val="single" w:sz="8" w:color="CCEEFF"/>
            </w:tcBorders>
            <w:shd w:val="clear" w:color="auto" w:fill="CCEEFF"/>
          </w:tcPr>
          <w:p>
            <w:pPr>
              <w:spacing w:after="0"/>
              <w:rPr>
                <w:sz w:val="17"/>
                <w:szCs w:val="17"/>
                <w:color w:val="auto"/>
              </w:rPr>
            </w:pPr>
          </w:p>
        </w:tc>
        <w:tc>
          <w:tcPr>
            <w:tcW w:w="2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75,678</w:t>
            </w: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(72)</w:t>
            </w:r>
          </w:p>
        </w:tc>
        <w:tc>
          <w:tcPr>
            <w:tcW w:w="2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right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gridSpan w:val="2"/>
            <w:shd w:val="clear" w:color="auto" w:fill="CCEEFF"/>
          </w:tcPr>
          <w:p>
            <w:pPr>
              <w:jc w:val="right"/>
              <w:ind w:right="20"/>
              <w:spacing w:after="0" w:line="203" w:lineRule="exact"/>
              <w:rPr>
                <w:sz w:val="20"/>
                <w:szCs w:val="20"/>
                <w:color w:val="auto"/>
              </w:rPr>
            </w:pPr>
            <w:r>
              <w:rPr>
                <w:rFonts w:ascii="Arial" w:cs="Arial" w:eastAsia="Arial" w:hAnsi="Arial"/>
                <w:sz w:val="18"/>
                <w:szCs w:val="18"/>
                <w:color w:val="auto"/>
              </w:rPr>
              <w:t>75,606</w:t>
            </w: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2016</w:t>
            </w:r>
          </w:p>
        </w:tc>
        <w:tc>
          <w:tcPr>
            <w:tcW w:w="52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61,774</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(75)</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61,699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5280" w:type="dxa"/>
            <w:vAlign w:val="bottom"/>
            <w:shd w:val="clear" w:color="auto" w:fill="CCEEFF"/>
          </w:tcPr>
          <w:p>
            <w:pPr>
              <w:spacing w:after="0"/>
              <w:rPr>
                <w:sz w:val="18"/>
                <w:szCs w:val="18"/>
                <w:color w:val="auto"/>
              </w:rPr>
            </w:pP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32,751</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(46)</w:t>
            </w: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32,705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2018</w:t>
            </w:r>
          </w:p>
        </w:tc>
        <w:tc>
          <w:tcPr>
            <w:tcW w:w="52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6,455</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6,455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5280" w:type="dxa"/>
            <w:vAlign w:val="bottom"/>
            <w:shd w:val="clear" w:color="auto" w:fill="CCEEFF"/>
          </w:tcPr>
          <w:p>
            <w:pPr>
              <w:spacing w:after="0"/>
              <w:rPr>
                <w:sz w:val="18"/>
                <w:szCs w:val="18"/>
                <w:color w:val="auto"/>
              </w:rPr>
            </w:pP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1,150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1,150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02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1,785</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1,785</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179,593</w:t>
            </w:r>
          </w:p>
        </w:tc>
        <w:tc>
          <w:tcPr>
            <w:tcW w:w="2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5"/>
              </w:rPr>
              <w:t>(193)</w:t>
            </w:r>
          </w:p>
        </w:tc>
        <w:tc>
          <w:tcPr>
            <w:tcW w:w="9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179,400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528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528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gridSpan w:val="4"/>
          </w:tcPr>
          <w:p>
            <w:pPr>
              <w:spacing w:after="0"/>
              <w:rPr>
                <w:sz w:val="20"/>
                <w:szCs w:val="20"/>
                <w:color w:val="auto"/>
              </w:rPr>
            </w:pPr>
            <w:r>
              <w:rPr>
                <w:rFonts w:ascii="Arial" w:cs="Arial" w:eastAsia="Arial" w:hAnsi="Arial"/>
                <w:sz w:val="14"/>
                <w:szCs w:val="14"/>
                <w:b w:val="1"/>
                <w:bCs w:val="1"/>
                <w:color w:val="auto"/>
                <w:w w:val="94"/>
              </w:rPr>
              <w:t>Technology</w:t>
            </w:r>
          </w:p>
        </w:tc>
        <w:tc>
          <w:tcPr>
            <w:tcW w:w="0" w:type="dxa"/>
            <w:vAlign w:val="bottom"/>
          </w:tcPr>
          <w:p>
            <w:pPr>
              <w:spacing w:after="0"/>
              <w:rPr>
                <w:sz w:val="1"/>
                <w:szCs w:val="1"/>
                <w:color w:val="auto"/>
              </w:rPr>
            </w:pPr>
          </w:p>
        </w:tc>
      </w:tr>
      <w:tr>
        <w:trPr>
          <w:trHeight w:val="149"/>
        </w:trPr>
        <w:tc>
          <w:tcPr>
            <w:tcW w:w="60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Fiscal Year:</w:t>
            </w:r>
          </w:p>
        </w:tc>
        <w:tc>
          <w:tcPr>
            <w:tcW w:w="2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4"/>
              </w:rPr>
              <w:t>License</w:t>
            </w:r>
          </w:p>
        </w:tc>
        <w:tc>
          <w:tcPr>
            <w:tcW w:w="0" w:type="dxa"/>
            <w:vAlign w:val="bottom"/>
          </w:tcPr>
          <w:p>
            <w:pPr>
              <w:spacing w:after="0"/>
              <w:rPr>
                <w:sz w:val="1"/>
                <w:szCs w:val="1"/>
                <w:color w:val="auto"/>
              </w:rPr>
            </w:pPr>
          </w:p>
        </w:tc>
      </w:tr>
      <w:tr>
        <w:trPr>
          <w:trHeight w:val="168"/>
        </w:trPr>
        <w:tc>
          <w:tcPr>
            <w:tcW w:w="6040" w:type="dxa"/>
            <w:vAlign w:val="bottom"/>
            <w:gridSpan w:val="3"/>
            <w:vMerge w:val="continue"/>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gridSpan w:val="4"/>
          </w:tcPr>
          <w:p>
            <w:pPr>
              <w:spacing w:after="0" w:line="148" w:lineRule="exact"/>
              <w:rPr>
                <w:sz w:val="20"/>
                <w:szCs w:val="20"/>
                <w:color w:val="auto"/>
              </w:rPr>
            </w:pPr>
            <w:r>
              <w:rPr>
                <w:rFonts w:ascii="Arial" w:cs="Arial" w:eastAsia="Arial" w:hAnsi="Arial"/>
                <w:sz w:val="14"/>
                <w:szCs w:val="14"/>
                <w:b w:val="1"/>
                <w:bCs w:val="1"/>
                <w:color w:val="auto"/>
                <w:w w:val="96"/>
              </w:rPr>
              <w:t>Obligations</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740" w:type="dxa"/>
            <w:vAlign w:val="bottom"/>
            <w:tcBorders>
              <w:top w:val="single" w:sz="8" w:color="auto"/>
            </w:tcBorders>
            <w:shd w:val="clear" w:color="auto" w:fill="CCEEFF"/>
          </w:tcPr>
          <w:p>
            <w:pPr>
              <w:spacing w:after="0" w:line="202" w:lineRule="exact"/>
              <w:rPr>
                <w:sz w:val="20"/>
                <w:szCs w:val="20"/>
                <w:color w:val="auto"/>
              </w:rPr>
            </w:pPr>
            <w:r>
              <w:rPr>
                <w:rFonts w:ascii="Arial" w:cs="Arial" w:eastAsia="Arial" w:hAnsi="Arial"/>
                <w:sz w:val="18"/>
                <w:szCs w:val="18"/>
                <w:color w:val="auto"/>
              </w:rPr>
              <w:t>2015</w:t>
            </w:r>
          </w:p>
        </w:tc>
        <w:tc>
          <w:tcPr>
            <w:tcW w:w="5280" w:type="dxa"/>
            <w:vAlign w:val="bottom"/>
            <w:tcBorders>
              <w:top w:val="single" w:sz="8" w:color="CCEEFF"/>
            </w:tcBorders>
            <w:shd w:val="clear" w:color="auto" w:fill="CCEEFF"/>
          </w:tcPr>
          <w:p>
            <w:pPr>
              <w:spacing w:after="0"/>
              <w:rPr>
                <w:sz w:val="17"/>
                <w:szCs w:val="17"/>
                <w:color w:val="auto"/>
              </w:rPr>
            </w:pPr>
          </w:p>
        </w:tc>
        <w:tc>
          <w:tcPr>
            <w:tcW w:w="25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right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14,913</w:t>
            </w: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2016</w:t>
            </w:r>
          </w:p>
        </w:tc>
        <w:tc>
          <w:tcPr>
            <w:tcW w:w="52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13,145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5280" w:type="dxa"/>
            <w:vAlign w:val="bottom"/>
            <w:shd w:val="clear" w:color="auto" w:fill="CCEEFF"/>
          </w:tcPr>
          <w:p>
            <w:pPr>
              <w:spacing w:after="0"/>
              <w:rPr>
                <w:sz w:val="18"/>
                <w:szCs w:val="18"/>
                <w:color w:val="auto"/>
              </w:rPr>
            </w:pP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7,869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2018</w:t>
            </w:r>
          </w:p>
        </w:tc>
        <w:tc>
          <w:tcPr>
            <w:tcW w:w="528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9,180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5280" w:type="dxa"/>
            <w:vAlign w:val="bottom"/>
            <w:shd w:val="clear" w:color="auto" w:fill="CCEEFF"/>
          </w:tcPr>
          <w:p>
            <w:pPr>
              <w:spacing w:after="0"/>
              <w:rPr>
                <w:sz w:val="18"/>
                <w:szCs w:val="18"/>
                <w:color w:val="auto"/>
              </w:rPr>
            </w:pP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02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5"/>
              <w:spacing w:after="0"/>
              <w:rPr>
                <w:sz w:val="20"/>
                <w:szCs w:val="20"/>
                <w:color w:val="auto"/>
              </w:rPr>
            </w:pPr>
            <w:r>
              <w:rPr>
                <w:rFonts w:ascii="Arial" w:cs="Arial" w:eastAsia="Arial" w:hAnsi="Arial"/>
                <w:sz w:val="18"/>
                <w:szCs w:val="18"/>
                <w:color w:val="auto"/>
              </w:rPr>
              <w:t>—</w:t>
            </w:r>
          </w:p>
        </w:tc>
        <w:tc>
          <w:tcPr>
            <w:tcW w:w="100" w:type="dxa"/>
            <w:vAlign w:val="bottom"/>
            <w:gridSpan w:val="2"/>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45,107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20" w:type="dxa"/>
            <w:vAlign w:val="bottom"/>
            <w:gridSpan w:val="2"/>
            <w:vMerge w:val="restart"/>
          </w:tcPr>
          <w:p>
            <w:pPr>
              <w:ind w:left="420"/>
              <w:spacing w:after="0"/>
              <w:rPr>
                <w:sz w:val="20"/>
                <w:szCs w:val="20"/>
                <w:color w:val="auto"/>
              </w:rPr>
            </w:pPr>
            <w:r>
              <w:rPr>
                <w:rFonts w:ascii="Arial" w:cs="Arial" w:eastAsia="Arial" w:hAnsi="Arial"/>
                <w:sz w:val="18"/>
                <w:szCs w:val="18"/>
                <w:color w:val="auto"/>
              </w:rPr>
              <w:t>Less: amount representing interest</w:t>
            </w:r>
          </w:p>
        </w:tc>
        <w:tc>
          <w:tcPr>
            <w:tcW w:w="2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20" w:type="dxa"/>
            <w:vAlign w:val="bottom"/>
          </w:tcPr>
          <w:p>
            <w:pPr>
              <w:spacing w:after="0"/>
              <w:rPr>
                <w:sz w:val="18"/>
                <w:szCs w:val="18"/>
                <w:color w:val="auto"/>
              </w:rPr>
            </w:pPr>
          </w:p>
        </w:tc>
        <w:tc>
          <w:tcPr>
            <w:tcW w:w="6020" w:type="dxa"/>
            <w:vAlign w:val="bottom"/>
            <w:gridSpan w:val="2"/>
            <w:vMerge w:val="continue"/>
          </w:tcPr>
          <w:p>
            <w:pPr>
              <w:spacing w:after="0"/>
              <w:rPr>
                <w:sz w:val="18"/>
                <w:szCs w:val="18"/>
                <w:color w:val="auto"/>
              </w:rPr>
            </w:pP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3"/>
          </w:tcPr>
          <w:p>
            <w:pPr>
              <w:jc w:val="right"/>
              <w:ind w:right="40"/>
              <w:spacing w:after="0"/>
              <w:rPr>
                <w:sz w:val="20"/>
                <w:szCs w:val="20"/>
                <w:color w:val="auto"/>
              </w:rPr>
            </w:pPr>
            <w:r>
              <w:rPr>
                <w:rFonts w:ascii="Arial" w:cs="Arial" w:eastAsia="Arial" w:hAnsi="Arial"/>
                <w:sz w:val="18"/>
                <w:szCs w:val="18"/>
                <w:color w:val="auto"/>
              </w:rPr>
              <w:t>(2,027)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Present value of future minimum payments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43,080</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gridSpan w:val="2"/>
          </w:tcPr>
          <w:p>
            <w:pPr>
              <w:ind w:left="420"/>
              <w:spacing w:after="0"/>
              <w:rPr>
                <w:sz w:val="20"/>
                <w:szCs w:val="20"/>
                <w:color w:val="auto"/>
              </w:rPr>
            </w:pPr>
            <w:r>
              <w:rPr>
                <w:rFonts w:ascii="Arial" w:cs="Arial" w:eastAsia="Arial" w:hAnsi="Arial"/>
                <w:sz w:val="18"/>
                <w:szCs w:val="18"/>
                <w:color w:val="auto"/>
              </w:rPr>
              <w:t>Less: current portion</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3"/>
          </w:tcPr>
          <w:p>
            <w:pPr>
              <w:jc w:val="right"/>
              <w:ind w:right="40"/>
              <w:spacing w:after="0"/>
              <w:rPr>
                <w:sz w:val="20"/>
                <w:szCs w:val="20"/>
                <w:color w:val="auto"/>
              </w:rPr>
            </w:pPr>
            <w:r>
              <w:rPr>
                <w:rFonts w:ascii="Arial" w:cs="Arial" w:eastAsia="Arial" w:hAnsi="Arial"/>
                <w:sz w:val="18"/>
                <w:szCs w:val="18"/>
                <w:color w:val="auto"/>
                <w:w w:val="92"/>
              </w:rPr>
              <w:t>(14,121)</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40" w:type="dxa"/>
            <w:vAlign w:val="bottom"/>
          </w:tcPr>
          <w:p>
            <w:pPr>
              <w:spacing w:after="0"/>
              <w:rPr>
                <w:sz w:val="2"/>
                <w:szCs w:val="2"/>
                <w:color w:val="auto"/>
              </w:rPr>
            </w:pPr>
          </w:p>
        </w:tc>
        <w:tc>
          <w:tcPr>
            <w:tcW w:w="5280" w:type="dxa"/>
            <w:vAlign w:val="bottom"/>
          </w:tcPr>
          <w:p>
            <w:pPr>
              <w:spacing w:after="0"/>
              <w:rPr>
                <w:sz w:val="2"/>
                <w:szCs w:val="2"/>
                <w:color w:val="auto"/>
              </w:rPr>
            </w:pPr>
          </w:p>
        </w:tc>
        <w:tc>
          <w:tcPr>
            <w:tcW w:w="2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3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20" w:type="dxa"/>
            <w:vAlign w:val="bottom"/>
            <w:tcBorders>
              <w:right w:val="single" w:sz="8" w:color="auto"/>
            </w:tcBorders>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Non-current portion</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28,959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528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ind w:left="680" w:right="20"/>
        <w:spacing w:after="0" w:line="440" w:lineRule="auto"/>
        <w:rPr>
          <w:sz w:val="20"/>
          <w:szCs w:val="20"/>
          <w:color w:val="auto"/>
        </w:rPr>
      </w:pPr>
      <w:r>
        <w:rPr>
          <w:rFonts w:ascii="Arial" w:cs="Arial" w:eastAsia="Arial" w:hAnsi="Arial"/>
          <w:sz w:val="18"/>
          <w:szCs w:val="18"/>
          <w:color w:val="auto"/>
        </w:rPr>
        <w:t>Technology license obligations include the liabilities under the subscription agreements for technology licenses between the Company and various vendors. 89</w:t>
      </w:r>
    </w:p>
    <w:p>
      <w:pPr>
        <w:sectPr>
          <w:pgSz w:w="11900" w:h="16838" w:orient="portrait"/>
          <w:cols w:equalWidth="0" w:num="1">
            <w:col w:w="11420"/>
          </w:cols>
          <w:pgMar w:left="240" w:top="459" w:right="23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February 1, 2014, these foundries had incurred approximately $270.9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45"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As of February 1, 2014, the Company has a $15.2 million accrued liability related to certain legal proceedings described below in this section. The amount recorded does not relate to the litigation with Carnegie Mellon University (“CMU”). Other than for the matters that the Company has recognized in the consolidated financial statements, it has not recorded any amounts for contingent losses associated with the matters described below based on its belief that losses, while reasonably possible, are not probable. Unless otherwise stated, the Company is currently unable to predict the final outcome of these lawsuits and therefore cannot determine the likelihood of loss nor estimate a range of possible loss.</w:t>
      </w:r>
    </w:p>
    <w:p>
      <w:pPr>
        <w:spacing w:after="0" w:line="116" w:lineRule="exact"/>
        <w:rPr>
          <w:sz w:val="20"/>
          <w:szCs w:val="20"/>
          <w:color w:val="auto"/>
        </w:rPr>
      </w:pPr>
    </w:p>
    <w:p>
      <w:pPr>
        <w:jc w:val="both"/>
        <w:ind w:right="260" w:firstLine="456"/>
        <w:spacing w:after="0" w:line="256" w:lineRule="auto"/>
        <w:rPr>
          <w:sz w:val="20"/>
          <w:szCs w:val="20"/>
          <w:color w:val="auto"/>
        </w:rPr>
      </w:pPr>
      <w:r>
        <w:rPr>
          <w:rFonts w:ascii="Arial" w:cs="Arial" w:eastAsia="Arial" w:hAnsi="Arial"/>
          <w:sz w:val="18"/>
          <w:szCs w:val="18"/>
          <w:i w:val="1"/>
          <w:iCs w:val="1"/>
          <w:color w:val="auto"/>
        </w:rPr>
        <w:t xml:space="preserve">Carnegie Mellon University Litigation. </w:t>
      </w:r>
      <w:r>
        <w:rPr>
          <w:rFonts w:ascii="Arial" w:cs="Arial" w:eastAsia="Arial" w:hAnsi="Arial"/>
          <w:sz w:val="18"/>
          <w:szCs w:val="18"/>
          <w:color w:val="auto"/>
        </w:rPr>
        <w:t>On March 6, 2009, CMU filed a complaint in the U.S. District Court for the Western District of Pennsylvania</w:t>
      </w:r>
      <w:r>
        <w:rPr>
          <w:rFonts w:ascii="Arial" w:cs="Arial" w:eastAsia="Arial" w:hAnsi="Arial"/>
          <w:sz w:val="18"/>
          <w:szCs w:val="18"/>
          <w:i w:val="1"/>
          <w:iCs w:val="1"/>
          <w:color w:val="auto"/>
        </w:rPr>
        <w:t xml:space="preserve"> </w:t>
      </w:r>
      <w:r>
        <w:rPr>
          <w:rFonts w:ascii="Arial" w:cs="Arial" w:eastAsia="Arial" w:hAnsi="Arial"/>
          <w:sz w:val="18"/>
          <w:szCs w:val="18"/>
          <w:color w:val="auto"/>
        </w:rPr>
        <w:t>naming Marvell Semiconductor, Inc. (“MSI”) and the Company as defendants and alleging patent infringement. CMU has asserted U.S. Patent Nos. 6,201,839 and 6,438,180 (collectively, the “CMU patents in suit”), which relate to read-channel integrated circuit devices and the hard disk drive (“HDD”) incorporating such devices. A jury trial began on November 26, 2012. On December 26,</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90</w:t>
      </w:r>
    </w:p>
    <w:p>
      <w:pPr>
        <w:sectPr>
          <w:pgSz w:w="11900" w:h="16838" w:orient="portrait"/>
          <w:cols w:equalWidth="0" w:num="1">
            <w:col w:w="11420"/>
          </w:cols>
          <w:pgMar w:left="240" w:top="459" w:right="2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2012, a jury delivered a verdict that found the CMU patents in suit were literally and willfully infringed and valid, and awarded past damages in the amount of $1.17 billion. Due to the finding of willfulness during post-trial proceedings, the judge could enhance the damages by an amount up to triple the damages awarded by the jury at trial. In addition, CMU has disclosed in its post-trial motions that it is seeking pre-judgment interest up to $322 million, post-judgment interest, supplemental damages, attorneys’ fees, and an injunction and/or ongoing royalties. Post-trial motions were heard on May 1 and 2, 2013. On June 26, 2013, the District Court denied CMU’s post-trial motion for attorney fees without prejudice. On August 23, 2013, the District Court denied the Company’s motion for mistrial. On September 23, 2013, the District Court denied the Company’s motion for judgment as a matter of law or a new trial on non-infringement, invalidity and other non-damages issue as well as the Company’s motion for reduced damages. On the same day, the District Court granted-in-part CMU’s motion for a finding of willful infringement and enhanced damages, reserving its further rulings on any enhancement of the verdict for a forthcoming opinion. On December 6, 2013, CMU filed a motion to permit registration of judgment and a motion for supplemental relief including a request to enjoin future share repurchases, any leveraged buyout or similar asset leveraging transaction, and dividends (including the dividend scheduled for December 23</w:t>
      </w:r>
      <w:r>
        <w:rPr>
          <w:rFonts w:ascii="Arial" w:cs="Arial" w:eastAsia="Arial" w:hAnsi="Arial"/>
          <w:sz w:val="10"/>
          <w:szCs w:val="10"/>
          <w:color w:val="auto"/>
        </w:rPr>
        <w:t>rd</w:t>
      </w:r>
      <w:r>
        <w:rPr>
          <w:rFonts w:ascii="Arial" w:cs="Arial" w:eastAsia="Arial" w:hAnsi="Arial"/>
          <w:sz w:val="16"/>
          <w:szCs w:val="16"/>
          <w:color w:val="auto"/>
        </w:rPr>
        <w:t>), in the absence of a court approved bond or other security. On December 23, 2013, the District Court denied the motions. On January 8, 2014, CMU filed a motion for telephonic status conference, which was denied on January 28, 2014. On January 14, 2014, the District Court denied the Company’s post-trial motion on laches. The District Court has yet to rule on CMU’s injunction motion. The Company expects the District Court to issue its final judgment at any time.</w:t>
      </w:r>
    </w:p>
    <w:p>
      <w:pPr>
        <w:spacing w:after="0" w:line="121"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intend to vigorously challenge the District Court’s judgment via an appeal to the U.S. Court of Appeals for the Federal Circuit in Washington, D.C. The Company believes the low end of the possible range of loss is zero, but it cannot reasonably estimate the upper range of the possible loss, as a number of factors (including finalization of the post-trial motions at the District Court) could significantly change the assessment of damages.</w:t>
      </w:r>
    </w:p>
    <w:p>
      <w:pPr>
        <w:spacing w:after="0" w:line="116" w:lineRule="exact"/>
        <w:rPr>
          <w:sz w:val="20"/>
          <w:szCs w:val="20"/>
          <w:color w:val="auto"/>
        </w:rPr>
      </w:pPr>
    </w:p>
    <w:p>
      <w:pPr>
        <w:ind w:right="440" w:firstLine="456"/>
        <w:spacing w:after="0" w:line="259" w:lineRule="auto"/>
        <w:rPr>
          <w:sz w:val="20"/>
          <w:szCs w:val="20"/>
          <w:color w:val="auto"/>
        </w:rPr>
      </w:pPr>
      <w:r>
        <w:rPr>
          <w:rFonts w:ascii="Arial" w:cs="Arial" w:eastAsia="Arial" w:hAnsi="Arial"/>
          <w:sz w:val="18"/>
          <w:szCs w:val="18"/>
          <w:i w:val="1"/>
          <w:iCs w:val="1"/>
          <w:color w:val="auto"/>
        </w:rPr>
        <w:t>Jasmine Networks Litigation</w:t>
      </w:r>
      <w:r>
        <w:rPr>
          <w:rFonts w:ascii="Arial" w:cs="Arial" w:eastAsia="Arial" w:hAnsi="Arial"/>
          <w:sz w:val="18"/>
          <w:szCs w:val="18"/>
          <w:color w:val="auto"/>
        </w:rPr>
        <w:t>. 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MSI and three of its officers for allegedly improperly obtaining and using information and technologies during the course of the negotiations with its personnel regarding the potential acquisition of certain Jasmine assets by MSI.</w:t>
      </w:r>
    </w:p>
    <w:p>
      <w:pPr>
        <w:spacing w:after="0" w:line="14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 Oral arguments on the appeal were heard on June 18, 2013. On July 17, 2013, the Court of Appeals unanimously affirmed judgment in favor of MSI. The deadline for Jasmine to appeal to the California Supreme Court passed on August 26, 2013 without Jasmine taking any further action.</w:t>
      </w:r>
    </w:p>
    <w:p>
      <w:pPr>
        <w:spacing w:after="0" w:line="144" w:lineRule="exact"/>
        <w:rPr>
          <w:sz w:val="20"/>
          <w:szCs w:val="20"/>
          <w:color w:val="auto"/>
        </w:rPr>
      </w:pPr>
    </w:p>
    <w:p>
      <w:pPr>
        <w:ind w:right="30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in which USEI has accused a number of system manufacturers, including the Company’s customers, of patent infringement (the “USEI litigation”). Specifically, USEI has asserted that these customers infringe U.S. Patent Nos. 5,307,459, 5,434,872, 5,732,094 and 5,299,313, which relate to Ethernet technologies. The complaint seeks unspecified damages and an injunction.</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420"/>
          </w:cols>
          <w:pgMar w:left="240" w:top="459" w:right="2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District Court issued an order granting the defendants’ motion to transfer the action to the U.S. District Court for the Northern District of California; the case was formally transferred on August 23, 2010. On September 14, 2011, USEI withdrew its allegations against MSI for the ‘459 patent. The court issued a first claim construction ruling on January 31, 2012 and a supplemental claim construction ruling on August 29, 2012. On August 16, 2013, the District Court granted defendants’ summary judgment motion to preclude the plaintiff from recovering certain pre-suit damages. Trial is scheduled for January 5, 2015.</w:t>
      </w:r>
    </w:p>
    <w:p>
      <w:pPr>
        <w:spacing w:after="0" w:line="1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Lake Cherokee Patent I Litigation. </w:t>
      </w:r>
      <w:r>
        <w:rPr>
          <w:rFonts w:ascii="Arial" w:cs="Arial" w:eastAsia="Arial" w:hAnsi="Arial"/>
          <w:sz w:val="16"/>
          <w:szCs w:val="16"/>
          <w:color w:val="auto"/>
        </w:rPr>
        <w:t>On June 30, 2010, Lake Cherokee Hard Drive Technologies, L.L.C. (“Lake Cherokee”) filed a complaint in the U.S.</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Court for the Eastern District of Texas. The complaint alleges infringement of U.S. Patent Nos. 5,844,738 and 5,978,162 (collectively, the “Lake Cherokee patents”). The Lake Cherokee patents purportedly relate to read-channel integrated circuit devices and to certain HDD products incorporating such devices. A claim construction ruling was issued on August 6, 2012. Lake Cherokee’s damages claim, which excluded non-U.S. related sales as a result of the District Court’s summary judgment ruling, was approximately $193 million at the start of trial. The case proceeded to trial on August 12, 2013. On August 16, 2013, an Eastern District of Texas jury returned a verdict and unanimously found that MSI did not infringe the Lake Cherokee patents. On the same day, the Court entered judgment in MSI’s favor. Lake Cherokee has since moved for a new trial and the briefing was concluded on October 28, 2013. The District Court has not ruled on Lake Cherokee’s post-trial motion.</w:t>
      </w:r>
    </w:p>
    <w:p>
      <w:pPr>
        <w:spacing w:after="0" w:line="118"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i w:val="1"/>
          <w:iCs w:val="1"/>
          <w:color w:val="auto"/>
        </w:rPr>
        <w:t>Lake Cherokee II Patent Litigation</w:t>
      </w:r>
      <w:r>
        <w:rPr>
          <w:rFonts w:ascii="Arial" w:cs="Arial" w:eastAsia="Arial" w:hAnsi="Arial"/>
          <w:sz w:val="18"/>
          <w:szCs w:val="18"/>
          <w:color w:val="auto"/>
        </w:rPr>
        <w:t>. On September 5, 2013, Lake Cherokee filed suit in the U.S. District Court for the Eastern District of Texas against</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Asia Pte., Ltd. (“MAPL”) and several of the Company’s storage customers, alleging infringement of U.S. Patent Nos. 5,844,738 and 5,978,162 (the same Lake Cherokee patents found not infringed in Lake Cherokee I).</w:t>
      </w:r>
    </w:p>
    <w:p>
      <w:pPr>
        <w:spacing w:after="0" w:line="14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Lake Cherokee III Patent Litigation</w:t>
      </w:r>
      <w:r>
        <w:rPr>
          <w:rFonts w:ascii="Arial" w:cs="Arial" w:eastAsia="Arial" w:hAnsi="Arial"/>
          <w:sz w:val="18"/>
          <w:szCs w:val="18"/>
          <w:color w:val="auto"/>
        </w:rPr>
        <w:t>. On September 25, 2013, Lake Cherokee filed suit in the U.S. District Court for the Eastern District of Texas against</w:t>
      </w:r>
      <w:r>
        <w:rPr>
          <w:rFonts w:ascii="Arial" w:cs="Arial" w:eastAsia="Arial" w:hAnsi="Arial"/>
          <w:sz w:val="18"/>
          <w:szCs w:val="18"/>
          <w:i w:val="1"/>
          <w:iCs w:val="1"/>
          <w:color w:val="auto"/>
        </w:rPr>
        <w:t xml:space="preserve"> </w:t>
      </w:r>
      <w:r>
        <w:rPr>
          <w:rFonts w:ascii="Arial" w:cs="Arial" w:eastAsia="Arial" w:hAnsi="Arial"/>
          <w:sz w:val="18"/>
          <w:szCs w:val="18"/>
          <w:color w:val="auto"/>
        </w:rPr>
        <w:t>MSI, MAPL and two of the Company’s customers, alleging infringement of U.S. Patent No. 5,583,706, which purportedly relates to certain HDD related technologies. MSI answered the complaint on November 29, 2013. A claim construction hearing is set for August 5, 2014 and trial is currently scheduled to start on April 13, 2015.</w:t>
      </w:r>
    </w:p>
    <w:p>
      <w:pPr>
        <w:spacing w:after="0" w:line="143"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i w:val="1"/>
          <w:iCs w:val="1"/>
          <w:color w:val="auto"/>
        </w:rPr>
        <w:t>APT Patent Litigations</w:t>
      </w:r>
      <w:r>
        <w:rPr>
          <w:rFonts w:ascii="Arial" w:cs="Arial" w:eastAsia="Arial" w:hAnsi="Arial"/>
          <w:sz w:val="16"/>
          <w:szCs w:val="16"/>
          <w:color w:val="auto"/>
        </w:rPr>
        <w:t>. On January 18, 2011, Advanced Processor Technologies, LLC (“APT”),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in the U.S. District Court for the Eastern District of Texas. The complaint names MSI and eight other defendants and alleged infringement of U.S. Patent Nos. 6,047,354 and 5,796,978. In April 2013, the parties reached an agreement to dismiss all claims and counterclaims. On June 25, 2013, MSI was dismissed from the cases. The resolution did not have a significant impact on the Company’s financial statements.</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MOSAID Litigation. </w:t>
      </w:r>
      <w:r>
        <w:rPr>
          <w:rFonts w:ascii="Arial" w:cs="Arial" w:eastAsia="Arial" w:hAnsi="Arial"/>
          <w:sz w:val="16"/>
          <w:szCs w:val="16"/>
          <w:color w:val="auto"/>
        </w:rPr>
        <w:t>On March 16, 2011, MOSAID Technologies Inc. filed suit in the U.S. District Court for the Eastern District of Texas against MSI</w:t>
      </w:r>
      <w:r>
        <w:rPr>
          <w:rFonts w:ascii="Arial" w:cs="Arial" w:eastAsia="Arial" w:hAnsi="Arial"/>
          <w:sz w:val="16"/>
          <w:szCs w:val="16"/>
          <w:i w:val="1"/>
          <w:iCs w:val="1"/>
          <w:color w:val="auto"/>
        </w:rPr>
        <w:t xml:space="preserve"> </w:t>
      </w:r>
      <w:r>
        <w:rPr>
          <w:rFonts w:ascii="Arial" w:cs="Arial" w:eastAsia="Arial" w:hAnsi="Arial"/>
          <w:sz w:val="16"/>
          <w:szCs w:val="16"/>
          <w:color w:val="auto"/>
        </w:rPr>
        <w:t>and 16 other companies. The complaint alleges that defendants’ products, which operate in compliance with various IEEE 802.11standards, infringe the six asserted patents (U.S. Patent Nos. 5,131,006; 5,151,920; 5,422,887; 5,706,428; 6,563,768; 6,992,972). MSI filed its answer and counterclaims on June 9, 2011. On March 28, 2012, MSI and other defendants filed a motion to transfer, which was denied. A claim construction hearing was held on April 16, 2013 and a claim construction ruling was issued by the magistrate judge on April 22, 2013. On June 3, 2013, the District Court issued an order denying plaintiff’s motion for reconsideration and adopted the magistrate’s claim construction ruling. On September 20, 2013, MSI and MOSAID entered a license agreement that settled the pending disputes between the parties, and on October 11, 2013, MSI was dismissed from the case. An agreed motion to dismiss MSI from the lawsuit was filed on October 8, 2013. The settlement did not have a significant impact on the Company’s financial statements.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420"/>
          </w:cols>
          <w:pgMar w:left="240" w:top="459" w:right="2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i w:val="1"/>
          <w:iCs w:val="1"/>
          <w:color w:val="auto"/>
        </w:rPr>
        <w:t xml:space="preserve">Azure Networks Litigation. </w:t>
      </w:r>
      <w:r>
        <w:rPr>
          <w:rFonts w:ascii="Arial" w:cs="Arial" w:eastAsia="Arial" w:hAnsi="Arial"/>
          <w:sz w:val="16"/>
          <w:szCs w:val="16"/>
          <w:color w:val="auto"/>
        </w:rPr>
        <w:t>On March 22, 2011, Azure Networks, LLC and Tri-County Excelsior Foundation filed suit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Eastern District of Texas against MSI and eight other companies. The Complaint asserts U.S. Patent No. 7,756,129 against MSI’s Bluetooth products. MSI filed its answer and counterclaims on July 20, 2011. On November 2, 2012, MSI and the other defendants filed a motion for summary judgment of invalidity, which was denied. A claim construction hearing was held on December 20, 2012. On January 15, 2013, the magistrate judge issued a claim construction ruling. On May 20, 2013, the District Court issued an order denying plaintiff’s motion for reconsideration and adopted the magistrate judge’s claim construction ruling. On May 30, 2013, the District Court entered a judgment of non-infringement. On June 24, 2013, Azure appealed, and the appeal has been briefed. On August 20, 2013, Azure filed its opening appeal brief. On October 3, 2013, MSI and the other defendants filed a respondents’ brief.</w:t>
      </w:r>
    </w:p>
    <w:p>
      <w:pPr>
        <w:spacing w:after="0" w:line="118"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other defendants, in the U.S. District Court for the District of Delaware. The complaint asserts U.S. Patent No. 5,504,909, which relates to a power management apparatus, against various products. The complaint seeks unspecified damages. On October 17, 2011, PMS amended its complaint by substituting MSL with MSI. MSI filed its answer and counterclaims on November 4, 2011. A claim construction hearing was held on January 18, 2013, and a ruling was issued on May 30, 2013. On June 14, 2013, the District Court entered a judgment of non-infringement. On June 17, 2013, PMS appealed, and the appeal has been briefed. The Federal Circuit Court of Appeals heard oral argument on January 10, 2014, and affirmed the district court’s rulings on January 14, 2014.</w:t>
      </w:r>
    </w:p>
    <w:p>
      <w:pPr>
        <w:spacing w:after="0" w:line="118" w:lineRule="exact"/>
        <w:rPr>
          <w:sz w:val="20"/>
          <w:szCs w:val="20"/>
          <w:color w:val="auto"/>
        </w:rPr>
      </w:pPr>
    </w:p>
    <w:p>
      <w:pPr>
        <w:ind w:right="160" w:firstLine="456"/>
        <w:spacing w:after="0" w:line="286" w:lineRule="auto"/>
        <w:rPr>
          <w:sz w:val="20"/>
          <w:szCs w:val="20"/>
          <w:color w:val="auto"/>
        </w:rPr>
      </w:pPr>
      <w:r>
        <w:rPr>
          <w:rFonts w:ascii="Arial" w:cs="Arial" w:eastAsia="Arial" w:hAnsi="Arial"/>
          <w:sz w:val="16"/>
          <w:szCs w:val="16"/>
          <w:i w:val="1"/>
          <w:iCs w:val="1"/>
          <w:color w:val="auto"/>
        </w:rPr>
        <w:t xml:space="preserve">HSM/TPL Litigation. </w:t>
      </w:r>
      <w:r>
        <w:rPr>
          <w:rFonts w:ascii="Arial" w:cs="Arial" w:eastAsia="Arial" w:hAnsi="Arial"/>
          <w:sz w:val="16"/>
          <w:szCs w:val="16"/>
          <w:color w:val="auto"/>
        </w:rPr>
        <w:t>On September 1, 2011, HSM Portfolio, LLC and Technology Properties Limited, LLC filed a complaint against the Company and</w:t>
      </w:r>
      <w:r>
        <w:rPr>
          <w:rFonts w:ascii="Arial" w:cs="Arial" w:eastAsia="Arial" w:hAnsi="Arial"/>
          <w:sz w:val="16"/>
          <w:szCs w:val="16"/>
          <w:i w:val="1"/>
          <w:iCs w:val="1"/>
          <w:color w:val="auto"/>
        </w:rPr>
        <w:t xml:space="preserve"> </w:t>
      </w:r>
      <w:r>
        <w:rPr>
          <w:rFonts w:ascii="Arial" w:cs="Arial" w:eastAsia="Arial" w:hAnsi="Arial"/>
          <w:sz w:val="16"/>
          <w:szCs w:val="16"/>
          <w:color w:val="auto"/>
        </w:rPr>
        <w:t>MSL in the U.S. District Court for the District of Delaware. The complaint also named numerous other defendants. The complaint asserted U.S. Patent</w:t>
      </w:r>
    </w:p>
    <w:p>
      <w:pPr>
        <w:ind w:right="160"/>
        <w:spacing w:after="0" w:line="254" w:lineRule="auto"/>
        <w:rPr>
          <w:sz w:val="20"/>
          <w:szCs w:val="20"/>
          <w:color w:val="auto"/>
        </w:rPr>
      </w:pPr>
      <w:r>
        <w:rPr>
          <w:rFonts w:ascii="Arial" w:cs="Arial" w:eastAsia="Arial" w:hAnsi="Arial"/>
          <w:sz w:val="18"/>
          <w:szCs w:val="18"/>
          <w:color w:val="auto"/>
        </w:rPr>
        <w:t>No. 5,030,853, relating to high speed logic and memory circuitry, against various products. The complaint sought unspecified damages. On January 9, 2012, HSM/TPL filed an amended complaint adding MSI to the case. On February 15, 2012, the Company and MSL were dismissed from the case. On June 10, 2013, MSI and HSM/TPL reached a settlement and on June 25, 2013, MSI was dismissed from the case. The settlement did not have a significant impact on the Company’s financial statements.</w:t>
      </w:r>
    </w:p>
    <w:p>
      <w:pPr>
        <w:spacing w:after="0" w:line="14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(“France Telecom”) filed a complaint against MSI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Southern District of New York. The complaint asserts U.S. Patent No.5,446,747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A claim construction hearing was held on December 13, 2013. Trial is scheduled for May 12, 2014.</w:t>
      </w:r>
    </w:p>
    <w:p>
      <w:pPr>
        <w:spacing w:after="0" w:line="116" w:lineRule="exact"/>
        <w:rPr>
          <w:sz w:val="20"/>
          <w:szCs w:val="20"/>
          <w:color w:val="auto"/>
        </w:rPr>
      </w:pPr>
    </w:p>
    <w:p>
      <w:pPr>
        <w:ind w:right="220" w:firstLine="456"/>
        <w:spacing w:after="0" w:line="254" w:lineRule="auto"/>
        <w:rPr>
          <w:sz w:val="20"/>
          <w:szCs w:val="20"/>
          <w:color w:val="auto"/>
        </w:rPr>
      </w:pPr>
      <w:r>
        <w:rPr>
          <w:rFonts w:ascii="Arial" w:cs="Arial" w:eastAsia="Arial" w:hAnsi="Arial"/>
          <w:sz w:val="18"/>
          <w:szCs w:val="18"/>
          <w:i w:val="1"/>
          <w:iCs w:val="1"/>
          <w:color w:val="auto"/>
        </w:rPr>
        <w:t xml:space="preserve">Freescale Litigation. </w:t>
      </w:r>
      <w:r>
        <w:rPr>
          <w:rFonts w:ascii="Arial" w:cs="Arial" w:eastAsia="Arial" w:hAnsi="Arial"/>
          <w:sz w:val="18"/>
          <w:szCs w:val="18"/>
          <w:color w:val="auto"/>
        </w:rPr>
        <w:t>On July 6, 2012, Freescale Semiconductor, Inc. (“Freescale”) filed a complaint against MSI in the U.S. District Court for the</w:t>
      </w:r>
      <w:r>
        <w:rPr>
          <w:rFonts w:ascii="Arial" w:cs="Arial" w:eastAsia="Arial" w:hAnsi="Arial"/>
          <w:sz w:val="18"/>
          <w:szCs w:val="18"/>
          <w:i w:val="1"/>
          <w:iCs w:val="1"/>
          <w:color w:val="auto"/>
        </w:rPr>
        <w:t xml:space="preserve"> </w:t>
      </w:r>
      <w:r>
        <w:rPr>
          <w:rFonts w:ascii="Arial" w:cs="Arial" w:eastAsia="Arial" w:hAnsi="Arial"/>
          <w:sz w:val="18"/>
          <w:szCs w:val="18"/>
          <w:color w:val="auto"/>
        </w:rPr>
        <w:t>Western District of Texas. The complaint asserts U.S. Patent Nos. 6,920,316, 5,825,640, 5,943,274, 5,467,455 and 7,927,927 against certain of the Company’s integrated circuits and/or chipsets. The complaint seeks unspecified damages and a permanent injunction. Freescale filed an amended complaint on January 14, 2013 and withdrew its assertion of U.S. Patent No. 5,825,640; MSI filed its answer to the amended complaint on February 4, 2013. This case has been consolidated for pre-trial purposes with nine other pending cases. A claim construction hearing was held on October 24, 2013 and was completed on December 13, 2013. No trial date has been set.</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420"/>
          </w:cols>
          <w:pgMar w:left="240" w:top="459" w:right="23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On January 4, 2013, three of the Company’s subsidiaries, MSI, Marvell International Ltd. (“MIL”) and Marvell World Trade Ltd., filed a complaint against Freescale in the U.S. District Court for the Western District of Texas, and filed an amended complaint on January 14, 2013. The amended complaint alleges that Freescale infringes U.S. Patents Nos. 6,903,448 and 7,379,718. A claim construction hearing was held on December 13, 2013. No trial date has been set.</w:t>
      </w:r>
    </w:p>
    <w:p>
      <w:pPr>
        <w:spacing w:after="0" w:line="10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i w:val="1"/>
          <w:iCs w:val="1"/>
          <w:color w:val="auto"/>
        </w:rPr>
        <w:t xml:space="preserve">Progressive Semiconductor Solutions Patent Litigation. </w:t>
      </w:r>
      <w:r>
        <w:rPr>
          <w:rFonts w:ascii="Arial" w:cs="Arial" w:eastAsia="Arial" w:hAnsi="Arial"/>
          <w:sz w:val="18"/>
          <w:szCs w:val="18"/>
          <w:color w:val="auto"/>
        </w:rPr>
        <w:t>On September 30, 2013, Progressive Semiconductor Solutions LLC (“PSS”) filed a complaint in</w:t>
      </w:r>
      <w:r>
        <w:rPr>
          <w:rFonts w:ascii="Arial" w:cs="Arial" w:eastAsia="Arial" w:hAnsi="Arial"/>
          <w:sz w:val="18"/>
          <w:szCs w:val="18"/>
          <w:i w:val="1"/>
          <w:iCs w:val="1"/>
          <w:color w:val="auto"/>
        </w:rPr>
        <w:t xml:space="preserve"> </w:t>
      </w:r>
      <w:r>
        <w:rPr>
          <w:rFonts w:ascii="Arial" w:cs="Arial" w:eastAsia="Arial" w:hAnsi="Arial"/>
          <w:sz w:val="18"/>
          <w:szCs w:val="18"/>
          <w:color w:val="auto"/>
        </w:rPr>
        <w:t>the Central District of California against MSI and another defendant, asserting infringement of U.S. Patent Nos. 6,473,349 (the “349 patent”) and 6,862,208 (the “208 patent”). The patents purportedly relate to certain memory devices. On November 19, 2013, PSS filed an amended complaint. MSI answered the first amended complaint on November 22, 2013. A claim construction hearing is scheduled to occur on or before August 11, 2014 and trial is scheduled to start on March 3, 2015. On March 3, 2014, the District Court dismissed MSI without prejudice. On March 4, 2014, PSS filed a new complaint against MSI, asserting infringement of the ‘349 patent but not the ‘208 patent.</w:t>
      </w:r>
    </w:p>
    <w:p>
      <w:pPr>
        <w:spacing w:after="0" w:line="144"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i w:val="1"/>
          <w:iCs w:val="1"/>
          <w:color w:val="auto"/>
        </w:rPr>
        <w:t xml:space="preserve">Vantage Point Technology Patent Litigation. </w:t>
      </w:r>
      <w:r>
        <w:rPr>
          <w:rFonts w:ascii="Arial" w:cs="Arial" w:eastAsia="Arial" w:hAnsi="Arial"/>
          <w:sz w:val="18"/>
          <w:szCs w:val="18"/>
          <w:color w:val="auto"/>
        </w:rPr>
        <w:t>On November 21, 2013, Vantage Point Technology, Inc. filed suit against a third party defendant for patent</w:t>
      </w:r>
      <w:r>
        <w:rPr>
          <w:rFonts w:ascii="Arial" w:cs="Arial" w:eastAsia="Arial" w:hAnsi="Arial"/>
          <w:sz w:val="18"/>
          <w:szCs w:val="18"/>
          <w:i w:val="1"/>
          <w:iCs w:val="1"/>
          <w:color w:val="auto"/>
        </w:rPr>
        <w:t xml:space="preserve"> </w:t>
      </w:r>
      <w:r>
        <w:rPr>
          <w:rFonts w:ascii="Arial" w:cs="Arial" w:eastAsia="Arial" w:hAnsi="Arial"/>
          <w:sz w:val="18"/>
          <w:szCs w:val="18"/>
          <w:color w:val="auto"/>
        </w:rPr>
        <w:t>infringement relating to processor technology. On February 3, 2014, Vantage filed an amended complaint against the third party and added MSI as an additional defendant. The complaint seeks unspecified damages and no trial date has been set.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Company plans to appeal the final judgment issued by the District Court in the CMU litigation, regardless of the dollar amount of the final judgment. The parties are currently engaged in discussions before a Special Master concerning the bonding of the judgment pending appeal. During October 2013, the Company entered into indemnity agreements with a consortium of insurers that would potentially provide financial assurance that each of the insurers will be indemnified by the Company should a loss occur under a surety bond. As of February 1, 2014 and as of the date of this filing, no final judgment has been issued and no surety bond has been issued. Therefore, these indemnity agreements have had no impact to the Company’s Consolidated Balance Sheets as of February 1, 2014. The Company expects that under a surety bond, the surety companies would agree to guarantee to the District Court the Company’s payment of a specific amount, to be determined. However, the terms of any surety bond arrangements have not been finalized and the Company cannot be certain that a surety bond will be available to the Company in sufficient amount to cover the full amount of a final judgment or on commercially reasonable terms. If the Company cannot obtain a surety bond in sufficient amount or on commercially reasonable terms, or if the District Court in the CMU litigation does not approve alternative arrangements to stay execution of the judgment pending the Company’s appeal, it’s business could be harmed. For example, if, under a surety bond, the Company must post its cash, cash equivalents and short term investments as collateral, it may be restricted from using such assets in the operation of its business and such assets would be classified as restricted cash in future filings.</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380"/>
          </w:cols>
          <w:pgMar w:left="240" w:top="459" w:right="27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Company sponsors a 401(k) savings and investment plan that allows eligible U.S. employees to participate by making pre-tax contributions to the 401(k) plan ranging from 1% to 50% of eligible earnings subject to a required annual limit. The Company matches 100% of the employee contribution up to $500 per eligible employee on a quarterly basis. The participant must be employed by the Company on the last day of the calendar quarter to qualify for the match. At the end of the calendar year, the eligible employees receive a true-up match equal to the accumulated employee contribution for the calendar year up to $2,000. The Company made matching contributions to employees of $5.0 million, $5.0 million and $4.8 million during fiscal 2014, 2013 and 2012, respectively. As of February 1, 2014, the 401(k) plan offers a variety of investment alternatives, representing different asset classes. Employees may not invest in the Company’s common shares through the 401(k) plan.</w:t>
      </w:r>
    </w:p>
    <w:p>
      <w:pPr>
        <w:spacing w:after="0" w:line="118"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Company also has voluntary defined contribution plans in various non-U.S. locations. The Company made contributions on behalf of employees totaling $20.6 million, $17.2 million and $16.2 million during fiscal 2014, 2013 and 2012, respectively. The Company also maintains a limited number of defined benefit plans for certain non-U.S. locations. Total costs under these plans were not significant.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9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As of February 1, 2014, the Company is authorized to issue 992.0 million shares of $0.002 par value common stock and 8.0 million shares of $0.002 par value preferred stock. As of February 1, 2014 and February 2, 2013, no shares of preferred stock were outstanding.</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from time to time, had 383.4 million common shares reserved for issuance thereunder as of February 1, 2014. Options granted under the Option Plan generally have a term of 10 years and generally must be issued at prices equal to the fair market value of the stock on the date of grant. Incentive stock options granted to shareholders who own greater than 10% of the outstanding stock at the time of the grant may not have a term exceeding five years and these options must be issued at prices of at least 110% of the fair market value of the stock on the date of grant.</w:t>
      </w:r>
    </w:p>
    <w:p>
      <w:pPr>
        <w:spacing w:after="0" w:line="143"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In addition, the Company can also grant stock awards, which may be subject to vesting. Further, the Company can grant restricted stock unit awards. Restricted stock unit awards are denominated in shares of stock, but may be settled in cash or shares upon vesting, as determined by the Company at the time of grant.</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400"/>
          </w:cols>
          <w:pgMar w:left="240" w:top="459" w:right="2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Equity awards to new hires under the Option Plan generally vest 20% one year after the vesting commencement date and the remaining shares vest one-sixtieth per month over the remaining 48 months. Other equity awards generally vest annually in four equal installments.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February 1, 2014, approximately 95.2 million shares remained available for future issuance under the Option Plan.</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and had a term of 10 years. The 1997 Directors’ Plan was terminated in October 2007. There are two outstanding grants remaining under the 1997 Directors’ Plan.</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2007 Directors’ Stock Incentive Plan</w:t>
      </w:r>
    </w:p>
    <w:p>
      <w:pPr>
        <w:spacing w:after="0" w:line="9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In October 2007, the Company adopted the 2007 Directors’ Stock Incentive Plan, for which shareholders approved a total of 750,000 common shares that could be issued under the plan to all eligible outside directors. Each outside director was granted an option to purchase 50,000 common shares upon his or her initial appointment to the Company’s Board of Directors. These options, which have a term of 10 years, vested one-third of the total shares on the one-year anniversary of the date of grant and one-third of the total shares on each one-year anniversary thereafter. From time to time, the Board has the authority to approve the amendment and restatement of the plan to revise the size of automatic annual awards granted under the plan.</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fiscal 2012, each outside director who had been serving on the Company’s Board of Directors for the prior six months and was re-elected by the shareholders at the annual general meeting was granted an option to purchase 9,000 common shares. These options, which have a term of 10 years, vested 100% on the earlier of the date of the next annual general meeting of shareholders or the one-year anniversary of the date of grant. In addition, each outside director was also granted a restricted stock unit (“RSU”) award for a number of shares with an aggregate fair market value equal to $70,000 immediately following the annual general meeting of shareholders. These RSU awards vested 100% on the earlier of the date of the next annual general meeting of shareholders or the one-year anniversary of the date of grant.</w:t>
      </w:r>
    </w:p>
    <w:p>
      <w:pPr>
        <w:spacing w:after="0" w:line="12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In fiscal 2013 and 2014, each outside director who was appointed at the annual general meeting of shareholders was granted an option to purchase a number of common shares with an aggregate grant date fair value equal to $110,000 immediately following the annual general meeting of shareholders. In addition, each outside director who was elected or appointed at the annual general meeting of shareholders was granted an RSU award for a number of shares with an aggregate fair market value equal to $110,000 immediately following each annual general meeting. The option awards, which have a term of 10 years, and the RSU awards vest 100% on the earlier of the date of the next annual general meeting of shareholders or the one-year anniversary of the date of grant. An outside director elected or appointed after an annual general meeting of shareholders would receive a pro rata stock option award and RSU award based on the number of quarters completed since the previous annual general meeting of shareholders. In no event would any outside director be awarded in any calendar year an annual option award or annual RSU award under the 2007 Director Plan for more than 25,000 shares and 10,000 shares, respectively.</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380"/>
          </w:cols>
          <w:pgMar w:left="240" w:top="459" w:right="27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Beginning in fiscal 2015, each outside director who is first elected or appointed at the annual general meeting of shareholders will be granted an RSU award for a number of shares with an aggregate fair market value equal to $220,000 immediately following each annual general meeting of shareholders. The RSU award vests as to 100% of the shares on the earlier of the date of the next annual general meeting of shareholders or the one-year anniversary of the date of grant. An outside director who is elected or appointed after an annual general meeting of shareholders will receive a pro rata RSU award based on the number of quarters completed since the prior annual general meeting of shareholders. In no event shall any outside director be awarded in any calendar year an annual RSU award under the 2007 Director Plan for more than 20,000 shares, respectively.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February 1, 2014, approximately 204,924 shares remained available for future issuance under the 2007 Directors’ Plan.</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Under the 2000 Employee Stock Purchase Plan, as amended and restated on October 31, 2011 (the “ESPP”), participants purchase the Company’s stock using payroll deductions, which may not exceed 15% of their total cash compensation. Pursuant to the terms of the current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shares on any purchase date is less than it was on the first day of the offering period. Participants in a 24-month offering period will be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118"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During fiscal 2014, a total of 9.7 million shares were issued under the ESPP at a weighted average price of $7.39. During fiscal 2013, a total of 7.6 million shares were issued under the ESPP at a weighted average price of $8.77. During fiscal 2012, a total of 4.9 million shares were issued under the ESPP at a weighted average price of $12.48.</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February 1, 2014, approximately 24.5 million shares remained available for future issuance under the ESPP.</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360"/>
          </w:cols>
          <w:pgMar w:left="240" w:top="459" w:right="29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Option Plan and Stock Award Activity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following table summarizes the activity under all of the option plans and other stock based arrangements (in thousands, except for per share amounts):</w:t>
      </w:r>
    </w:p>
    <w:p>
      <w:pPr>
        <w:spacing w:after="0" w:line="2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2720" w:type="dxa"/>
            <w:vAlign w:val="bottom"/>
            <w:gridSpan w:val="5"/>
          </w:tcPr>
          <w:p>
            <w:pPr>
              <w:ind w:left="540"/>
              <w:spacing w:after="0"/>
              <w:rPr>
                <w:sz w:val="20"/>
                <w:szCs w:val="20"/>
                <w:color w:val="auto"/>
              </w:rPr>
            </w:pPr>
            <w:r>
              <w:rPr>
                <w:rFonts w:ascii="Arial" w:cs="Arial" w:eastAsia="Arial" w:hAnsi="Arial"/>
                <w:sz w:val="14"/>
                <w:szCs w:val="14"/>
                <w:b w:val="1"/>
                <w:bCs w:val="1"/>
                <w:color w:val="auto"/>
              </w:rPr>
              <w:t>Time-Based Options</w:t>
            </w:r>
          </w:p>
        </w:tc>
        <w:tc>
          <w:tcPr>
            <w:tcW w:w="2720" w:type="dxa"/>
            <w:vAlign w:val="bottom"/>
            <w:gridSpan w:val="6"/>
          </w:tcPr>
          <w:p>
            <w:pPr>
              <w:ind w:left="460"/>
              <w:spacing w:after="0"/>
              <w:rPr>
                <w:sz w:val="20"/>
                <w:szCs w:val="20"/>
                <w:color w:val="auto"/>
              </w:rPr>
            </w:pPr>
            <w:r>
              <w:rPr>
                <w:rFonts w:ascii="Arial" w:cs="Arial" w:eastAsia="Arial" w:hAnsi="Arial"/>
                <w:sz w:val="14"/>
                <w:szCs w:val="14"/>
                <w:b w:val="1"/>
                <w:bCs w:val="1"/>
                <w:color w:val="auto"/>
              </w:rPr>
              <w:t>Market-Based Options</w:t>
            </w: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gridSpan w:val="2"/>
          </w:tcPr>
          <w:p>
            <w:pPr>
              <w:ind w:left="80"/>
              <w:spacing w:after="0"/>
              <w:rPr>
                <w:sz w:val="20"/>
                <w:szCs w:val="20"/>
                <w:color w:val="auto"/>
              </w:rPr>
            </w:pPr>
            <w:r>
              <w:rPr>
                <w:rFonts w:ascii="Arial" w:cs="Arial" w:eastAsia="Arial" w:hAnsi="Arial"/>
                <w:sz w:val="14"/>
                <w:szCs w:val="14"/>
                <w:b w:val="1"/>
                <w:bCs w:val="1"/>
                <w:color w:val="auto"/>
              </w:rPr>
              <w:t>Total</w:t>
            </w:r>
          </w:p>
        </w:tc>
        <w:tc>
          <w:tcPr>
            <w:tcW w:w="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4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tcPr>
          <w:p>
            <w:pPr>
              <w:jc w:val="center"/>
              <w:ind w:right="74"/>
              <w:spacing w:after="0" w:line="129" w:lineRule="exact"/>
              <w:rPr>
                <w:sz w:val="20"/>
                <w:szCs w:val="20"/>
                <w:color w:val="auto"/>
              </w:rPr>
            </w:pPr>
            <w:r>
              <w:rPr>
                <w:rFonts w:ascii="Arial" w:cs="Arial" w:eastAsia="Arial" w:hAnsi="Arial"/>
                <w:sz w:val="14"/>
                <w:szCs w:val="14"/>
                <w:b w:val="1"/>
                <w:bCs w:val="1"/>
                <w:color w:val="auto"/>
                <w:w w:val="88"/>
              </w:rPr>
              <w:t>Weighted</w:t>
            </w:r>
          </w:p>
        </w:tc>
        <w:tc>
          <w:tcPr>
            <w:tcW w:w="48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rPr>
              <w:t>Weighted</w:t>
            </w:r>
          </w:p>
        </w:tc>
        <w:tc>
          <w:tcPr>
            <w:tcW w:w="48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34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40" w:type="dxa"/>
            <w:vAlign w:val="bottom"/>
            <w:tcBorders>
              <w:top w:val="single" w:sz="8" w:color="auto"/>
            </w:tcBorders>
          </w:tcPr>
          <w:p>
            <w:pPr>
              <w:jc w:val="center"/>
              <w:ind w:right="54"/>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40" w:type="dxa"/>
            <w:vAlign w:val="bottom"/>
          </w:tcPr>
          <w:p>
            <w:pPr>
              <w:spacing w:after="0"/>
              <w:rPr>
                <w:sz w:val="12"/>
                <w:szCs w:val="12"/>
                <w:color w:val="auto"/>
              </w:rPr>
            </w:pPr>
          </w:p>
        </w:tc>
        <w:tc>
          <w:tcPr>
            <w:tcW w:w="1240" w:type="dxa"/>
            <w:vAlign w:val="bottom"/>
            <w:gridSpan w:val="2"/>
          </w:tcPr>
          <w:p>
            <w:pPr>
              <w:jc w:val="right"/>
              <w:ind w:right="640"/>
              <w:spacing w:after="0" w:line="149" w:lineRule="exact"/>
              <w:rPr>
                <w:sz w:val="20"/>
                <w:szCs w:val="20"/>
                <w:color w:val="auto"/>
              </w:rPr>
            </w:pPr>
            <w:r>
              <w:rPr>
                <w:rFonts w:ascii="Arial" w:cs="Arial" w:eastAsia="Arial" w:hAnsi="Arial"/>
                <w:sz w:val="14"/>
                <w:szCs w:val="14"/>
                <w:b w:val="1"/>
                <w:bCs w:val="1"/>
                <w:color w:val="auto"/>
              </w:rPr>
              <w:t>Options</w:t>
            </w: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Average Exercise</w:t>
            </w:r>
          </w:p>
        </w:tc>
        <w:tc>
          <w:tcPr>
            <w:tcW w:w="102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rPr>
              <w:t>Options</w:t>
            </w:r>
          </w:p>
        </w:tc>
        <w:tc>
          <w:tcPr>
            <w:tcW w:w="220" w:type="dxa"/>
            <w:vAlign w:val="bottom"/>
          </w:tcPr>
          <w:p>
            <w:pPr>
              <w:spacing w:after="0"/>
              <w:rPr>
                <w:sz w:val="12"/>
                <w:szCs w:val="12"/>
                <w:color w:val="auto"/>
              </w:rPr>
            </w:pPr>
          </w:p>
        </w:tc>
        <w:tc>
          <w:tcPr>
            <w:tcW w:w="14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Average Exercise</w:t>
            </w:r>
          </w:p>
        </w:tc>
        <w:tc>
          <w:tcPr>
            <w:tcW w:w="88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Options</w:t>
            </w:r>
          </w:p>
        </w:tc>
        <w:tc>
          <w:tcPr>
            <w:tcW w:w="340" w:type="dxa"/>
            <w:vAlign w:val="bottom"/>
          </w:tcPr>
          <w:p>
            <w:pPr>
              <w:spacing w:after="0"/>
              <w:rPr>
                <w:sz w:val="12"/>
                <w:szCs w:val="12"/>
                <w:color w:val="auto"/>
              </w:rPr>
            </w:pPr>
          </w:p>
        </w:tc>
        <w:tc>
          <w:tcPr>
            <w:tcW w:w="110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w w:val="90"/>
              </w:rPr>
              <w:t>Average 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124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7"/>
              </w:rPr>
              <w:t>Outstanding</w:t>
            </w:r>
          </w:p>
        </w:tc>
        <w:tc>
          <w:tcPr>
            <w:tcW w:w="160" w:type="dxa"/>
            <w:vAlign w:val="bottom"/>
          </w:tcPr>
          <w:p>
            <w:pPr>
              <w:spacing w:after="0"/>
              <w:rPr>
                <w:sz w:val="14"/>
                <w:szCs w:val="14"/>
                <w:color w:val="auto"/>
              </w:rPr>
            </w:pPr>
          </w:p>
        </w:tc>
        <w:tc>
          <w:tcPr>
            <w:tcW w:w="132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87"/>
              </w:rPr>
              <w:t>Price</w:t>
            </w:r>
          </w:p>
        </w:tc>
        <w:tc>
          <w:tcPr>
            <w:tcW w:w="10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4"/>
              </w:rPr>
              <w:t>Outstanding</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340" w:type="dxa"/>
            <w:vAlign w:val="bottom"/>
            <w:gridSpan w:val="2"/>
          </w:tcPr>
          <w:p>
            <w:pPr>
              <w:ind w:left="200"/>
              <w:spacing w:after="0"/>
              <w:rPr>
                <w:sz w:val="20"/>
                <w:szCs w:val="20"/>
                <w:color w:val="auto"/>
              </w:rPr>
            </w:pPr>
            <w:r>
              <w:rPr>
                <w:rFonts w:ascii="Arial" w:cs="Arial" w:eastAsia="Arial" w:hAnsi="Arial"/>
                <w:sz w:val="14"/>
                <w:szCs w:val="14"/>
                <w:b w:val="1"/>
                <w:bCs w:val="1"/>
                <w:color w:val="auto"/>
              </w:rPr>
              <w:t>Price</w:t>
            </w:r>
          </w:p>
        </w:tc>
        <w:tc>
          <w:tcPr>
            <w:tcW w:w="88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w w:val="84"/>
              </w:rPr>
              <w:t>Outstanding</w:t>
            </w:r>
          </w:p>
        </w:tc>
        <w:tc>
          <w:tcPr>
            <w:tcW w:w="3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6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29, 2011</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56,325</w:t>
            </w:r>
          </w:p>
        </w:tc>
        <w:tc>
          <w:tcPr>
            <w:tcW w:w="5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11.96</w:t>
            </w:r>
          </w:p>
        </w:tc>
        <w:tc>
          <w:tcPr>
            <w:tcW w:w="48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56,325</w:t>
            </w:r>
          </w:p>
        </w:tc>
        <w:tc>
          <w:tcPr>
            <w:tcW w:w="16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tcPr>
          <w:p>
            <w:pPr>
              <w:ind w:left="420"/>
              <w:spacing w:after="0"/>
              <w:rPr>
                <w:sz w:val="20"/>
                <w:szCs w:val="20"/>
                <w:color w:val="auto"/>
              </w:rPr>
            </w:pPr>
            <w:r>
              <w:rPr>
                <w:rFonts w:ascii="Arial" w:cs="Arial" w:eastAsia="Arial" w:hAnsi="Arial"/>
                <w:sz w:val="18"/>
                <w:szCs w:val="18"/>
                <w:color w:val="auto"/>
              </w:rPr>
              <w:t>Granted</w:t>
            </w:r>
          </w:p>
        </w:tc>
        <w:tc>
          <w:tcPr>
            <w:tcW w:w="740" w:type="dxa"/>
            <w:vAlign w:val="bottom"/>
          </w:tcPr>
          <w:p>
            <w:pPr>
              <w:jc w:val="right"/>
              <w:spacing w:after="0"/>
              <w:rPr>
                <w:sz w:val="20"/>
                <w:szCs w:val="20"/>
                <w:color w:val="auto"/>
              </w:rPr>
            </w:pPr>
            <w:r>
              <w:rPr>
                <w:rFonts w:ascii="Arial" w:cs="Arial" w:eastAsia="Arial" w:hAnsi="Arial"/>
                <w:sz w:val="18"/>
                <w:szCs w:val="18"/>
                <w:color w:val="auto"/>
              </w:rPr>
              <w:t>3,477</w:t>
            </w:r>
          </w:p>
        </w:tc>
        <w:tc>
          <w:tcPr>
            <w:tcW w:w="50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15.31</w:t>
            </w:r>
          </w:p>
        </w:tc>
        <w:tc>
          <w:tcPr>
            <w:tcW w:w="1020" w:type="dxa"/>
            <w:vAlign w:val="bottom"/>
            <w:gridSpan w:val="2"/>
          </w:tcPr>
          <w:p>
            <w:pPr>
              <w:jc w:val="right"/>
              <w:ind w:right="280"/>
              <w:spacing w:after="0"/>
              <w:rPr>
                <w:sz w:val="20"/>
                <w:szCs w:val="20"/>
                <w:color w:val="auto"/>
              </w:rPr>
            </w:pPr>
            <w:r>
              <w:rPr>
                <w:rFonts w:ascii="Arial" w:cs="Arial" w:eastAsia="Arial" w:hAnsi="Arial"/>
                <w:sz w:val="18"/>
                <w:szCs w:val="18"/>
                <w:color w:val="auto"/>
              </w:rPr>
              <w:t>3,149</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60" w:type="dxa"/>
            <w:vAlign w:val="bottom"/>
          </w:tcPr>
          <w:p>
            <w:pPr>
              <w:ind w:left="460"/>
              <w:spacing w:after="0"/>
              <w:rPr>
                <w:sz w:val="20"/>
                <w:szCs w:val="20"/>
                <w:color w:val="auto"/>
              </w:rPr>
            </w:pPr>
            <w:r>
              <w:rPr>
                <w:rFonts w:ascii="Arial" w:cs="Arial" w:eastAsia="Arial" w:hAnsi="Arial"/>
                <w:sz w:val="18"/>
                <w:szCs w:val="18"/>
                <w:color w:val="auto"/>
                <w:w w:val="84"/>
              </w:rPr>
              <w:t>15.43</w:t>
            </w:r>
          </w:p>
        </w:tc>
        <w:tc>
          <w:tcPr>
            <w:tcW w:w="4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6,626</w:t>
            </w:r>
          </w:p>
        </w:tc>
        <w:tc>
          <w:tcPr>
            <w:tcW w:w="5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15.37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12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(5,681)</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7.95</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(5,681)</w:t>
            </w:r>
          </w:p>
        </w:tc>
        <w:tc>
          <w:tcPr>
            <w:tcW w:w="5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240" w:type="dxa"/>
            <w:vAlign w:val="bottom"/>
            <w:gridSpan w:val="2"/>
          </w:tcPr>
          <w:p>
            <w:pPr>
              <w:jc w:val="right"/>
              <w:ind w:right="440"/>
              <w:spacing w:after="0"/>
              <w:rPr>
                <w:sz w:val="20"/>
                <w:szCs w:val="20"/>
                <w:color w:val="auto"/>
              </w:rPr>
            </w:pPr>
            <w:r>
              <w:rPr>
                <w:rFonts w:ascii="Arial" w:cs="Arial" w:eastAsia="Arial" w:hAnsi="Arial"/>
                <w:sz w:val="18"/>
                <w:szCs w:val="18"/>
                <w:color w:val="auto"/>
              </w:rPr>
              <w:t>(1,654)</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14.57</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(25)</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60" w:type="dxa"/>
            <w:vAlign w:val="bottom"/>
          </w:tcPr>
          <w:p>
            <w:pPr>
              <w:ind w:left="460"/>
              <w:spacing w:after="0"/>
              <w:rPr>
                <w:sz w:val="20"/>
                <w:szCs w:val="20"/>
                <w:color w:val="auto"/>
              </w:rPr>
            </w:pPr>
            <w:r>
              <w:rPr>
                <w:rFonts w:ascii="Arial" w:cs="Arial" w:eastAsia="Arial" w:hAnsi="Arial"/>
                <w:sz w:val="18"/>
                <w:szCs w:val="18"/>
                <w:color w:val="auto"/>
                <w:w w:val="84"/>
              </w:rPr>
              <w:t>15.43</w:t>
            </w:r>
          </w:p>
        </w:tc>
        <w:tc>
          <w:tcPr>
            <w:tcW w:w="48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(1,679)</w:t>
            </w:r>
          </w:p>
        </w:tc>
        <w:tc>
          <w:tcPr>
            <w:tcW w:w="5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14.58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740" w:type="dxa"/>
            <w:vAlign w:val="bottom"/>
            <w:tcBorders>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660" w:type="dxa"/>
            <w:vAlign w:val="bottom"/>
            <w:gridSpan w:val="2"/>
          </w:tcPr>
          <w:p>
            <w:pPr>
              <w:spacing w:after="0"/>
              <w:rPr>
                <w:sz w:val="20"/>
                <w:szCs w:val="20"/>
                <w:color w:val="auto"/>
              </w:rPr>
            </w:pPr>
            <w:r>
              <w:rPr>
                <w:rFonts w:ascii="Arial" w:cs="Arial" w:eastAsia="Arial" w:hAnsi="Arial"/>
                <w:sz w:val="18"/>
                <w:szCs w:val="18"/>
                <w:color w:val="auto"/>
              </w:rPr>
              <w:t>Balance at January 28, 2012</w:t>
            </w:r>
          </w:p>
        </w:tc>
        <w:tc>
          <w:tcPr>
            <w:tcW w:w="740" w:type="dxa"/>
            <w:vAlign w:val="bottom"/>
          </w:tcPr>
          <w:p>
            <w:pPr>
              <w:jc w:val="right"/>
              <w:spacing w:after="0"/>
              <w:rPr>
                <w:sz w:val="20"/>
                <w:szCs w:val="20"/>
                <w:color w:val="auto"/>
              </w:rPr>
            </w:pPr>
            <w:r>
              <w:rPr>
                <w:rFonts w:ascii="Arial" w:cs="Arial" w:eastAsia="Arial" w:hAnsi="Arial"/>
                <w:sz w:val="18"/>
                <w:szCs w:val="18"/>
                <w:color w:val="auto"/>
              </w:rPr>
              <w:t>52,467</w:t>
            </w:r>
          </w:p>
        </w:tc>
        <w:tc>
          <w:tcPr>
            <w:tcW w:w="50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12.53</w:t>
            </w:r>
          </w:p>
        </w:tc>
        <w:tc>
          <w:tcPr>
            <w:tcW w:w="1020" w:type="dxa"/>
            <w:vAlign w:val="bottom"/>
            <w:gridSpan w:val="2"/>
          </w:tcPr>
          <w:p>
            <w:pPr>
              <w:jc w:val="right"/>
              <w:ind w:right="280"/>
              <w:spacing w:after="0"/>
              <w:rPr>
                <w:sz w:val="20"/>
                <w:szCs w:val="20"/>
                <w:color w:val="auto"/>
              </w:rPr>
            </w:pPr>
            <w:r>
              <w:rPr>
                <w:rFonts w:ascii="Arial" w:cs="Arial" w:eastAsia="Arial" w:hAnsi="Arial"/>
                <w:sz w:val="18"/>
                <w:szCs w:val="18"/>
                <w:color w:val="auto"/>
              </w:rPr>
              <w:t>3,124</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60" w:type="dxa"/>
            <w:vAlign w:val="bottom"/>
          </w:tcPr>
          <w:p>
            <w:pPr>
              <w:ind w:left="460"/>
              <w:spacing w:after="0"/>
              <w:rPr>
                <w:sz w:val="20"/>
                <w:szCs w:val="20"/>
                <w:color w:val="auto"/>
              </w:rPr>
            </w:pPr>
            <w:r>
              <w:rPr>
                <w:rFonts w:ascii="Arial" w:cs="Arial" w:eastAsia="Arial" w:hAnsi="Arial"/>
                <w:sz w:val="18"/>
                <w:szCs w:val="18"/>
                <w:color w:val="auto"/>
                <w:w w:val="84"/>
              </w:rPr>
              <w:t>15.43</w:t>
            </w:r>
          </w:p>
        </w:tc>
        <w:tc>
          <w:tcPr>
            <w:tcW w:w="48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55,591</w:t>
            </w:r>
          </w:p>
        </w:tc>
        <w:tc>
          <w:tcPr>
            <w:tcW w:w="5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12.70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3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Granted</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7,041</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14.59</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7,041</w:t>
            </w:r>
          </w:p>
        </w:tc>
        <w:tc>
          <w:tcPr>
            <w:tcW w:w="5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tcPr>
          <w:p>
            <w:pPr>
              <w:ind w:left="420"/>
              <w:spacing w:after="0"/>
              <w:rPr>
                <w:sz w:val="20"/>
                <w:szCs w:val="20"/>
                <w:color w:val="auto"/>
              </w:rPr>
            </w:pPr>
            <w:r>
              <w:rPr>
                <w:rFonts w:ascii="Arial" w:cs="Arial" w:eastAsia="Arial" w:hAnsi="Arial"/>
                <w:sz w:val="18"/>
                <w:szCs w:val="18"/>
                <w:color w:val="auto"/>
              </w:rPr>
              <w:t>Exercised</w:t>
            </w:r>
          </w:p>
        </w:tc>
        <w:tc>
          <w:tcPr>
            <w:tcW w:w="1240" w:type="dxa"/>
            <w:vAlign w:val="bottom"/>
            <w:gridSpan w:val="2"/>
          </w:tcPr>
          <w:p>
            <w:pPr>
              <w:jc w:val="right"/>
              <w:ind w:right="440"/>
              <w:spacing w:after="0"/>
              <w:rPr>
                <w:sz w:val="20"/>
                <w:szCs w:val="20"/>
                <w:color w:val="auto"/>
              </w:rPr>
            </w:pPr>
            <w:r>
              <w:rPr>
                <w:rFonts w:ascii="Arial" w:cs="Arial" w:eastAsia="Arial" w:hAnsi="Arial"/>
                <w:sz w:val="18"/>
                <w:szCs w:val="18"/>
                <w:color w:val="auto"/>
              </w:rPr>
              <w:t>(5,977)</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6.44</w:t>
            </w: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(5,977)</w:t>
            </w:r>
          </w:p>
        </w:tc>
        <w:tc>
          <w:tcPr>
            <w:tcW w:w="5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6.44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12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(3,894)</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16.10</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(365)</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ind w:left="460"/>
              <w:spacing w:after="0"/>
              <w:rPr>
                <w:sz w:val="20"/>
                <w:szCs w:val="20"/>
                <w:color w:val="auto"/>
              </w:rPr>
            </w:pPr>
            <w:r>
              <w:rPr>
                <w:rFonts w:ascii="Arial" w:cs="Arial" w:eastAsia="Arial" w:hAnsi="Arial"/>
                <w:sz w:val="18"/>
                <w:szCs w:val="18"/>
                <w:color w:val="auto"/>
                <w:w w:val="84"/>
              </w:rPr>
              <w:t>15.43</w:t>
            </w:r>
          </w:p>
        </w:tc>
        <w:tc>
          <w:tcPr>
            <w:tcW w:w="4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(4,259)</w:t>
            </w:r>
          </w:p>
        </w:tc>
        <w:tc>
          <w:tcPr>
            <w:tcW w:w="5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640" w:type="dxa"/>
            <w:vAlign w:val="bottom"/>
          </w:tcPr>
          <w:p>
            <w:pPr>
              <w:ind w:left="420"/>
              <w:spacing w:after="0"/>
              <w:rPr>
                <w:sz w:val="20"/>
                <w:szCs w:val="20"/>
                <w:color w:val="auto"/>
              </w:rPr>
            </w:pPr>
            <w:r>
              <w:rPr>
                <w:rFonts w:ascii="Arial" w:cs="Arial" w:eastAsia="Arial" w:hAnsi="Arial"/>
                <w:sz w:val="18"/>
                <w:szCs w:val="18"/>
                <w:color w:val="auto"/>
              </w:rPr>
              <w:t>Expired</w:t>
            </w:r>
          </w:p>
        </w:tc>
        <w:tc>
          <w:tcPr>
            <w:tcW w:w="740" w:type="dxa"/>
            <w:vAlign w:val="bottom"/>
            <w:tcBorders>
              <w:bottom w:val="single" w:sz="8" w:color="auto"/>
            </w:tcBorders>
          </w:tcPr>
          <w:p>
            <w:pPr>
              <w:jc w:val="right"/>
              <w:ind w:right="15"/>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32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auto"/>
            </w:tcBorders>
          </w:tcPr>
          <w:p>
            <w:pPr>
              <w:jc w:val="right"/>
              <w:ind w:right="15"/>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3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49,637</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13.28</w:t>
            </w: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2,759</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ind w:left="460"/>
              <w:spacing w:after="0"/>
              <w:rPr>
                <w:sz w:val="20"/>
                <w:szCs w:val="20"/>
                <w:color w:val="auto"/>
              </w:rPr>
            </w:pPr>
            <w:r>
              <w:rPr>
                <w:rFonts w:ascii="Arial" w:cs="Arial" w:eastAsia="Arial" w:hAnsi="Arial"/>
                <w:sz w:val="18"/>
                <w:szCs w:val="18"/>
                <w:color w:val="auto"/>
                <w:w w:val="84"/>
              </w:rPr>
              <w:t>15.43</w:t>
            </w:r>
          </w:p>
        </w:tc>
        <w:tc>
          <w:tcPr>
            <w:tcW w:w="4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52,396</w:t>
            </w:r>
          </w:p>
        </w:tc>
        <w:tc>
          <w:tcPr>
            <w:tcW w:w="5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tcPr>
          <w:p>
            <w:pPr>
              <w:ind w:left="420"/>
              <w:spacing w:after="0"/>
              <w:rPr>
                <w:sz w:val="20"/>
                <w:szCs w:val="20"/>
                <w:color w:val="auto"/>
              </w:rPr>
            </w:pPr>
            <w:r>
              <w:rPr>
                <w:rFonts w:ascii="Arial" w:cs="Arial" w:eastAsia="Arial" w:hAnsi="Arial"/>
                <w:sz w:val="18"/>
                <w:szCs w:val="18"/>
                <w:color w:val="auto"/>
              </w:rPr>
              <w:t>Granted</w:t>
            </w:r>
          </w:p>
        </w:tc>
        <w:tc>
          <w:tcPr>
            <w:tcW w:w="740" w:type="dxa"/>
            <w:vAlign w:val="bottom"/>
          </w:tcPr>
          <w:p>
            <w:pPr>
              <w:jc w:val="right"/>
              <w:spacing w:after="0"/>
              <w:rPr>
                <w:sz w:val="20"/>
                <w:szCs w:val="20"/>
                <w:color w:val="auto"/>
              </w:rPr>
            </w:pPr>
            <w:r>
              <w:rPr>
                <w:rFonts w:ascii="Arial" w:cs="Arial" w:eastAsia="Arial" w:hAnsi="Arial"/>
                <w:sz w:val="18"/>
                <w:szCs w:val="18"/>
                <w:color w:val="auto"/>
              </w:rPr>
              <w:t>18,922</w:t>
            </w:r>
          </w:p>
        </w:tc>
        <w:tc>
          <w:tcPr>
            <w:tcW w:w="50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10.82</w:t>
            </w: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40" w:type="dxa"/>
            <w:vAlign w:val="bottom"/>
            <w:gridSpan w:val="2"/>
          </w:tcPr>
          <w:p>
            <w:pPr>
              <w:ind w:left="58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18,922</w:t>
            </w:r>
          </w:p>
        </w:tc>
        <w:tc>
          <w:tcPr>
            <w:tcW w:w="5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10.82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12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(15,482)</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9.40</w:t>
            </w:r>
          </w:p>
        </w:tc>
        <w:tc>
          <w:tcPr>
            <w:tcW w:w="10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(15,482)</w:t>
            </w:r>
          </w:p>
        </w:tc>
        <w:tc>
          <w:tcPr>
            <w:tcW w:w="5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240" w:type="dxa"/>
            <w:vAlign w:val="bottom"/>
            <w:gridSpan w:val="2"/>
          </w:tcPr>
          <w:p>
            <w:pPr>
              <w:jc w:val="right"/>
              <w:ind w:right="440"/>
              <w:spacing w:after="0"/>
              <w:rPr>
                <w:sz w:val="20"/>
                <w:szCs w:val="20"/>
                <w:color w:val="auto"/>
              </w:rPr>
            </w:pPr>
            <w:r>
              <w:rPr>
                <w:rFonts w:ascii="Arial" w:cs="Arial" w:eastAsia="Arial" w:hAnsi="Arial"/>
                <w:sz w:val="18"/>
                <w:szCs w:val="18"/>
                <w:color w:val="auto"/>
              </w:rPr>
              <w:t>(3,921)</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15.15</w:t>
            </w: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(136)</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60" w:type="dxa"/>
            <w:vAlign w:val="bottom"/>
          </w:tcPr>
          <w:p>
            <w:pPr>
              <w:ind w:left="460"/>
              <w:spacing w:after="0"/>
              <w:rPr>
                <w:sz w:val="20"/>
                <w:szCs w:val="20"/>
                <w:color w:val="auto"/>
              </w:rPr>
            </w:pPr>
            <w:r>
              <w:rPr>
                <w:rFonts w:ascii="Arial" w:cs="Arial" w:eastAsia="Arial" w:hAnsi="Arial"/>
                <w:sz w:val="18"/>
                <w:szCs w:val="18"/>
                <w:color w:val="auto"/>
                <w:w w:val="84"/>
              </w:rPr>
              <w:t>15.43</w:t>
            </w:r>
          </w:p>
        </w:tc>
        <w:tc>
          <w:tcPr>
            <w:tcW w:w="48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(4,057)</w:t>
            </w:r>
          </w:p>
        </w:tc>
        <w:tc>
          <w:tcPr>
            <w:tcW w:w="5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15.16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740" w:type="dxa"/>
            <w:vAlign w:val="bottom"/>
            <w:tcBorders>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3660" w:type="dxa"/>
            <w:vAlign w:val="bottom"/>
            <w:gridSpan w:val="2"/>
          </w:tcPr>
          <w:p>
            <w:pPr>
              <w:spacing w:after="0"/>
              <w:rPr>
                <w:sz w:val="20"/>
                <w:szCs w:val="20"/>
                <w:color w:val="auto"/>
              </w:rPr>
            </w:pPr>
            <w:r>
              <w:rPr>
                <w:rFonts w:ascii="Arial" w:cs="Arial" w:eastAsia="Arial" w:hAnsi="Arial"/>
                <w:sz w:val="18"/>
                <w:szCs w:val="18"/>
                <w:color w:val="auto"/>
              </w:rPr>
              <w:t>Balance at February 1, 2014</w:t>
            </w:r>
          </w:p>
        </w:tc>
        <w:tc>
          <w:tcPr>
            <w:tcW w:w="740" w:type="dxa"/>
            <w:vAlign w:val="bottom"/>
          </w:tcPr>
          <w:p>
            <w:pPr>
              <w:jc w:val="right"/>
              <w:spacing w:after="0"/>
              <w:rPr>
                <w:sz w:val="20"/>
                <w:szCs w:val="20"/>
                <w:color w:val="auto"/>
              </w:rPr>
            </w:pPr>
            <w:r>
              <w:rPr>
                <w:rFonts w:ascii="Arial" w:cs="Arial" w:eastAsia="Arial" w:hAnsi="Arial"/>
                <w:sz w:val="18"/>
                <w:szCs w:val="18"/>
                <w:color w:val="auto"/>
              </w:rPr>
              <w:t>49,156</w:t>
            </w:r>
          </w:p>
        </w:tc>
        <w:tc>
          <w:tcPr>
            <w:tcW w:w="50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320" w:type="dxa"/>
            <w:vAlign w:val="bottom"/>
            <w:gridSpan w:val="2"/>
          </w:tcPr>
          <w:p>
            <w:pPr>
              <w:jc w:val="right"/>
              <w:ind w:right="480"/>
              <w:spacing w:after="0"/>
              <w:rPr>
                <w:sz w:val="20"/>
                <w:szCs w:val="20"/>
                <w:color w:val="auto"/>
              </w:rPr>
            </w:pPr>
            <w:r>
              <w:rPr>
                <w:rFonts w:ascii="Arial" w:cs="Arial" w:eastAsia="Arial" w:hAnsi="Arial"/>
                <w:sz w:val="18"/>
                <w:szCs w:val="18"/>
                <w:color w:val="auto"/>
              </w:rPr>
              <w:t>13.40</w:t>
            </w:r>
          </w:p>
        </w:tc>
        <w:tc>
          <w:tcPr>
            <w:tcW w:w="1020" w:type="dxa"/>
            <w:vAlign w:val="bottom"/>
            <w:gridSpan w:val="2"/>
          </w:tcPr>
          <w:p>
            <w:pPr>
              <w:jc w:val="right"/>
              <w:ind w:right="280"/>
              <w:spacing w:after="0"/>
              <w:rPr>
                <w:sz w:val="20"/>
                <w:szCs w:val="20"/>
                <w:color w:val="auto"/>
              </w:rPr>
            </w:pPr>
            <w:r>
              <w:rPr>
                <w:rFonts w:ascii="Arial" w:cs="Arial" w:eastAsia="Arial" w:hAnsi="Arial"/>
                <w:sz w:val="18"/>
                <w:szCs w:val="18"/>
                <w:color w:val="auto"/>
              </w:rPr>
              <w:t>2,623</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860" w:type="dxa"/>
            <w:vAlign w:val="bottom"/>
          </w:tcPr>
          <w:p>
            <w:pPr>
              <w:ind w:left="460"/>
              <w:spacing w:after="0"/>
              <w:rPr>
                <w:sz w:val="20"/>
                <w:szCs w:val="20"/>
                <w:color w:val="auto"/>
              </w:rPr>
            </w:pPr>
            <w:r>
              <w:rPr>
                <w:rFonts w:ascii="Arial" w:cs="Arial" w:eastAsia="Arial" w:hAnsi="Arial"/>
                <w:sz w:val="18"/>
                <w:szCs w:val="18"/>
                <w:color w:val="auto"/>
                <w:w w:val="84"/>
              </w:rPr>
              <w:t>15.43</w:t>
            </w:r>
          </w:p>
        </w:tc>
        <w:tc>
          <w:tcPr>
            <w:tcW w:w="48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51,779</w:t>
            </w:r>
          </w:p>
        </w:tc>
        <w:tc>
          <w:tcPr>
            <w:tcW w:w="5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13.51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3640" w:type="dxa"/>
            <w:vAlign w:val="bottom"/>
            <w:shd w:val="clear" w:color="auto" w:fill="CCEEFF"/>
          </w:tcPr>
          <w:p>
            <w:pPr>
              <w:spacing w:after="0"/>
              <w:rPr>
                <w:sz w:val="20"/>
                <w:szCs w:val="20"/>
                <w:color w:val="auto"/>
              </w:rPr>
            </w:pPr>
            <w:r>
              <w:rPr>
                <w:rFonts w:ascii="Arial" w:cs="Arial" w:eastAsia="Arial" w:hAnsi="Arial"/>
                <w:sz w:val="18"/>
                <w:szCs w:val="18"/>
                <w:color w:val="auto"/>
                <w:w w:val="96"/>
              </w:rPr>
              <w:t>Vested or expected to vest at February 1, 2014</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45,913</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13.55</w:t>
            </w:r>
          </w:p>
        </w:tc>
        <w:tc>
          <w:tcPr>
            <w:tcW w:w="7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660" w:type="dxa"/>
            <w:vAlign w:val="bottom"/>
            <w:gridSpan w:val="2"/>
            <w:vMerge w:val="restart"/>
          </w:tcPr>
          <w:p>
            <w:pPr>
              <w:spacing w:after="0"/>
              <w:rPr>
                <w:sz w:val="20"/>
                <w:szCs w:val="20"/>
                <w:color w:val="auto"/>
              </w:rPr>
            </w:pPr>
            <w:r>
              <w:rPr>
                <w:rFonts w:ascii="Arial" w:cs="Arial" w:eastAsia="Arial" w:hAnsi="Arial"/>
                <w:sz w:val="18"/>
                <w:szCs w:val="18"/>
                <w:color w:val="auto"/>
              </w:rPr>
              <w:t>Exercisable at February 1, 2014</w:t>
            </w:r>
          </w:p>
        </w:tc>
        <w:tc>
          <w:tcPr>
            <w:tcW w:w="74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vMerge w:val="restart"/>
          </w:tcPr>
          <w:p>
            <w:pPr>
              <w:spacing w:after="0"/>
              <w:rPr>
                <w:sz w:val="20"/>
                <w:szCs w:val="20"/>
                <w:color w:val="auto"/>
              </w:rPr>
            </w:pPr>
            <w:r>
              <w:rPr>
                <w:rFonts w:ascii="Arial" w:cs="Arial" w:eastAsia="Arial" w:hAnsi="Arial"/>
                <w:sz w:val="18"/>
                <w:szCs w:val="18"/>
                <w:color w:val="auto"/>
              </w:rPr>
              <w:t>$</w:t>
            </w:r>
          </w:p>
        </w:tc>
        <w:tc>
          <w:tcPr>
            <w:tcW w:w="1320" w:type="dxa"/>
            <w:vAlign w:val="bottom"/>
            <w:gridSpan w:val="2"/>
            <w:vMerge w:val="restart"/>
          </w:tcPr>
          <w:p>
            <w:pPr>
              <w:jc w:val="right"/>
              <w:ind w:right="480"/>
              <w:spacing w:after="0"/>
              <w:rPr>
                <w:sz w:val="20"/>
                <w:szCs w:val="20"/>
                <w:color w:val="auto"/>
              </w:rPr>
            </w:pPr>
            <w:r>
              <w:rPr>
                <w:rFonts w:ascii="Arial" w:cs="Arial" w:eastAsia="Arial" w:hAnsi="Arial"/>
                <w:sz w:val="18"/>
                <w:szCs w:val="18"/>
                <w:color w:val="auto"/>
              </w:rPr>
              <w:t>14.88</w:t>
            </w:r>
          </w:p>
        </w:tc>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3660" w:type="dxa"/>
            <w:vAlign w:val="bottom"/>
            <w:gridSpan w:val="2"/>
            <w:vMerge w:val="continue"/>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25,318</w:t>
            </w:r>
          </w:p>
        </w:tc>
        <w:tc>
          <w:tcPr>
            <w:tcW w:w="500" w:type="dxa"/>
            <w:vAlign w:val="bottom"/>
          </w:tcPr>
          <w:p>
            <w:pPr>
              <w:spacing w:after="0"/>
              <w:rPr>
                <w:sz w:val="18"/>
                <w:szCs w:val="18"/>
                <w:color w:val="auto"/>
              </w:rPr>
            </w:pPr>
          </w:p>
        </w:tc>
        <w:tc>
          <w:tcPr>
            <w:tcW w:w="160" w:type="dxa"/>
            <w:vAlign w:val="bottom"/>
            <w:vMerge w:val="continue"/>
          </w:tcPr>
          <w:p>
            <w:pPr>
              <w:spacing w:after="0"/>
              <w:rPr>
                <w:sz w:val="18"/>
                <w:szCs w:val="18"/>
                <w:color w:val="auto"/>
              </w:rPr>
            </w:pPr>
          </w:p>
        </w:tc>
        <w:tc>
          <w:tcPr>
            <w:tcW w:w="1320" w:type="dxa"/>
            <w:vAlign w:val="bottom"/>
            <w:gridSpan w:val="2"/>
            <w:vMerge w:val="continue"/>
          </w:tcPr>
          <w:p>
            <w:pPr>
              <w:spacing w:after="0"/>
              <w:rPr>
                <w:sz w:val="18"/>
                <w:szCs w:val="18"/>
                <w:color w:val="auto"/>
              </w:rPr>
            </w:pPr>
          </w:p>
        </w:tc>
        <w:tc>
          <w:tcPr>
            <w:tcW w:w="7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4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For time-based stock options vested and expected to vest at February 1, 2014, the aggregate intrinsic value was $128.3 million and the weighted average remaining contractual term was 6.2 years. For time-based stock options exercisable at February 1, 2014, the aggregate intrinsic value was $62.8 million and the weighted average remaining contractual term was 4 years. The aggregate intrinsic value of stock options exercised during fiscal 2014, 2013 and 2012 was $51.1 million, $33.6 million and $41.8 million, respectively. There was no aggregate intrinsic value for market-based stock options at February 1, 2014 and the weighted average remaining contractual term of market-based stock options vested and expected to reach the end of the vesting period at February 1, 2014 was 7.2 years. The Company’s closing stock price of $14.93 as reported on the NASDAQ Global Select Market as of January 31, 2014 was used to calculate the aggregate intrinsic value for all in-the-money options.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420"/>
          </w:cols>
          <w:pgMar w:left="240" w:top="459" w:right="2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As of February 1, 2014, the unamortized compensation expense for time-based stock options was $63.4 million and market-based stock options were fully amortized. The unamortized compensation expense for time-based options will be amortized on a straight-line basis and is expected to be recognized over a weighted average period of 2.8 years.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share prices):</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14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83"/>
              </w:rPr>
              <w:t>Weighted Average</w:t>
            </w:r>
          </w:p>
        </w:tc>
      </w:tr>
      <w:tr>
        <w:trPr>
          <w:trHeight w:val="149"/>
        </w:trPr>
        <w:tc>
          <w:tcPr>
            <w:tcW w:w="20" w:type="dxa"/>
            <w:vAlign w:val="bottom"/>
          </w:tcPr>
          <w:p>
            <w:pPr>
              <w:spacing w:after="0"/>
              <w:rPr>
                <w:sz w:val="12"/>
                <w:szCs w:val="12"/>
                <w:color w:val="auto"/>
              </w:rPr>
            </w:pPr>
          </w:p>
        </w:tc>
        <w:tc>
          <w:tcPr>
            <w:tcW w:w="7260" w:type="dxa"/>
            <w:vAlign w:val="bottom"/>
          </w:tcPr>
          <w:p>
            <w:pPr>
              <w:spacing w:after="0"/>
              <w:rPr>
                <w:sz w:val="12"/>
                <w:szCs w:val="12"/>
                <w:color w:val="auto"/>
              </w:rPr>
            </w:pPr>
          </w:p>
        </w:tc>
        <w:tc>
          <w:tcPr>
            <w:tcW w:w="1540" w:type="dxa"/>
            <w:vAlign w:val="bottom"/>
            <w:gridSpan w:val="2"/>
          </w:tcPr>
          <w:p>
            <w:pPr>
              <w:jc w:val="right"/>
              <w:ind w:right="580"/>
              <w:spacing w:after="0" w:line="149" w:lineRule="exact"/>
              <w:rPr>
                <w:sz w:val="20"/>
                <w:szCs w:val="20"/>
                <w:color w:val="auto"/>
              </w:rPr>
            </w:pPr>
            <w:r>
              <w:rPr>
                <w:rFonts w:ascii="Arial" w:cs="Arial" w:eastAsia="Arial" w:hAnsi="Arial"/>
                <w:sz w:val="14"/>
                <w:szCs w:val="14"/>
                <w:b w:val="1"/>
                <w:bCs w:val="1"/>
                <w:color w:val="auto"/>
                <w:w w:val="85"/>
              </w:rPr>
              <w:t>Restricted Stock</w:t>
            </w:r>
          </w:p>
        </w:tc>
        <w:tc>
          <w:tcPr>
            <w:tcW w:w="540" w:type="dxa"/>
            <w:vAlign w:val="bottom"/>
          </w:tcPr>
          <w:p>
            <w:pPr>
              <w:spacing w:after="0"/>
              <w:rPr>
                <w:sz w:val="12"/>
                <w:szCs w:val="12"/>
                <w:color w:val="auto"/>
              </w:rPr>
            </w:pPr>
          </w:p>
        </w:tc>
        <w:tc>
          <w:tcPr>
            <w:tcW w:w="1140" w:type="dxa"/>
            <w:vAlign w:val="bottom"/>
            <w:gridSpan w:val="3"/>
          </w:tcPr>
          <w:p>
            <w:pPr>
              <w:jc w:val="right"/>
              <w:ind w:right="160"/>
              <w:spacing w:after="0" w:line="149" w:lineRule="exact"/>
              <w:rPr>
                <w:sz w:val="20"/>
                <w:szCs w:val="20"/>
                <w:color w:val="auto"/>
              </w:rPr>
            </w:pPr>
            <w:r>
              <w:rPr>
                <w:rFonts w:ascii="Arial" w:cs="Arial" w:eastAsia="Arial" w:hAnsi="Arial"/>
                <w:sz w:val="14"/>
                <w:szCs w:val="14"/>
                <w:b w:val="1"/>
                <w:bCs w:val="1"/>
                <w:color w:val="auto"/>
                <w:w w:val="94"/>
              </w:rPr>
              <w:t>Grant Date Fair</w:t>
            </w:r>
          </w:p>
        </w:tc>
      </w:tr>
      <w:tr>
        <w:trPr>
          <w:trHeight w:val="161"/>
        </w:trPr>
        <w:tc>
          <w:tcPr>
            <w:tcW w:w="20" w:type="dxa"/>
            <w:vAlign w:val="bottom"/>
          </w:tcPr>
          <w:p>
            <w:pPr>
              <w:spacing w:after="0"/>
              <w:rPr>
                <w:sz w:val="14"/>
                <w:szCs w:val="14"/>
                <w:color w:val="auto"/>
              </w:rPr>
            </w:pPr>
          </w:p>
        </w:tc>
        <w:tc>
          <w:tcPr>
            <w:tcW w:w="7260" w:type="dxa"/>
            <w:vAlign w:val="bottom"/>
          </w:tcPr>
          <w:p>
            <w:pPr>
              <w:spacing w:after="0"/>
              <w:rPr>
                <w:sz w:val="14"/>
                <w:szCs w:val="14"/>
                <w:color w:val="auto"/>
              </w:rPr>
            </w:pPr>
          </w:p>
        </w:tc>
        <w:tc>
          <w:tcPr>
            <w:tcW w:w="154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w w:val="99"/>
              </w:rPr>
              <w:t>Outstanding</w:t>
            </w:r>
          </w:p>
        </w:tc>
        <w:tc>
          <w:tcPr>
            <w:tcW w:w="5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Value</w:t>
            </w:r>
          </w:p>
        </w:tc>
      </w:tr>
      <w:tr>
        <w:trPr>
          <w:trHeight w:val="210"/>
        </w:trPr>
        <w:tc>
          <w:tcPr>
            <w:tcW w:w="20" w:type="dxa"/>
            <w:vAlign w:val="bottom"/>
          </w:tcPr>
          <w:p>
            <w:pPr>
              <w:spacing w:after="0"/>
              <w:rPr>
                <w:sz w:val="18"/>
                <w:szCs w:val="18"/>
                <w:color w:val="auto"/>
              </w:rPr>
            </w:pPr>
          </w:p>
        </w:tc>
        <w:tc>
          <w:tcPr>
            <w:tcW w:w="72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29, 2011</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5,486</w:t>
            </w:r>
          </w:p>
        </w:tc>
        <w:tc>
          <w:tcPr>
            <w:tcW w:w="58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69"/>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18.75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Granted</w:t>
            </w:r>
          </w:p>
        </w:tc>
        <w:tc>
          <w:tcPr>
            <w:tcW w:w="960" w:type="dxa"/>
            <w:vAlign w:val="bottom"/>
          </w:tcPr>
          <w:p>
            <w:pPr>
              <w:jc w:val="right"/>
              <w:spacing w:after="0"/>
              <w:rPr>
                <w:sz w:val="20"/>
                <w:szCs w:val="20"/>
                <w:color w:val="auto"/>
              </w:rPr>
            </w:pPr>
            <w:r>
              <w:rPr>
                <w:rFonts w:ascii="Arial" w:cs="Arial" w:eastAsia="Arial" w:hAnsi="Arial"/>
                <w:sz w:val="18"/>
                <w:szCs w:val="18"/>
                <w:color w:val="auto"/>
              </w:rPr>
              <w:t>6,877</w:t>
            </w:r>
          </w:p>
        </w:tc>
        <w:tc>
          <w:tcPr>
            <w:tcW w:w="580" w:type="dxa"/>
            <w:vAlign w:val="bottom"/>
          </w:tcPr>
          <w:p>
            <w:pPr>
              <w:spacing w:after="0"/>
              <w:rPr>
                <w:sz w:val="18"/>
                <w:szCs w:val="18"/>
                <w:color w:val="auto"/>
              </w:rPr>
            </w:pPr>
          </w:p>
        </w:tc>
        <w:tc>
          <w:tcPr>
            <w:tcW w:w="760" w:type="dxa"/>
            <w:vAlign w:val="bottom"/>
            <w:gridSpan w:val="2"/>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15.80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54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(2,014)</w:t>
            </w:r>
          </w:p>
        </w:tc>
        <w:tc>
          <w:tcPr>
            <w:tcW w:w="760" w:type="dxa"/>
            <w:vAlign w:val="bottom"/>
            <w:gridSpan w:val="2"/>
            <w:shd w:val="clear" w:color="auto" w:fill="CCEEFF"/>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540" w:type="dxa"/>
            <w:vAlign w:val="bottom"/>
            <w:gridSpan w:val="2"/>
          </w:tcPr>
          <w:p>
            <w:pPr>
              <w:jc w:val="right"/>
              <w:ind w:right="520"/>
              <w:spacing w:after="0"/>
              <w:rPr>
                <w:sz w:val="20"/>
                <w:szCs w:val="20"/>
                <w:color w:val="auto"/>
              </w:rPr>
            </w:pPr>
            <w:r>
              <w:rPr>
                <w:rFonts w:ascii="Arial" w:cs="Arial" w:eastAsia="Arial" w:hAnsi="Arial"/>
                <w:sz w:val="18"/>
                <w:szCs w:val="18"/>
                <w:color w:val="auto"/>
              </w:rPr>
              <w:t>(703)</w:t>
            </w:r>
          </w:p>
        </w:tc>
        <w:tc>
          <w:tcPr>
            <w:tcW w:w="760" w:type="dxa"/>
            <w:vAlign w:val="bottom"/>
            <w:gridSpan w:val="2"/>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16.81</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2012</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9,646</w:t>
            </w:r>
          </w:p>
        </w:tc>
        <w:tc>
          <w:tcPr>
            <w:tcW w:w="5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Granted</w:t>
            </w:r>
          </w:p>
        </w:tc>
        <w:tc>
          <w:tcPr>
            <w:tcW w:w="960" w:type="dxa"/>
            <w:vAlign w:val="bottom"/>
          </w:tcPr>
          <w:p>
            <w:pPr>
              <w:jc w:val="right"/>
              <w:spacing w:after="0"/>
              <w:rPr>
                <w:sz w:val="20"/>
                <w:szCs w:val="20"/>
                <w:color w:val="auto"/>
              </w:rPr>
            </w:pPr>
            <w:r>
              <w:rPr>
                <w:rFonts w:ascii="Arial" w:cs="Arial" w:eastAsia="Arial" w:hAnsi="Arial"/>
                <w:sz w:val="18"/>
                <w:szCs w:val="18"/>
                <w:color w:val="auto"/>
              </w:rPr>
              <w:t>7,370</w:t>
            </w:r>
          </w:p>
        </w:tc>
        <w:tc>
          <w:tcPr>
            <w:tcW w:w="580" w:type="dxa"/>
            <w:vAlign w:val="bottom"/>
          </w:tcPr>
          <w:p>
            <w:pPr>
              <w:spacing w:after="0"/>
              <w:rPr>
                <w:sz w:val="18"/>
                <w:szCs w:val="18"/>
                <w:color w:val="auto"/>
              </w:rPr>
            </w:pPr>
          </w:p>
        </w:tc>
        <w:tc>
          <w:tcPr>
            <w:tcW w:w="760" w:type="dxa"/>
            <w:vAlign w:val="bottom"/>
            <w:gridSpan w:val="2"/>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14.64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54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(2,796)</w:t>
            </w:r>
          </w:p>
        </w:tc>
        <w:tc>
          <w:tcPr>
            <w:tcW w:w="760" w:type="dxa"/>
            <w:vAlign w:val="bottom"/>
            <w:gridSpan w:val="2"/>
            <w:shd w:val="clear" w:color="auto" w:fill="CCEEFF"/>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17.78</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540" w:type="dxa"/>
            <w:vAlign w:val="bottom"/>
            <w:gridSpan w:val="2"/>
          </w:tcPr>
          <w:p>
            <w:pPr>
              <w:jc w:val="right"/>
              <w:ind w:right="520"/>
              <w:spacing w:after="0"/>
              <w:rPr>
                <w:sz w:val="20"/>
                <w:szCs w:val="20"/>
                <w:color w:val="auto"/>
              </w:rPr>
            </w:pPr>
            <w:r>
              <w:rPr>
                <w:rFonts w:ascii="Arial" w:cs="Arial" w:eastAsia="Arial" w:hAnsi="Arial"/>
                <w:sz w:val="18"/>
                <w:szCs w:val="18"/>
                <w:color w:val="auto"/>
              </w:rPr>
              <w:t>(1,481)</w:t>
            </w:r>
          </w:p>
        </w:tc>
        <w:tc>
          <w:tcPr>
            <w:tcW w:w="760" w:type="dxa"/>
            <w:vAlign w:val="bottom"/>
            <w:gridSpan w:val="2"/>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17.16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12,739</w:t>
            </w:r>
          </w:p>
        </w:tc>
        <w:tc>
          <w:tcPr>
            <w:tcW w:w="5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Granted</w:t>
            </w:r>
          </w:p>
        </w:tc>
        <w:tc>
          <w:tcPr>
            <w:tcW w:w="960" w:type="dxa"/>
            <w:vAlign w:val="bottom"/>
          </w:tcPr>
          <w:p>
            <w:pPr>
              <w:jc w:val="right"/>
              <w:spacing w:after="0"/>
              <w:rPr>
                <w:sz w:val="20"/>
                <w:szCs w:val="20"/>
                <w:color w:val="auto"/>
              </w:rPr>
            </w:pPr>
            <w:r>
              <w:rPr>
                <w:rFonts w:ascii="Arial" w:cs="Arial" w:eastAsia="Arial" w:hAnsi="Arial"/>
                <w:sz w:val="18"/>
                <w:szCs w:val="18"/>
                <w:color w:val="auto"/>
              </w:rPr>
              <w:t>3,828</w:t>
            </w:r>
          </w:p>
        </w:tc>
        <w:tc>
          <w:tcPr>
            <w:tcW w:w="580" w:type="dxa"/>
            <w:vAlign w:val="bottom"/>
          </w:tcPr>
          <w:p>
            <w:pPr>
              <w:spacing w:after="0"/>
              <w:rPr>
                <w:sz w:val="18"/>
                <w:szCs w:val="18"/>
                <w:color w:val="auto"/>
              </w:rPr>
            </w:pPr>
          </w:p>
        </w:tc>
        <w:tc>
          <w:tcPr>
            <w:tcW w:w="760" w:type="dxa"/>
            <w:vAlign w:val="bottom"/>
            <w:gridSpan w:val="2"/>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10.78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54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(3,925)</w:t>
            </w:r>
          </w:p>
        </w:tc>
        <w:tc>
          <w:tcPr>
            <w:tcW w:w="760" w:type="dxa"/>
            <w:vAlign w:val="bottom"/>
            <w:gridSpan w:val="2"/>
            <w:shd w:val="clear" w:color="auto" w:fill="CCEEFF"/>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16.19</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72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540" w:type="dxa"/>
            <w:vAlign w:val="bottom"/>
            <w:gridSpan w:val="2"/>
          </w:tcPr>
          <w:p>
            <w:pPr>
              <w:jc w:val="right"/>
              <w:ind w:right="520"/>
              <w:spacing w:after="0"/>
              <w:rPr>
                <w:sz w:val="20"/>
                <w:szCs w:val="20"/>
                <w:color w:val="auto"/>
              </w:rPr>
            </w:pPr>
            <w:r>
              <w:rPr>
                <w:rFonts w:ascii="Arial" w:cs="Arial" w:eastAsia="Arial" w:hAnsi="Arial"/>
                <w:sz w:val="18"/>
                <w:szCs w:val="18"/>
                <w:color w:val="auto"/>
              </w:rPr>
              <w:t>(1,288)</w:t>
            </w:r>
          </w:p>
        </w:tc>
        <w:tc>
          <w:tcPr>
            <w:tcW w:w="760" w:type="dxa"/>
            <w:vAlign w:val="bottom"/>
            <w:gridSpan w:val="2"/>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14.39</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26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1, 2014</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11,354</w:t>
            </w:r>
          </w:p>
        </w:tc>
        <w:tc>
          <w:tcPr>
            <w:tcW w:w="5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9"/>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14.11</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726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February 1, 2014 was $157.7 million. The number of restricted stock units that are expected to vest is 10.6 million shares.</w:t>
      </w:r>
    </w:p>
    <w:p>
      <w:pPr>
        <w:spacing w:after="0" w:line="132"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As of February 1, 2014, unamortized compensation expense related to restricted stock units was $86.5 million. The unamortized compensation expense for restricted stock units will be amortized on a straight-line basis and is expected to be recognized over a weighted average period of 1.7 years.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Share-Based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gridSpan w:val="2"/>
          </w:tcPr>
          <w:p>
            <w:pPr>
              <w:ind w:left="20"/>
              <w:spacing w:after="0"/>
              <w:rPr>
                <w:sz w:val="20"/>
                <w:szCs w:val="20"/>
                <w:color w:val="auto"/>
              </w:rPr>
            </w:pPr>
            <w:r>
              <w:rPr>
                <w:rFonts w:ascii="Arial" w:cs="Arial" w:eastAsia="Arial" w:hAnsi="Arial"/>
                <w:sz w:val="14"/>
                <w:szCs w:val="14"/>
                <w:b w:val="1"/>
                <w:bCs w:val="1"/>
                <w:color w:val="auto"/>
                <w:w w:val="88"/>
              </w:rPr>
              <w:t>Year Ended</w:t>
            </w:r>
          </w:p>
        </w:tc>
        <w:tc>
          <w:tcPr>
            <w:tcW w:w="6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4020" w:type="dxa"/>
            <w:vAlign w:val="bottom"/>
          </w:tcPr>
          <w:p>
            <w:pPr>
              <w:spacing w:after="0"/>
              <w:rPr>
                <w:sz w:val="11"/>
                <w:szCs w:val="11"/>
                <w:color w:val="auto"/>
              </w:rPr>
            </w:pPr>
          </w:p>
        </w:tc>
        <w:tc>
          <w:tcPr>
            <w:tcW w:w="2100" w:type="dxa"/>
            <w:vAlign w:val="bottom"/>
          </w:tcPr>
          <w:p>
            <w:pPr>
              <w:spacing w:after="0"/>
              <w:rPr>
                <w:sz w:val="11"/>
                <w:szCs w:val="11"/>
                <w:color w:val="auto"/>
              </w:rPr>
            </w:pPr>
          </w:p>
        </w:tc>
        <w:tc>
          <w:tcPr>
            <w:tcW w:w="13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February 1,</w:t>
            </w: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90"/>
              </w:rPr>
              <w:t>February 2,</w:t>
            </w:r>
          </w:p>
        </w:tc>
        <w:tc>
          <w:tcPr>
            <w:tcW w:w="620" w:type="dxa"/>
            <w:vAlign w:val="bottom"/>
          </w:tcPr>
          <w:p>
            <w:pPr>
              <w:spacing w:after="0"/>
              <w:rPr>
                <w:sz w:val="11"/>
                <w:szCs w:val="11"/>
                <w:color w:val="auto"/>
              </w:rPr>
            </w:pPr>
          </w:p>
        </w:tc>
        <w:tc>
          <w:tcPr>
            <w:tcW w:w="7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January 28,</w:t>
            </w:r>
          </w:p>
        </w:tc>
        <w:tc>
          <w:tcPr>
            <w:tcW w:w="100" w:type="dxa"/>
            <w:vAlign w:val="bottom"/>
          </w:tcPr>
          <w:p>
            <w:pPr>
              <w:spacing w:after="0"/>
              <w:rPr>
                <w:sz w:val="11"/>
                <w:szCs w:val="11"/>
                <w:color w:val="auto"/>
              </w:rPr>
            </w:pPr>
          </w:p>
        </w:tc>
      </w:tr>
      <w:tr>
        <w:trPr>
          <w:trHeight w:val="161"/>
        </w:trPr>
        <w:tc>
          <w:tcPr>
            <w:tcW w:w="4020" w:type="dxa"/>
            <w:vAlign w:val="bottom"/>
            <w:tcBorders>
              <w:bottom w:val="single" w:sz="8" w:color="CCEEFF"/>
            </w:tcBorders>
          </w:tcPr>
          <w:p>
            <w:pPr>
              <w:spacing w:after="0"/>
              <w:rPr>
                <w:sz w:val="14"/>
                <w:szCs w:val="14"/>
                <w:color w:val="auto"/>
              </w:rPr>
            </w:pPr>
          </w:p>
        </w:tc>
        <w:tc>
          <w:tcPr>
            <w:tcW w:w="21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6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2013</w:t>
            </w:r>
          </w:p>
        </w:tc>
        <w:tc>
          <w:tcPr>
            <w:tcW w:w="6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r>
      <w:tr>
        <w:trPr>
          <w:trHeight w:val="210"/>
        </w:trPr>
        <w:tc>
          <w:tcPr>
            <w:tcW w:w="40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8,863</w:t>
            </w: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8,142</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6,995</w:t>
            </w:r>
          </w:p>
        </w:tc>
        <w:tc>
          <w:tcPr>
            <w:tcW w:w="100" w:type="dxa"/>
            <w:vAlign w:val="bottom"/>
            <w:shd w:val="clear" w:color="auto" w:fill="CCEEFF"/>
          </w:tcPr>
          <w:p>
            <w:pPr>
              <w:spacing w:after="0"/>
              <w:rPr>
                <w:sz w:val="18"/>
                <w:szCs w:val="18"/>
                <w:color w:val="auto"/>
              </w:rPr>
            </w:pPr>
          </w:p>
        </w:tc>
      </w:tr>
      <w:tr>
        <w:trPr>
          <w:trHeight w:val="216"/>
        </w:trPr>
        <w:tc>
          <w:tcPr>
            <w:tcW w:w="40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0" w:type="dxa"/>
            <w:vAlign w:val="bottom"/>
            <w:gridSpan w:val="2"/>
          </w:tcPr>
          <w:p>
            <w:pPr>
              <w:jc w:val="right"/>
              <w:ind w:right="620"/>
              <w:spacing w:after="0"/>
              <w:rPr>
                <w:sz w:val="20"/>
                <w:szCs w:val="20"/>
                <w:color w:val="auto"/>
              </w:rPr>
            </w:pPr>
            <w:r>
              <w:rPr>
                <w:rFonts w:ascii="Arial" w:cs="Arial" w:eastAsia="Arial" w:hAnsi="Arial"/>
                <w:sz w:val="18"/>
                <w:szCs w:val="18"/>
                <w:color w:val="auto"/>
                <w:w w:val="86"/>
              </w:rPr>
              <w:t>109,432</w:t>
            </w: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87,149</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85,924</w:t>
            </w: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13,940</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13,278</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12,920</w:t>
            </w:r>
          </w:p>
        </w:tc>
      </w:tr>
      <w:tr>
        <w:trPr>
          <w:trHeight w:val="216"/>
        </w:trPr>
        <w:tc>
          <w:tcPr>
            <w:tcW w:w="40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0" w:type="dxa"/>
            <w:vAlign w:val="bottom"/>
            <w:gridSpan w:val="2"/>
          </w:tcPr>
          <w:p>
            <w:pPr>
              <w:jc w:val="right"/>
              <w:ind w:right="620"/>
              <w:spacing w:after="0"/>
              <w:rPr>
                <w:sz w:val="20"/>
                <w:szCs w:val="20"/>
                <w:color w:val="auto"/>
              </w:rPr>
            </w:pPr>
            <w:r>
              <w:rPr>
                <w:rFonts w:ascii="Arial" w:cs="Arial" w:eastAsia="Arial" w:hAnsi="Arial"/>
                <w:sz w:val="18"/>
                <w:szCs w:val="18"/>
                <w:color w:val="auto"/>
              </w:rPr>
              <w:t>23,638</w:t>
            </w: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18,711</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14,024</w:t>
            </w:r>
          </w:p>
        </w:tc>
      </w:tr>
      <w:tr>
        <w:trPr>
          <w:trHeight w:val="27"/>
        </w:trPr>
        <w:tc>
          <w:tcPr>
            <w:tcW w:w="4020" w:type="dxa"/>
            <w:vAlign w:val="bottom"/>
          </w:tcPr>
          <w:p>
            <w:pPr>
              <w:spacing w:after="0"/>
              <w:rPr>
                <w:sz w:val="2"/>
                <w:szCs w:val="2"/>
                <w:color w:val="auto"/>
              </w:rPr>
            </w:pPr>
          </w:p>
        </w:tc>
        <w:tc>
          <w:tcPr>
            <w:tcW w:w="2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020" w:type="dxa"/>
            <w:vAlign w:val="bottom"/>
            <w:shd w:val="clear" w:color="auto" w:fill="CCEEFF"/>
          </w:tcPr>
          <w:p>
            <w:pPr>
              <w:spacing w:after="0"/>
              <w:rPr>
                <w:sz w:val="18"/>
                <w:szCs w:val="18"/>
                <w:color w:val="auto"/>
              </w:rPr>
            </w:pPr>
          </w:p>
        </w:tc>
        <w:tc>
          <w:tcPr>
            <w:tcW w:w="2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2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86"/>
              </w:rPr>
              <w:t>155,873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127,280</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119,863</w:t>
            </w:r>
          </w:p>
        </w:tc>
      </w:tr>
      <w:tr>
        <w:trPr>
          <w:trHeight w:val="20"/>
        </w:trPr>
        <w:tc>
          <w:tcPr>
            <w:tcW w:w="40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Share-based compensation capitalized in inventory was $1.7 million at February 1, 2014, $1.5 million at February 2, 2013, and $2.1 million at January 28,</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2012.</w:t>
      </w:r>
    </w:p>
    <w:p>
      <w:pPr>
        <w:spacing w:after="0" w:line="15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360"/>
          </w:cols>
          <w:pgMar w:left="240" w:top="459" w:right="29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expected volatility for awards granted during fiscal 2014, 2013, and 2012 was based on an equally weighted combination of historical stock price volatility and implied volatility derived from traded options on the Company’s stock in the marketplace. The Company believes that the combination of historical volatility and implied volatility provides a better estimate of future stock price volatility.</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expected dividend yield is calculated by dividing annualized dividend payments by the closing stock price on the date of grant of the option.</w:t>
      </w:r>
    </w:p>
    <w:p>
      <w:pPr>
        <w:spacing w:after="0" w:line="194"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equity award on the date of grant using the Black-Scholes option pricing model and of each market-based equity award using a Monte Carlo simulation model:</w:t>
      </w:r>
    </w:p>
    <w:p>
      <w:pPr>
        <w:spacing w:after="0" w:line="12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5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4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5340" w:type="dxa"/>
            <w:vAlign w:val="bottom"/>
          </w:tcPr>
          <w:p>
            <w:pPr>
              <w:spacing w:after="0"/>
              <w:rPr>
                <w:sz w:val="11"/>
                <w:szCs w:val="11"/>
                <w:color w:val="auto"/>
              </w:rPr>
            </w:pPr>
          </w:p>
        </w:tc>
        <w:tc>
          <w:tcPr>
            <w:tcW w:w="12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420" w:type="dxa"/>
            <w:vAlign w:val="bottom"/>
          </w:tcPr>
          <w:p>
            <w:pPr>
              <w:spacing w:after="0"/>
              <w:rPr>
                <w:sz w:val="11"/>
                <w:szCs w:val="11"/>
                <w:color w:val="auto"/>
              </w:rPr>
            </w:pPr>
          </w:p>
        </w:tc>
        <w:tc>
          <w:tcPr>
            <w:tcW w:w="12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4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28,</w:t>
            </w:r>
          </w:p>
        </w:tc>
        <w:tc>
          <w:tcPr>
            <w:tcW w:w="200" w:type="dxa"/>
            <w:vAlign w:val="bottom"/>
          </w:tcPr>
          <w:p>
            <w:pPr>
              <w:spacing w:after="0"/>
              <w:rPr>
                <w:sz w:val="11"/>
                <w:szCs w:val="11"/>
                <w:color w:val="auto"/>
              </w:rPr>
            </w:pPr>
          </w:p>
        </w:tc>
      </w:tr>
      <w:tr>
        <w:trPr>
          <w:trHeight w:val="161"/>
        </w:trPr>
        <w:tc>
          <w:tcPr>
            <w:tcW w:w="53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58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2013</w:t>
            </w:r>
          </w:p>
        </w:tc>
        <w:tc>
          <w:tcPr>
            <w:tcW w:w="58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r>
      <w:tr>
        <w:trPr>
          <w:trHeight w:val="196"/>
        </w:trPr>
        <w:tc>
          <w:tcPr>
            <w:tcW w:w="53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534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3.43</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5.52</w:t>
            </w:r>
          </w:p>
        </w:tc>
        <w:tc>
          <w:tcPr>
            <w:tcW w:w="500" w:type="dxa"/>
            <w:vAlign w:val="bottom"/>
            <w:gridSpan w:val="2"/>
          </w:tcPr>
          <w:p>
            <w:pPr>
              <w:ind w:left="420"/>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6.05</w:t>
            </w:r>
          </w:p>
        </w:tc>
        <w:tc>
          <w:tcPr>
            <w:tcW w:w="200" w:type="dxa"/>
            <w:vAlign w:val="bottom"/>
          </w:tcPr>
          <w:p>
            <w:pPr>
              <w:spacing w:after="0"/>
              <w:rPr>
                <w:sz w:val="18"/>
                <w:szCs w:val="18"/>
                <w:color w:val="auto"/>
              </w:rPr>
            </w:pPr>
          </w:p>
        </w:tc>
      </w:tr>
      <w:tr>
        <w:trPr>
          <w:trHeight w:val="216"/>
        </w:trPr>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45%</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44%</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w:t>
            </w:r>
          </w:p>
        </w:tc>
      </w:tr>
      <w:tr>
        <w:trPr>
          <w:trHeight w:val="216"/>
        </w:trPr>
        <w:tc>
          <w:tcPr>
            <w:tcW w:w="534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40" w:type="dxa"/>
            <w:vAlign w:val="bottom"/>
          </w:tcPr>
          <w:p>
            <w:pPr>
              <w:spacing w:after="0"/>
              <w:rPr>
                <w:sz w:val="18"/>
                <w:szCs w:val="18"/>
                <w:color w:val="auto"/>
              </w:rPr>
            </w:pP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5.0</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4.8</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r>
      <w:tr>
        <w:trPr>
          <w:trHeight w:val="216"/>
        </w:trPr>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0.8%</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0.9%</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w:t>
            </w:r>
          </w:p>
        </w:tc>
      </w:tr>
      <w:tr>
        <w:trPr>
          <w:trHeight w:val="222"/>
        </w:trPr>
        <w:tc>
          <w:tcPr>
            <w:tcW w:w="534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40" w:type="dxa"/>
            <w:vAlign w:val="bottom"/>
          </w:tcPr>
          <w:p>
            <w:pPr>
              <w:spacing w:after="0"/>
              <w:rPr>
                <w:sz w:val="19"/>
                <w:szCs w:val="19"/>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2.4%</w:t>
            </w:r>
          </w:p>
        </w:tc>
        <w:tc>
          <w:tcPr>
            <w:tcW w:w="4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0.3%</w:t>
            </w:r>
          </w:p>
        </w:tc>
        <w:tc>
          <w:tcPr>
            <w:tcW w:w="4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r>
      <w:tr>
        <w:trPr>
          <w:trHeight w:val="345"/>
        </w:trPr>
        <w:tc>
          <w:tcPr>
            <w:tcW w:w="534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4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r>
      <w:tr>
        <w:trPr>
          <w:trHeight w:val="129"/>
        </w:trPr>
        <w:tc>
          <w:tcPr>
            <w:tcW w:w="5340" w:type="dxa"/>
            <w:vAlign w:val="bottom"/>
          </w:tcPr>
          <w:p>
            <w:pPr>
              <w:spacing w:after="0"/>
              <w:rPr>
                <w:sz w:val="11"/>
                <w:szCs w:val="11"/>
                <w:color w:val="auto"/>
              </w:rPr>
            </w:pPr>
          </w:p>
        </w:tc>
        <w:tc>
          <w:tcPr>
            <w:tcW w:w="12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420" w:type="dxa"/>
            <w:vAlign w:val="bottom"/>
          </w:tcPr>
          <w:p>
            <w:pPr>
              <w:spacing w:after="0"/>
              <w:rPr>
                <w:sz w:val="11"/>
                <w:szCs w:val="11"/>
                <w:color w:val="auto"/>
              </w:rPr>
            </w:pPr>
          </w:p>
        </w:tc>
        <w:tc>
          <w:tcPr>
            <w:tcW w:w="12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4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28,</w:t>
            </w:r>
          </w:p>
        </w:tc>
        <w:tc>
          <w:tcPr>
            <w:tcW w:w="200" w:type="dxa"/>
            <w:vAlign w:val="bottom"/>
          </w:tcPr>
          <w:p>
            <w:pPr>
              <w:spacing w:after="0"/>
              <w:rPr>
                <w:sz w:val="11"/>
                <w:szCs w:val="11"/>
                <w:color w:val="auto"/>
              </w:rPr>
            </w:pPr>
          </w:p>
        </w:tc>
      </w:tr>
      <w:tr>
        <w:trPr>
          <w:trHeight w:val="161"/>
        </w:trPr>
        <w:tc>
          <w:tcPr>
            <w:tcW w:w="53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58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2013</w:t>
            </w:r>
          </w:p>
        </w:tc>
        <w:tc>
          <w:tcPr>
            <w:tcW w:w="58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r>
      <w:tr>
        <w:trPr>
          <w:trHeight w:val="196"/>
        </w:trPr>
        <w:tc>
          <w:tcPr>
            <w:tcW w:w="53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Market-based Stock Options:</w:t>
            </w: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534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500" w:type="dxa"/>
            <w:vAlign w:val="bottom"/>
            <w:gridSpan w:val="2"/>
          </w:tcPr>
          <w:p>
            <w:pPr>
              <w:ind w:left="420"/>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5.08</w:t>
            </w:r>
          </w:p>
        </w:tc>
        <w:tc>
          <w:tcPr>
            <w:tcW w:w="200" w:type="dxa"/>
            <w:vAlign w:val="bottom"/>
          </w:tcPr>
          <w:p>
            <w:pPr>
              <w:spacing w:after="0"/>
              <w:rPr>
                <w:sz w:val="18"/>
                <w:szCs w:val="18"/>
                <w:color w:val="auto"/>
              </w:rPr>
            </w:pPr>
          </w:p>
        </w:tc>
      </w:tr>
      <w:tr>
        <w:trPr>
          <w:trHeight w:val="216"/>
        </w:trPr>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r>
      <w:tr>
        <w:trPr>
          <w:trHeight w:val="222"/>
        </w:trPr>
        <w:tc>
          <w:tcPr>
            <w:tcW w:w="534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40" w:type="dxa"/>
            <w:vAlign w:val="bottom"/>
          </w:tcPr>
          <w:p>
            <w:pPr>
              <w:spacing w:after="0"/>
              <w:rPr>
                <w:sz w:val="19"/>
                <w:szCs w:val="19"/>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0.9 - 3.6%</w:t>
            </w:r>
          </w:p>
        </w:tc>
      </w:tr>
    </w:tbl>
    <w:p>
      <w:pPr>
        <w:spacing w:after="0" w:line="147"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There were no market-based stock options granted during fiscal 2014 and 2013. In fiscal 2012, the Company issued 3.1 million stock options with a market-based condition for a group of senior employees. If the market price condition is not met within five years from the date of grant, the options automatically expire. The fair value of each market-based stock option award was estimated on the date of grant using a Monte Carlo simulation model that uses the assumptions noted in the above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was 2.66 years for market-based stock options granted in fiscal 2012 and was derived from the output of the valuation model and represents the period of time that options granted are expected to be outstanding.</w:t>
      </w:r>
    </w:p>
    <w:p>
      <w:pPr>
        <w:spacing w:after="0" w:line="15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52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4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352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2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1,</w:t>
            </w:r>
          </w:p>
        </w:tc>
        <w:tc>
          <w:tcPr>
            <w:tcW w:w="420" w:type="dxa"/>
            <w:vAlign w:val="bottom"/>
          </w:tcPr>
          <w:p>
            <w:pPr>
              <w:spacing w:after="0"/>
              <w:rPr>
                <w:sz w:val="11"/>
                <w:szCs w:val="11"/>
                <w:color w:val="auto"/>
              </w:rPr>
            </w:pPr>
          </w:p>
        </w:tc>
        <w:tc>
          <w:tcPr>
            <w:tcW w:w="12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February 2,</w:t>
            </w:r>
          </w:p>
        </w:tc>
        <w:tc>
          <w:tcPr>
            <w:tcW w:w="4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28,</w:t>
            </w:r>
          </w:p>
        </w:tc>
        <w:tc>
          <w:tcPr>
            <w:tcW w:w="200" w:type="dxa"/>
            <w:vAlign w:val="bottom"/>
          </w:tcPr>
          <w:p>
            <w:pPr>
              <w:spacing w:after="0"/>
              <w:rPr>
                <w:sz w:val="11"/>
                <w:szCs w:val="11"/>
                <w:color w:val="auto"/>
              </w:rPr>
            </w:pPr>
          </w:p>
        </w:tc>
      </w:tr>
      <w:tr>
        <w:trPr>
          <w:trHeight w:val="161"/>
        </w:trPr>
        <w:tc>
          <w:tcPr>
            <w:tcW w:w="3520" w:type="dxa"/>
            <w:vAlign w:val="bottom"/>
            <w:tcBorders>
              <w:bottom w:val="single" w:sz="8" w:color="CCEEFF"/>
            </w:tcBorders>
          </w:tcPr>
          <w:p>
            <w:pPr>
              <w:spacing w:after="0"/>
              <w:rPr>
                <w:sz w:val="14"/>
                <w:szCs w:val="14"/>
                <w:color w:val="auto"/>
              </w:rPr>
            </w:pPr>
          </w:p>
        </w:tc>
        <w:tc>
          <w:tcPr>
            <w:tcW w:w="18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2014</w:t>
            </w:r>
          </w:p>
        </w:tc>
        <w:tc>
          <w:tcPr>
            <w:tcW w:w="58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2013</w:t>
            </w:r>
          </w:p>
        </w:tc>
        <w:tc>
          <w:tcPr>
            <w:tcW w:w="58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2012</w:t>
            </w:r>
          </w:p>
        </w:tc>
        <w:tc>
          <w:tcPr>
            <w:tcW w:w="200" w:type="dxa"/>
            <w:vAlign w:val="bottom"/>
            <w:tcBorders>
              <w:bottom w:val="single" w:sz="8" w:color="CCEEFF"/>
            </w:tcBorders>
          </w:tcPr>
          <w:p>
            <w:pPr>
              <w:spacing w:after="0"/>
              <w:rPr>
                <w:sz w:val="14"/>
                <w:szCs w:val="14"/>
                <w:color w:val="auto"/>
              </w:rPr>
            </w:pPr>
          </w:p>
        </w:tc>
      </w:tr>
      <w:tr>
        <w:trPr>
          <w:trHeight w:val="196"/>
        </w:trPr>
        <w:tc>
          <w:tcPr>
            <w:tcW w:w="35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18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3520" w:type="dxa"/>
            <w:vAlign w:val="bottom"/>
          </w:tcPr>
          <w:p>
            <w:pPr>
              <w:spacing w:after="0"/>
              <w:rPr>
                <w:sz w:val="20"/>
                <w:szCs w:val="20"/>
                <w:color w:val="auto"/>
              </w:rPr>
            </w:pPr>
            <w:r>
              <w:rPr>
                <w:rFonts w:ascii="Arial" w:cs="Arial" w:eastAsia="Arial" w:hAnsi="Arial"/>
                <w:sz w:val="18"/>
                <w:szCs w:val="18"/>
                <w:color w:val="auto"/>
              </w:rPr>
              <w:t>Estimated fair value</w:t>
            </w:r>
          </w:p>
        </w:tc>
        <w:tc>
          <w:tcPr>
            <w:tcW w:w="1960" w:type="dxa"/>
            <w:vAlign w:val="bottom"/>
            <w:gridSpan w:val="2"/>
          </w:tcPr>
          <w:p>
            <w:pPr>
              <w:ind w:left="182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3.65</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3.13</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4.63</w:t>
            </w:r>
          </w:p>
        </w:tc>
        <w:tc>
          <w:tcPr>
            <w:tcW w:w="200" w:type="dxa"/>
            <w:vAlign w:val="bottom"/>
          </w:tcPr>
          <w:p>
            <w:pPr>
              <w:spacing w:after="0"/>
              <w:rPr>
                <w:sz w:val="18"/>
                <w:szCs w:val="18"/>
                <w:color w:val="auto"/>
              </w:rPr>
            </w:pPr>
          </w:p>
        </w:tc>
      </w:tr>
      <w:tr>
        <w:trPr>
          <w:trHeight w:val="216"/>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37%</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40%</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w:t>
            </w:r>
          </w:p>
        </w:tc>
      </w:tr>
      <w:tr>
        <w:trPr>
          <w:trHeight w:val="216"/>
        </w:trPr>
        <w:tc>
          <w:tcPr>
            <w:tcW w:w="35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1.3</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1.2</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1.1</w:t>
            </w:r>
          </w:p>
        </w:tc>
        <w:tc>
          <w:tcPr>
            <w:tcW w:w="200" w:type="dxa"/>
            <w:vAlign w:val="bottom"/>
          </w:tcPr>
          <w:p>
            <w:pPr>
              <w:spacing w:after="0"/>
              <w:rPr>
                <w:sz w:val="18"/>
                <w:szCs w:val="18"/>
                <w:color w:val="auto"/>
              </w:rPr>
            </w:pPr>
          </w:p>
        </w:tc>
      </w:tr>
      <w:tr>
        <w:trPr>
          <w:trHeight w:val="216"/>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0.2%</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0.2%</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w:t>
            </w:r>
          </w:p>
        </w:tc>
      </w:tr>
      <w:tr>
        <w:trPr>
          <w:trHeight w:val="222"/>
        </w:trPr>
        <w:tc>
          <w:tcPr>
            <w:tcW w:w="352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18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2.0%</w:t>
            </w:r>
          </w:p>
        </w:tc>
        <w:tc>
          <w:tcPr>
            <w:tcW w:w="4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2.4%</w:t>
            </w:r>
          </w:p>
        </w:tc>
        <w:tc>
          <w:tcPr>
            <w:tcW w:w="4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r>
      <w:tr>
        <w:trPr>
          <w:trHeight w:val="356"/>
        </w:trPr>
        <w:tc>
          <w:tcPr>
            <w:tcW w:w="3520" w:type="dxa"/>
            <w:vAlign w:val="bottom"/>
          </w:tcPr>
          <w:p>
            <w:pPr>
              <w:spacing w:after="0"/>
              <w:rPr>
                <w:sz w:val="24"/>
                <w:szCs w:val="24"/>
                <w:color w:val="auto"/>
              </w:rPr>
            </w:pPr>
          </w:p>
        </w:tc>
        <w:tc>
          <w:tcPr>
            <w:tcW w:w="1820" w:type="dxa"/>
            <w:vAlign w:val="bottom"/>
          </w:tcPr>
          <w:p>
            <w:pPr>
              <w:jc w:val="right"/>
              <w:ind w:right="332"/>
              <w:spacing w:after="0"/>
              <w:rPr>
                <w:sz w:val="20"/>
                <w:szCs w:val="20"/>
                <w:color w:val="auto"/>
              </w:rPr>
            </w:pPr>
            <w:r>
              <w:rPr>
                <w:rFonts w:ascii="Arial" w:cs="Arial" w:eastAsia="Arial" w:hAnsi="Arial"/>
                <w:sz w:val="18"/>
                <w:szCs w:val="18"/>
                <w:color w:val="auto"/>
              </w:rPr>
              <w:t>100</w:t>
            </w: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40" w:firstLine="456"/>
        <w:spacing w:after="0" w:line="314" w:lineRule="auto"/>
        <w:rPr>
          <w:sz w:val="20"/>
          <w:szCs w:val="20"/>
          <w:color w:val="auto"/>
        </w:rPr>
      </w:pPr>
      <w:r>
        <w:rPr>
          <w:rFonts w:ascii="Arial" w:cs="Arial" w:eastAsia="Arial" w:hAnsi="Arial"/>
          <w:sz w:val="15"/>
          <w:szCs w:val="15"/>
          <w:color w:val="auto"/>
        </w:rPr>
        <w:t>The Company’s board of directors initially authorized its current share repurchase program to repurchase up to $500 million of its outstanding common shares in August 2010. The Company’s board of directors authorized an additional $1.5 billion in fiscal 2012 and $1.0 billion in fiscal 2013 to be used to repurchase its common shares under the share repurchase program for a total available under the program of $3.0 billion.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05"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repurchased 33.1 million of its common shares for $354.1 million in cash during fiscal 2014, 91.0 million of its common shares for $959.1 million in cash during fiscal 2013 and 87.8 million of its common shares for $1.3 billion in cash during fiscal 2012. All of the repurchased shares were retired immediately after the repurchases were completed. The Company records all repurchases, as well as investment purchases and sales, based on trade date. As of February 1, 2014, a total of 216.9 million cumulative shares have been repurchased under the Company’s share repurchase program for a total $2.7 billion in cash and there was $258.4 million remaining available for future share repurchases.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The Company announced the initiation of paying its first quarterly dividend of $0.06 per share in May 2012. As a result, cash dividends of $0.24 per share were paid for a total of $119.5 million during fiscal 2014, and cash dividends of $0.18 per share were paid for a total of $98.8 million during fiscal 2013. Future payment of a regular quarterly cash dividend on the Company’s common shares will be subject to, among other things, the best interests of the Company, the Company’s results of operations, cash balances and future cash requirements, financial condition, statutory requirements under Bermuda law and other factors that the Company’s board of directors may deem relevant. The Company’s dividend payments may change from time to time, and the Company cannot provide assurance that it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118"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On February 20, 2014, the Company announced that its board of directors declared a cash dividend of $0.06 per share to be paid on March 27, 2014 to shareholders of record as of March 13, 2014.</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operates in one reportable segment — the design, development and sale of integrated circuits. The chief executive officer has been identified as the chief operating decision maker (“CODM”). The Company’s CODM is ultimately responsible and actively involved in the allocation of resources and the assessment of the Company’s operational and financial performance. The fact that the Company operates in only one reportable segment is based on the following:</w:t>
      </w:r>
    </w:p>
    <w:p>
      <w:pPr>
        <w:spacing w:after="0" w:line="62" w:lineRule="exact"/>
        <w:rPr>
          <w:sz w:val="20"/>
          <w:szCs w:val="20"/>
          <w:color w:val="auto"/>
        </w:rPr>
      </w:pPr>
    </w:p>
    <w:p>
      <w:pPr>
        <w:ind w:left="900" w:right="240" w:hanging="325"/>
        <w:spacing w:after="0" w:line="259"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Company uses a highly 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59" w:lineRule="exact"/>
        <w:rPr>
          <w:rFonts w:ascii="Arial" w:cs="Arial" w:eastAsia="Arial" w:hAnsi="Arial"/>
          <w:sz w:val="18"/>
          <w:szCs w:val="18"/>
          <w:color w:val="auto"/>
        </w:rPr>
      </w:pPr>
    </w:p>
    <w:p>
      <w:pPr>
        <w:ind w:left="900" w:right="420" w:hanging="325"/>
        <w:spacing w:after="0" w:line="268" w:lineRule="auto"/>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400"/>
          </w:cols>
          <w:pgMar w:left="240" w:top="459" w:right="2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900" w:right="360" w:hanging="325"/>
        <w:spacing w:after="0" w:line="268" w:lineRule="auto"/>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spacing w:after="0" w:line="50" w:lineRule="exact"/>
        <w:rPr>
          <w:rFonts w:ascii="Arial" w:cs="Arial" w:eastAsia="Arial" w:hAnsi="Arial"/>
          <w:sz w:val="18"/>
          <w:szCs w:val="18"/>
          <w:color w:val="auto"/>
        </w:rPr>
      </w:pPr>
    </w:p>
    <w:p>
      <w:pPr>
        <w:ind w:left="900" w:right="600" w:hanging="325"/>
        <w:spacing w:after="0" w:line="268" w:lineRule="auto"/>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hands-on involvement with the Company’s operations and product development.</w:t>
      </w:r>
    </w:p>
    <w:p>
      <w:pPr>
        <w:spacing w:after="0" w:line="132"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4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2"/>
          </w:tcPr>
          <w:p>
            <w:pPr>
              <w:jc w:val="center"/>
              <w:ind w:right="420"/>
              <w:spacing w:after="0"/>
              <w:rPr>
                <w:sz w:val="20"/>
                <w:szCs w:val="20"/>
                <w:color w:val="auto"/>
              </w:rPr>
            </w:pPr>
            <w:r>
              <w:rPr>
                <w:rFonts w:ascii="Arial" w:cs="Arial" w:eastAsia="Arial" w:hAnsi="Arial"/>
                <w:sz w:val="14"/>
                <w:szCs w:val="14"/>
                <w:b w:val="1"/>
                <w:bCs w:val="1"/>
                <w:color w:val="auto"/>
                <w:w w:val="88"/>
              </w:rPr>
              <w:t>Year Ended</w:t>
            </w: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40" w:type="dxa"/>
            <w:vAlign w:val="bottom"/>
            <w:vMerge w:val="restart"/>
          </w:tcPr>
          <w:p>
            <w:pPr>
              <w:spacing w:after="0"/>
              <w:rPr>
                <w:sz w:val="20"/>
                <w:szCs w:val="20"/>
                <w:color w:val="auto"/>
              </w:rPr>
            </w:pPr>
            <w:r>
              <w:rPr>
                <w:rFonts w:ascii="Arial" w:cs="Arial" w:eastAsia="Arial" w:hAnsi="Arial"/>
                <w:sz w:val="14"/>
                <w:szCs w:val="14"/>
                <w:b w:val="1"/>
                <w:bCs w:val="1"/>
                <w:color w:val="auto"/>
                <w:w w:val="91"/>
              </w:rPr>
              <w:t>Net Revenue:</w:t>
            </w:r>
          </w:p>
        </w:tc>
        <w:tc>
          <w:tcPr>
            <w:tcW w:w="3620" w:type="dxa"/>
            <w:vAlign w:val="bottom"/>
            <w:vMerge w:val="restart"/>
          </w:tcPr>
          <w:p>
            <w:pPr>
              <w:spacing w:after="0"/>
              <w:rPr>
                <w:sz w:val="11"/>
                <w:szCs w:val="11"/>
                <w:color w:val="auto"/>
              </w:rPr>
            </w:pPr>
          </w:p>
        </w:tc>
        <w:tc>
          <w:tcPr>
            <w:tcW w:w="3520" w:type="dxa"/>
            <w:vAlign w:val="bottom"/>
          </w:tcPr>
          <w:p>
            <w:pPr>
              <w:spacing w:after="0"/>
              <w:rPr>
                <w:sz w:val="11"/>
                <w:szCs w:val="11"/>
                <w:color w:val="auto"/>
              </w:rPr>
            </w:pPr>
          </w:p>
        </w:tc>
        <w:tc>
          <w:tcPr>
            <w:tcW w:w="1040" w:type="dxa"/>
            <w:vAlign w:val="bottom"/>
            <w:gridSpan w:val="3"/>
          </w:tcPr>
          <w:p>
            <w:pPr>
              <w:jc w:val="center"/>
              <w:ind w:right="200"/>
              <w:spacing w:after="0" w:line="129" w:lineRule="exact"/>
              <w:rPr>
                <w:sz w:val="20"/>
                <w:szCs w:val="20"/>
                <w:color w:val="auto"/>
              </w:rPr>
            </w:pPr>
            <w:r>
              <w:rPr>
                <w:rFonts w:ascii="Arial" w:cs="Arial" w:eastAsia="Arial" w:hAnsi="Arial"/>
                <w:sz w:val="14"/>
                <w:szCs w:val="14"/>
                <w:b w:val="1"/>
                <w:bCs w:val="1"/>
                <w:color w:val="auto"/>
                <w:w w:val="90"/>
              </w:rPr>
              <w:t>February 1,</w:t>
            </w:r>
          </w:p>
        </w:tc>
        <w:tc>
          <w:tcPr>
            <w:tcW w:w="200" w:type="dxa"/>
            <w:vAlign w:val="bottom"/>
          </w:tcPr>
          <w:p>
            <w:pPr>
              <w:spacing w:after="0"/>
              <w:rPr>
                <w:sz w:val="11"/>
                <w:szCs w:val="11"/>
                <w:color w:val="auto"/>
              </w:rPr>
            </w:pPr>
          </w:p>
        </w:tc>
        <w:tc>
          <w:tcPr>
            <w:tcW w:w="1220" w:type="dxa"/>
            <w:vAlign w:val="bottom"/>
            <w:gridSpan w:val="3"/>
          </w:tcPr>
          <w:p>
            <w:pPr>
              <w:jc w:val="center"/>
              <w:ind w:right="380"/>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c>
          <w:tcPr>
            <w:tcW w:w="780" w:type="dxa"/>
            <w:vAlign w:val="bottom"/>
          </w:tcPr>
          <w:p>
            <w:pPr>
              <w:jc w:val="right"/>
              <w:ind w:right="17"/>
              <w:spacing w:after="0" w:line="129" w:lineRule="exact"/>
              <w:rPr>
                <w:sz w:val="20"/>
                <w:szCs w:val="20"/>
                <w:color w:val="auto"/>
              </w:rPr>
            </w:pPr>
            <w:r>
              <w:rPr>
                <w:rFonts w:ascii="Arial" w:cs="Arial" w:eastAsia="Arial" w:hAnsi="Arial"/>
                <w:sz w:val="14"/>
                <w:szCs w:val="14"/>
                <w:b w:val="1"/>
                <w:bCs w:val="1"/>
                <w:color w:val="auto"/>
                <w:w w:val="85"/>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840" w:type="dxa"/>
            <w:vAlign w:val="bottom"/>
            <w:tcBorders>
              <w:bottom w:val="single" w:sz="8" w:color="auto"/>
            </w:tcBorders>
            <w:vMerge w:val="continue"/>
          </w:tcPr>
          <w:p>
            <w:pPr>
              <w:spacing w:after="0"/>
              <w:rPr>
                <w:sz w:val="14"/>
                <w:szCs w:val="14"/>
                <w:color w:val="auto"/>
              </w:rPr>
            </w:pPr>
          </w:p>
        </w:tc>
        <w:tc>
          <w:tcPr>
            <w:tcW w:w="3620" w:type="dxa"/>
            <w:vAlign w:val="bottom"/>
            <w:vMerge w:val="continue"/>
          </w:tcPr>
          <w:p>
            <w:pPr>
              <w:spacing w:after="0"/>
              <w:rPr>
                <w:sz w:val="14"/>
                <w:szCs w:val="14"/>
                <w:color w:val="auto"/>
              </w:rPr>
            </w:pPr>
          </w:p>
        </w:tc>
        <w:tc>
          <w:tcPr>
            <w:tcW w:w="3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Pr>
          <w:p>
            <w:pPr>
              <w:jc w:val="right"/>
              <w:ind w:right="195"/>
              <w:spacing w:after="0" w:line="148" w:lineRule="exact"/>
              <w:rPr>
                <w:sz w:val="20"/>
                <w:szCs w:val="20"/>
                <w:color w:val="auto"/>
              </w:rPr>
            </w:pPr>
            <w:r>
              <w:rPr>
                <w:rFonts w:ascii="Arial" w:cs="Arial" w:eastAsia="Arial" w:hAnsi="Arial"/>
                <w:sz w:val="14"/>
                <w:szCs w:val="14"/>
                <w:b w:val="1"/>
                <w:bCs w:val="1"/>
                <w:color w:val="auto"/>
              </w:rPr>
              <w:t>2014</w:t>
            </w: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2013</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jc w:val="right"/>
              <w:ind w:right="217"/>
              <w:spacing w:after="0" w:line="148" w:lineRule="exact"/>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4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United States</w:t>
            </w:r>
          </w:p>
        </w:tc>
        <w:tc>
          <w:tcPr>
            <w:tcW w:w="35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68,321</w:t>
            </w:r>
          </w:p>
        </w:tc>
        <w:tc>
          <w:tcPr>
            <w:tcW w:w="2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176,581</w:t>
            </w:r>
          </w:p>
        </w:tc>
        <w:tc>
          <w:tcPr>
            <w:tcW w:w="3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194,638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China</w:t>
            </w:r>
          </w:p>
        </w:tc>
        <w:tc>
          <w:tcPr>
            <w:tcW w:w="3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w w:val="87"/>
              </w:rPr>
              <w:t>1,869,381</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jc w:val="right"/>
              <w:ind w:right="380"/>
              <w:spacing w:after="0"/>
              <w:rPr>
                <w:sz w:val="20"/>
                <w:szCs w:val="20"/>
                <w:color w:val="auto"/>
              </w:rPr>
            </w:pPr>
            <w:r>
              <w:rPr>
                <w:rFonts w:ascii="Arial" w:cs="Arial" w:eastAsia="Arial" w:hAnsi="Arial"/>
                <w:sz w:val="18"/>
                <w:szCs w:val="18"/>
                <w:color w:val="auto"/>
                <w:w w:val="92"/>
              </w:rPr>
              <w:t>1,599,681</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1,496,864</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Thailand</w:t>
            </w:r>
          </w:p>
        </w:tc>
        <w:tc>
          <w:tcPr>
            <w:tcW w:w="3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353,363</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369,855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531,073</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Malaysia</w:t>
            </w:r>
          </w:p>
        </w:tc>
        <w:tc>
          <w:tcPr>
            <w:tcW w:w="3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352,756</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jc w:val="right"/>
              <w:ind w:right="380"/>
              <w:spacing w:after="0"/>
              <w:rPr>
                <w:sz w:val="20"/>
                <w:szCs w:val="20"/>
                <w:color w:val="auto"/>
              </w:rPr>
            </w:pPr>
            <w:r>
              <w:rPr>
                <w:rFonts w:ascii="Arial" w:cs="Arial" w:eastAsia="Arial" w:hAnsi="Arial"/>
                <w:sz w:val="18"/>
                <w:szCs w:val="18"/>
                <w:color w:val="auto"/>
              </w:rPr>
              <w:t>351,401</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420,382</w:t>
            </w:r>
          </w:p>
        </w:tc>
        <w:tc>
          <w:tcPr>
            <w:tcW w:w="0" w:type="dxa"/>
            <w:vAlign w:val="bottom"/>
          </w:tcPr>
          <w:p>
            <w:pPr>
              <w:spacing w:after="0"/>
              <w:rPr>
                <w:sz w:val="1"/>
                <w:szCs w:val="1"/>
                <w:color w:val="auto"/>
              </w:rPr>
            </w:pPr>
          </w:p>
        </w:tc>
      </w:tr>
      <w:tr>
        <w:trPr>
          <w:trHeight w:val="216"/>
        </w:trPr>
        <w:tc>
          <w:tcPr>
            <w:tcW w:w="44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Philippines</w:t>
            </w:r>
          </w:p>
        </w:tc>
        <w:tc>
          <w:tcPr>
            <w:tcW w:w="35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257,899</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246,269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207,450</w:t>
            </w:r>
          </w:p>
        </w:tc>
        <w:tc>
          <w:tcPr>
            <w:tcW w:w="0" w:type="dxa"/>
            <w:vAlign w:val="bottom"/>
          </w:tcPr>
          <w:p>
            <w:pPr>
              <w:spacing w:after="0"/>
              <w:rPr>
                <w:sz w:val="1"/>
                <w:szCs w:val="1"/>
                <w:color w:val="auto"/>
              </w:rPr>
            </w:pPr>
          </w:p>
        </w:tc>
      </w:tr>
      <w:tr>
        <w:trPr>
          <w:trHeight w:val="216"/>
        </w:trPr>
        <w:tc>
          <w:tcPr>
            <w:tcW w:w="4460" w:type="dxa"/>
            <w:vAlign w:val="bottom"/>
            <w:gridSpan w:val="2"/>
          </w:tcPr>
          <w:p>
            <w:pPr>
              <w:spacing w:after="0"/>
              <w:rPr>
                <w:sz w:val="20"/>
                <w:szCs w:val="20"/>
                <w:color w:val="auto"/>
              </w:rPr>
            </w:pPr>
            <w:r>
              <w:rPr>
                <w:rFonts w:ascii="Arial" w:cs="Arial" w:eastAsia="Arial" w:hAnsi="Arial"/>
                <w:sz w:val="18"/>
                <w:szCs w:val="18"/>
                <w:color w:val="auto"/>
              </w:rPr>
              <w:t>Others</w:t>
            </w:r>
          </w:p>
        </w:tc>
        <w:tc>
          <w:tcPr>
            <w:tcW w:w="3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502,680</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2"/>
          </w:tcPr>
          <w:p>
            <w:pPr>
              <w:jc w:val="right"/>
              <w:ind w:right="380"/>
              <w:spacing w:after="0"/>
              <w:rPr>
                <w:sz w:val="20"/>
                <w:szCs w:val="20"/>
                <w:color w:val="auto"/>
              </w:rPr>
            </w:pPr>
            <w:r>
              <w:rPr>
                <w:rFonts w:ascii="Arial" w:cs="Arial" w:eastAsia="Arial" w:hAnsi="Arial"/>
                <w:sz w:val="18"/>
                <w:szCs w:val="18"/>
                <w:color w:val="auto"/>
              </w:rPr>
              <w:t>424,843</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542,633</w:t>
            </w:r>
          </w:p>
        </w:tc>
        <w:tc>
          <w:tcPr>
            <w:tcW w:w="0" w:type="dxa"/>
            <w:vAlign w:val="bottom"/>
          </w:tcPr>
          <w:p>
            <w:pPr>
              <w:spacing w:after="0"/>
              <w:rPr>
                <w:sz w:val="1"/>
                <w:szCs w:val="1"/>
                <w:color w:val="auto"/>
              </w:rPr>
            </w:pPr>
          </w:p>
        </w:tc>
      </w:tr>
      <w:tr>
        <w:trPr>
          <w:trHeight w:val="27"/>
        </w:trPr>
        <w:tc>
          <w:tcPr>
            <w:tcW w:w="840" w:type="dxa"/>
            <w:vAlign w:val="bottom"/>
          </w:tcPr>
          <w:p>
            <w:pPr>
              <w:spacing w:after="0"/>
              <w:rPr>
                <w:sz w:val="2"/>
                <w:szCs w:val="2"/>
                <w:color w:val="auto"/>
              </w:rPr>
            </w:pPr>
          </w:p>
        </w:tc>
        <w:tc>
          <w:tcPr>
            <w:tcW w:w="3620" w:type="dxa"/>
            <w:vAlign w:val="bottom"/>
          </w:tcPr>
          <w:p>
            <w:pPr>
              <w:spacing w:after="0"/>
              <w:rPr>
                <w:sz w:val="2"/>
                <w:szCs w:val="2"/>
                <w:color w:val="auto"/>
              </w:rPr>
            </w:pPr>
          </w:p>
        </w:tc>
        <w:tc>
          <w:tcPr>
            <w:tcW w:w="35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840" w:type="dxa"/>
            <w:vAlign w:val="bottom"/>
            <w:shd w:val="clear" w:color="auto" w:fill="CCEEFF"/>
          </w:tcPr>
          <w:p>
            <w:pPr>
              <w:spacing w:after="0"/>
              <w:rPr>
                <w:sz w:val="18"/>
                <w:szCs w:val="18"/>
                <w:color w:val="auto"/>
              </w:rPr>
            </w:pPr>
          </w:p>
        </w:tc>
        <w:tc>
          <w:tcPr>
            <w:tcW w:w="3620" w:type="dxa"/>
            <w:vAlign w:val="bottom"/>
            <w:shd w:val="clear" w:color="auto" w:fill="CCEEFF"/>
          </w:tcPr>
          <w:p>
            <w:pPr>
              <w:spacing w:after="0"/>
              <w:rPr>
                <w:sz w:val="18"/>
                <w:szCs w:val="18"/>
                <w:color w:val="auto"/>
              </w:rPr>
            </w:pPr>
          </w:p>
        </w:tc>
        <w:tc>
          <w:tcPr>
            <w:tcW w:w="35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7"/>
              </w:rPr>
              <w:t>3,404,400</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92"/>
              </w:rPr>
              <w:t>3,168,630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3,393,040</w:t>
            </w:r>
          </w:p>
        </w:tc>
        <w:tc>
          <w:tcPr>
            <w:tcW w:w="0" w:type="dxa"/>
            <w:vAlign w:val="bottom"/>
          </w:tcPr>
          <w:p>
            <w:pPr>
              <w:spacing w:after="0"/>
              <w:rPr>
                <w:sz w:val="1"/>
                <w:szCs w:val="1"/>
                <w:color w:val="auto"/>
              </w:rPr>
            </w:pPr>
          </w:p>
        </w:tc>
      </w:tr>
      <w:tr>
        <w:trPr>
          <w:trHeight w:val="20"/>
        </w:trPr>
        <w:tc>
          <w:tcPr>
            <w:tcW w:w="840" w:type="dxa"/>
            <w:vAlign w:val="bottom"/>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840" w:type="dxa"/>
            <w:vAlign w:val="bottom"/>
            <w:vMerge w:val="restart"/>
          </w:tcPr>
          <w:p>
            <w:pPr>
              <w:spacing w:after="0"/>
              <w:rPr>
                <w:sz w:val="20"/>
                <w:szCs w:val="20"/>
                <w:color w:val="auto"/>
              </w:rPr>
            </w:pPr>
            <w:r>
              <w:rPr>
                <w:rFonts w:ascii="Arial" w:cs="Arial" w:eastAsia="Arial" w:hAnsi="Arial"/>
                <w:sz w:val="14"/>
                <w:szCs w:val="14"/>
                <w:b w:val="1"/>
                <w:bCs w:val="1"/>
                <w:color w:val="auto"/>
                <w:w w:val="93"/>
              </w:rPr>
              <w:t>Property and equipment, net:</w:t>
            </w:r>
          </w:p>
        </w:tc>
        <w:tc>
          <w:tcPr>
            <w:tcW w:w="658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February 1,</w:t>
            </w:r>
          </w:p>
        </w:tc>
        <w:tc>
          <w:tcPr>
            <w:tcW w:w="3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8"/>
        </w:trPr>
        <w:tc>
          <w:tcPr>
            <w:tcW w:w="1840" w:type="dxa"/>
            <w:vAlign w:val="bottom"/>
            <w:tcBorders>
              <w:bottom w:val="single" w:sz="8" w:color="auto"/>
            </w:tcBorders>
            <w:vMerge w:val="continue"/>
          </w:tcPr>
          <w:p>
            <w:pPr>
              <w:spacing w:after="0"/>
              <w:rPr>
                <w:sz w:val="14"/>
                <w:szCs w:val="14"/>
                <w:color w:val="auto"/>
              </w:rPr>
            </w:pPr>
          </w:p>
        </w:tc>
        <w:tc>
          <w:tcPr>
            <w:tcW w:w="6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5"/>
              <w:spacing w:after="0" w:line="148" w:lineRule="exact"/>
              <w:rPr>
                <w:sz w:val="20"/>
                <w:szCs w:val="20"/>
                <w:color w:val="auto"/>
              </w:rPr>
            </w:pPr>
            <w:r>
              <w:rPr>
                <w:rFonts w:ascii="Arial" w:cs="Arial" w:eastAsia="Arial" w:hAnsi="Arial"/>
                <w:sz w:val="14"/>
                <w:szCs w:val="14"/>
                <w:b w:val="1"/>
                <w:bCs w:val="1"/>
                <w:color w:val="auto"/>
              </w:rPr>
              <w:t>2014</w:t>
            </w: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5"/>
              <w:spacing w:after="0" w:line="148" w:lineRule="exact"/>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1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Bermuda</w:t>
            </w:r>
          </w:p>
        </w:tc>
        <w:tc>
          <w:tcPr>
            <w:tcW w:w="6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4,453</w:t>
            </w:r>
          </w:p>
        </w:tc>
        <w:tc>
          <w:tcPr>
            <w:tcW w:w="32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5,691</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China</w:t>
            </w:r>
          </w:p>
        </w:tc>
        <w:tc>
          <w:tcPr>
            <w:tcW w:w="6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29,146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27,724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shd w:val="clear" w:color="auto" w:fill="CCEEFF"/>
          </w:tcPr>
          <w:p>
            <w:pPr>
              <w:spacing w:after="0"/>
              <w:rPr>
                <w:sz w:val="20"/>
                <w:szCs w:val="20"/>
                <w:color w:val="auto"/>
              </w:rPr>
            </w:pPr>
            <w:r>
              <w:rPr>
                <w:rFonts w:ascii="Arial" w:cs="Arial" w:eastAsia="Arial" w:hAnsi="Arial"/>
                <w:sz w:val="18"/>
                <w:szCs w:val="18"/>
                <w:color w:val="auto"/>
              </w:rPr>
              <w:t>Israel</w:t>
            </w:r>
          </w:p>
        </w:tc>
        <w:tc>
          <w:tcPr>
            <w:tcW w:w="6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33,758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Singapore</w:t>
            </w:r>
          </w:p>
        </w:tc>
        <w:tc>
          <w:tcPr>
            <w:tcW w:w="6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76,367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78,047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6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195,253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208,459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Others</w:t>
            </w:r>
          </w:p>
        </w:tc>
        <w:tc>
          <w:tcPr>
            <w:tcW w:w="6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17,188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16,379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840" w:type="dxa"/>
            <w:vAlign w:val="bottom"/>
          </w:tcPr>
          <w:p>
            <w:pPr>
              <w:spacing w:after="0"/>
              <w:rPr>
                <w:sz w:val="2"/>
                <w:szCs w:val="2"/>
                <w:color w:val="auto"/>
              </w:rPr>
            </w:pPr>
          </w:p>
        </w:tc>
        <w:tc>
          <w:tcPr>
            <w:tcW w:w="6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840" w:type="dxa"/>
            <w:vAlign w:val="bottom"/>
            <w:shd w:val="clear" w:color="auto" w:fill="CCEEFF"/>
          </w:tcPr>
          <w:p>
            <w:pPr>
              <w:spacing w:after="0"/>
              <w:rPr>
                <w:sz w:val="18"/>
                <w:szCs w:val="18"/>
                <w:color w:val="auto"/>
              </w:rPr>
            </w:pPr>
          </w:p>
        </w:tc>
        <w:tc>
          <w:tcPr>
            <w:tcW w:w="6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356,165</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372,971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40" w:type="dxa"/>
            <w:vAlign w:val="bottom"/>
          </w:tcPr>
          <w:p>
            <w:pPr>
              <w:spacing w:after="0" w:line="20" w:lineRule="exact"/>
              <w:rPr>
                <w:sz w:val="1"/>
                <w:szCs w:val="1"/>
                <w:color w:val="auto"/>
              </w:rPr>
            </w:pPr>
          </w:p>
        </w:tc>
        <w:tc>
          <w:tcPr>
            <w:tcW w:w="6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net revenue by end market (in thousands):</w:t>
      </w: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6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760" w:type="dxa"/>
            <w:vAlign w:val="bottom"/>
            <w:vMerge w:val="restart"/>
          </w:tcPr>
          <w:p>
            <w:pPr>
              <w:spacing w:after="0"/>
              <w:rPr>
                <w:sz w:val="20"/>
                <w:szCs w:val="20"/>
                <w:color w:val="auto"/>
              </w:rPr>
            </w:pPr>
            <w:r>
              <w:rPr>
                <w:rFonts w:ascii="Arial" w:cs="Arial" w:eastAsia="Arial" w:hAnsi="Arial"/>
                <w:sz w:val="14"/>
                <w:szCs w:val="14"/>
                <w:b w:val="1"/>
                <w:bCs w:val="1"/>
                <w:color w:val="auto"/>
                <w:w w:val="94"/>
              </w:rPr>
              <w:t>Net Revenue by End Market</w:t>
            </w:r>
          </w:p>
        </w:tc>
        <w:tc>
          <w:tcPr>
            <w:tcW w:w="6220" w:type="dxa"/>
            <w:vAlign w:val="bottom"/>
          </w:tcPr>
          <w:p>
            <w:pPr>
              <w:spacing w:after="0"/>
              <w:rPr>
                <w:sz w:val="11"/>
                <w:szCs w:val="11"/>
                <w:color w:val="auto"/>
              </w:rPr>
            </w:pPr>
          </w:p>
        </w:tc>
        <w:tc>
          <w:tcPr>
            <w:tcW w:w="1260" w:type="dxa"/>
            <w:vAlign w:val="bottom"/>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97"/>
              </w:rPr>
              <w:t>February 1,</w:t>
            </w:r>
          </w:p>
        </w:tc>
        <w:tc>
          <w:tcPr>
            <w:tcW w:w="1040" w:type="dxa"/>
            <w:vAlign w:val="bottom"/>
            <w:gridSpan w:val="2"/>
          </w:tcPr>
          <w:p>
            <w:pPr>
              <w:jc w:val="center"/>
              <w:ind w:right="240"/>
              <w:spacing w:after="0" w:line="129" w:lineRule="exact"/>
              <w:rPr>
                <w:sz w:val="20"/>
                <w:szCs w:val="20"/>
                <w:color w:val="auto"/>
              </w:rPr>
            </w:pPr>
            <w:r>
              <w:rPr>
                <w:rFonts w:ascii="Arial" w:cs="Arial" w:eastAsia="Arial" w:hAnsi="Arial"/>
                <w:sz w:val="14"/>
                <w:szCs w:val="14"/>
                <w:b w:val="1"/>
                <w:bCs w:val="1"/>
                <w:color w:val="auto"/>
                <w:w w:val="90"/>
              </w:rPr>
              <w:t>February 2,</w:t>
            </w:r>
          </w:p>
        </w:tc>
        <w:tc>
          <w:tcPr>
            <w:tcW w:w="200" w:type="dxa"/>
            <w:vAlign w:val="bottom"/>
          </w:tcPr>
          <w:p>
            <w:pPr>
              <w:spacing w:after="0"/>
              <w:rPr>
                <w:sz w:val="11"/>
                <w:szCs w:val="11"/>
                <w:color w:val="auto"/>
              </w:rPr>
            </w:pPr>
          </w:p>
        </w:tc>
        <w:tc>
          <w:tcPr>
            <w:tcW w:w="84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5"/>
              </w:rPr>
              <w:t>January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1760" w:type="dxa"/>
            <w:vAlign w:val="bottom"/>
            <w:tcBorders>
              <w:bottom w:val="single" w:sz="8" w:color="auto"/>
            </w:tcBorders>
            <w:vMerge w:val="continue"/>
          </w:tcPr>
          <w:p>
            <w:pPr>
              <w:spacing w:after="0"/>
              <w:rPr>
                <w:sz w:val="14"/>
                <w:szCs w:val="14"/>
                <w:color w:val="auto"/>
              </w:rPr>
            </w:pPr>
          </w:p>
        </w:tc>
        <w:tc>
          <w:tcPr>
            <w:tcW w:w="7040" w:type="dxa"/>
            <w:vAlign w:val="bottom"/>
            <w:gridSpan w:val="2"/>
          </w:tcPr>
          <w:p>
            <w:pPr>
              <w:jc w:val="right"/>
              <w:ind w:right="199"/>
              <w:spacing w:after="0" w:line="148" w:lineRule="exact"/>
              <w:rPr>
                <w:sz w:val="20"/>
                <w:szCs w:val="20"/>
                <w:color w:val="auto"/>
              </w:rPr>
            </w:pPr>
            <w:r>
              <w:rPr>
                <w:rFonts w:ascii="Arial" w:cs="Arial" w:eastAsia="Arial" w:hAnsi="Arial"/>
                <w:sz w:val="14"/>
                <w:szCs w:val="14"/>
                <w:b w:val="1"/>
                <w:bCs w:val="1"/>
                <w:color w:val="auto"/>
              </w:rPr>
              <w:t>2014</w:t>
            </w:r>
          </w:p>
        </w:tc>
        <w:tc>
          <w:tcPr>
            <w:tcW w:w="440" w:type="dxa"/>
            <w:vAlign w:val="bottom"/>
          </w:tcPr>
          <w:p>
            <w:pPr>
              <w:spacing w:after="0"/>
              <w:rPr>
                <w:sz w:val="14"/>
                <w:szCs w:val="14"/>
                <w:color w:val="auto"/>
              </w:rPr>
            </w:pPr>
          </w:p>
        </w:tc>
        <w:tc>
          <w:tcPr>
            <w:tcW w:w="8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9"/>
              </w:rPr>
              <w:t>2013</w:t>
            </w:r>
          </w:p>
        </w:tc>
        <w:tc>
          <w:tcPr>
            <w:tcW w:w="220" w:type="dxa"/>
            <w:vAlign w:val="bottom"/>
          </w:tcPr>
          <w:p>
            <w:pPr>
              <w:spacing w:after="0"/>
              <w:rPr>
                <w:sz w:val="14"/>
                <w:szCs w:val="14"/>
                <w:color w:val="auto"/>
              </w:rPr>
            </w:pPr>
          </w:p>
        </w:tc>
        <w:tc>
          <w:tcPr>
            <w:tcW w:w="1040" w:type="dxa"/>
            <w:vAlign w:val="bottom"/>
            <w:gridSpan w:val="2"/>
          </w:tcPr>
          <w:p>
            <w:pPr>
              <w:jc w:val="right"/>
              <w:ind w:right="199"/>
              <w:spacing w:after="0" w:line="148" w:lineRule="exact"/>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17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Storage</w:t>
            </w:r>
          </w:p>
        </w:tc>
        <w:tc>
          <w:tcPr>
            <w:tcW w:w="622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$ 1,681,953</w:t>
            </w:r>
          </w:p>
        </w:tc>
        <w:tc>
          <w:tcPr>
            <w:tcW w:w="440" w:type="dxa"/>
            <w:vAlign w:val="bottom"/>
            <w:tcBorders>
              <w:top w:val="single" w:sz="8" w:color="CCEEFF"/>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$ 1,494,959</w:t>
            </w:r>
          </w:p>
        </w:tc>
        <w:tc>
          <w:tcPr>
            <w:tcW w:w="2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6"/>
              </w:rPr>
              <w:t>$ 1,560,772</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760" w:type="dxa"/>
            <w:vAlign w:val="bottom"/>
          </w:tcPr>
          <w:p>
            <w:pPr>
              <w:spacing w:after="0"/>
              <w:rPr>
                <w:sz w:val="20"/>
                <w:szCs w:val="20"/>
                <w:color w:val="auto"/>
              </w:rPr>
            </w:pPr>
            <w:r>
              <w:rPr>
                <w:rFonts w:ascii="Arial" w:cs="Arial" w:eastAsia="Arial" w:hAnsi="Arial"/>
                <w:sz w:val="18"/>
                <w:szCs w:val="18"/>
                <w:color w:val="auto"/>
              </w:rPr>
              <w:t>Mobile and Wireless</w:t>
            </w:r>
          </w:p>
        </w:tc>
        <w:tc>
          <w:tcPr>
            <w:tcW w:w="7480" w:type="dxa"/>
            <w:vAlign w:val="bottom"/>
            <w:gridSpan w:val="3"/>
          </w:tcPr>
          <w:p>
            <w:pPr>
              <w:jc w:val="right"/>
              <w:ind w:right="440"/>
              <w:spacing w:after="0"/>
              <w:rPr>
                <w:sz w:val="20"/>
                <w:szCs w:val="20"/>
                <w:color w:val="auto"/>
              </w:rPr>
            </w:pPr>
            <w:r>
              <w:rPr>
                <w:rFonts w:ascii="Arial" w:cs="Arial" w:eastAsia="Arial" w:hAnsi="Arial"/>
                <w:sz w:val="18"/>
                <w:szCs w:val="18"/>
                <w:color w:val="auto"/>
              </w:rPr>
              <w:t>839,407</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822,533</w:t>
            </w:r>
          </w:p>
        </w:tc>
        <w:tc>
          <w:tcPr>
            <w:tcW w:w="1140" w:type="dxa"/>
            <w:vAlign w:val="bottom"/>
            <w:gridSpan w:val="3"/>
          </w:tcPr>
          <w:p>
            <w:pPr>
              <w:jc w:val="right"/>
              <w:ind w:right="100"/>
              <w:spacing w:after="0"/>
              <w:rPr>
                <w:sz w:val="20"/>
                <w:szCs w:val="20"/>
                <w:color w:val="auto"/>
              </w:rPr>
            </w:pPr>
            <w:r>
              <w:rPr>
                <w:rFonts w:ascii="Arial" w:cs="Arial" w:eastAsia="Arial" w:hAnsi="Arial"/>
                <w:sz w:val="18"/>
                <w:szCs w:val="18"/>
                <w:color w:val="auto"/>
              </w:rPr>
              <w:t>968,706</w:t>
            </w:r>
          </w:p>
        </w:tc>
        <w:tc>
          <w:tcPr>
            <w:tcW w:w="0" w:type="dxa"/>
            <w:vAlign w:val="bottom"/>
          </w:tcPr>
          <w:p>
            <w:pPr>
              <w:spacing w:after="0"/>
              <w:rPr>
                <w:sz w:val="1"/>
                <w:szCs w:val="1"/>
                <w:color w:val="auto"/>
              </w:rPr>
            </w:pPr>
          </w:p>
        </w:tc>
      </w:tr>
      <w:tr>
        <w:trPr>
          <w:trHeight w:val="216"/>
        </w:trPr>
        <w:tc>
          <w:tcPr>
            <w:tcW w:w="1760" w:type="dxa"/>
            <w:vAlign w:val="bottom"/>
            <w:shd w:val="clear" w:color="auto" w:fill="CCEEFF"/>
          </w:tcPr>
          <w:p>
            <w:pPr>
              <w:spacing w:after="0"/>
              <w:rPr>
                <w:sz w:val="20"/>
                <w:szCs w:val="20"/>
                <w:color w:val="auto"/>
              </w:rPr>
            </w:pPr>
            <w:r>
              <w:rPr>
                <w:rFonts w:ascii="Arial" w:cs="Arial" w:eastAsia="Arial" w:hAnsi="Arial"/>
                <w:sz w:val="18"/>
                <w:szCs w:val="18"/>
                <w:color w:val="auto"/>
              </w:rPr>
              <w:t>Networking</w:t>
            </w:r>
          </w:p>
        </w:tc>
        <w:tc>
          <w:tcPr>
            <w:tcW w:w="74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670,249</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708,821</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697,865</w:t>
            </w:r>
          </w:p>
        </w:tc>
        <w:tc>
          <w:tcPr>
            <w:tcW w:w="0" w:type="dxa"/>
            <w:vAlign w:val="bottom"/>
          </w:tcPr>
          <w:p>
            <w:pPr>
              <w:spacing w:after="0"/>
              <w:rPr>
                <w:sz w:val="1"/>
                <w:szCs w:val="1"/>
                <w:color w:val="auto"/>
              </w:rPr>
            </w:pPr>
          </w:p>
        </w:tc>
      </w:tr>
      <w:tr>
        <w:trPr>
          <w:trHeight w:val="223"/>
        </w:trPr>
        <w:tc>
          <w:tcPr>
            <w:tcW w:w="1760" w:type="dxa"/>
            <w:vAlign w:val="bottom"/>
          </w:tcPr>
          <w:p>
            <w:pPr>
              <w:spacing w:after="0"/>
              <w:rPr>
                <w:sz w:val="20"/>
                <w:szCs w:val="20"/>
                <w:color w:val="auto"/>
              </w:rPr>
            </w:pPr>
            <w:r>
              <w:rPr>
                <w:rFonts w:ascii="Arial" w:cs="Arial" w:eastAsia="Arial" w:hAnsi="Arial"/>
                <w:sz w:val="18"/>
                <w:szCs w:val="18"/>
                <w:color w:val="auto"/>
              </w:rPr>
              <w:t>Other</w:t>
            </w:r>
          </w:p>
        </w:tc>
        <w:tc>
          <w:tcPr>
            <w:tcW w:w="622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212,791</w:t>
            </w:r>
          </w:p>
        </w:tc>
        <w:tc>
          <w:tcPr>
            <w:tcW w:w="44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142,317</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165,697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760" w:type="dxa"/>
            <w:vAlign w:val="bottom"/>
            <w:shd w:val="clear" w:color="auto" w:fill="CCEEFF"/>
          </w:tcPr>
          <w:p>
            <w:pPr>
              <w:spacing w:after="0"/>
              <w:rPr>
                <w:sz w:val="18"/>
                <w:szCs w:val="18"/>
                <w:color w:val="auto"/>
              </w:rPr>
            </w:pPr>
          </w:p>
        </w:tc>
        <w:tc>
          <w:tcPr>
            <w:tcW w:w="74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3,404,400</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4"/>
              </w:rPr>
              <w:t>$ 3,168,630</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$ 3,393,040</w:t>
            </w:r>
          </w:p>
        </w:tc>
        <w:tc>
          <w:tcPr>
            <w:tcW w:w="0" w:type="dxa"/>
            <w:vAlign w:val="bottom"/>
          </w:tcPr>
          <w:p>
            <w:pPr>
              <w:spacing w:after="0"/>
              <w:rPr>
                <w:sz w:val="1"/>
                <w:szCs w:val="1"/>
                <w:color w:val="auto"/>
              </w:rPr>
            </w:pPr>
          </w:p>
        </w:tc>
      </w:tr>
      <w:tr>
        <w:trPr>
          <w:trHeight w:val="20"/>
        </w:trPr>
        <w:tc>
          <w:tcPr>
            <w:tcW w:w="1760" w:type="dxa"/>
            <w:vAlign w:val="bottom"/>
          </w:tcPr>
          <w:p>
            <w:pPr>
              <w:spacing w:after="0" w:line="20" w:lineRule="exact"/>
              <w:rPr>
                <w:sz w:val="1"/>
                <w:szCs w:val="1"/>
                <w:color w:val="auto"/>
              </w:rPr>
            </w:pPr>
          </w:p>
        </w:tc>
        <w:tc>
          <w:tcPr>
            <w:tcW w:w="622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96"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MIL is party to a technology license agreement with VeriSilicon Holdings Co., Ltd. (“VeriSilicon”). MIL assumed this technology license agreement between VeriSilicon and UTStarcom, Inc. after the Company’s acquisition of the semiconductor business of UTStarcom in December 2005. MIL has subsequently entered into</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420"/>
          </w:cols>
          <w:pgMar w:left="240" w:top="459" w:right="23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various addenda to this agreement for additional technology beyond the scope of the original agreement. During fiscal 2013, MIL entered into two new addenda with VeriSilicon related to the technology license agreement. In addition, in September 2010, MIL entered into a services agreement with VeriSilicon, pursuant to which VeriSilicon has agreed to provide design support services to MIL. Under the services agreement, VeriSilicon helped on three projects for MIL during fiscal 2013. In connection with all of its transactions with VeriSilicon, MIL paid $2.0 million and $2.8 million to VeriSilicon during fiscal 2014 and fiscal 2013, respectively. As of February 1, 2014, the Company had $1.5 million of liability to VeriSilicon. Weili Dai’s brother (and Dr. Sehat Sutardja’s brother-in-law) is the Chairman, President and Chief Executive Officer of VeriSilicon. Ms. Dai is also a shareholder of VeriSilicon. Ms. Dai is a greater than ten percent shareholder of the Company and Dr. Sehat Sutardja is the Company’s Chief Executive Officer. Dr. Sehat Sutardja and Ms. Dai are husband and wife.</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In December 2012, the parties renewed this technology license agreement for another three years. The total amount of the license fee was approximately $13.0 million (to be paid over three years) and ten percent for support fees (to be paid over three years). In February 2012, the parties entered into a services agreement, pursuant to which Vivante agreed to provide support services to MIL. In connection with all of its transactions with Vivante, MIL paid $6.9 million and $8.6 million to Vivante during fiscal 2014 and fiscal 2013, respectively. As of February 1, 2014, the Company had $8.9 million of liability to Vivante. 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Subsequent Events:</w:t>
      </w:r>
    </w:p>
    <w:p>
      <w:pPr>
        <w:spacing w:after="0" w:line="96"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Subsequent to the end of fiscal 2014, the Company continued discussions pertaining to certain outstanding litigation matters. In March 2014, these discussions progressed into more substantive negotiations. As a result of these ongoing negotiations, we believe resolution of certain outstanding litigation matters is now probable and can be reasonably estimated at $9.5 million. As these litigation matters existed as of the end of fiscal 2014, we recorded a charge of $9.5 million to cost of goods sold in the consolidated statement of operations for fiscal 2014. The amount recorded does not relate to the Company’s litigation with Carnegie Mellon University.</w:t>
      </w:r>
    </w:p>
    <w:p>
      <w:pPr>
        <w:spacing w:after="0" w:line="12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103</w:t>
      </w:r>
    </w:p>
    <w:p>
      <w:pPr>
        <w:sectPr>
          <w:pgSz w:w="11900" w:h="16838" w:orient="portrait"/>
          <w:cols w:equalWidth="0" w:num="1">
            <w:col w:w="11360"/>
          </w:cols>
          <w:pgMar w:left="240" w:top="459" w:right="29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4680"/>
        <w:spacing w:after="0"/>
        <w:rPr>
          <w:sz w:val="20"/>
          <w:szCs w:val="20"/>
          <w:color w:val="auto"/>
        </w:rPr>
      </w:pPr>
      <w:r>
        <w:rPr>
          <w:rFonts w:ascii="Arial" w:cs="Arial" w:eastAsia="Arial" w:hAnsi="Arial"/>
          <w:sz w:val="18"/>
          <w:szCs w:val="18"/>
          <w:b w:val="1"/>
          <w:bCs w:val="1"/>
          <w:color w:val="auto"/>
        </w:rPr>
        <w:t>SUPPLEMENTARY DATA</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65"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February 1, 2014. 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780" w:type="dxa"/>
            <w:vAlign w:val="bottom"/>
            <w:tcBorders>
              <w:bottom w:val="single" w:sz="8" w:color="auto"/>
            </w:tcBorders>
            <w:gridSpan w:val="3"/>
          </w:tcPr>
          <w:p>
            <w:pPr>
              <w:jc w:val="center"/>
              <w:ind w:right="137"/>
              <w:spacing w:after="0"/>
              <w:rPr>
                <w:sz w:val="20"/>
                <w:szCs w:val="20"/>
                <w:color w:val="auto"/>
              </w:rPr>
            </w:pPr>
            <w:r>
              <w:rPr>
                <w:rFonts w:ascii="Arial" w:cs="Arial" w:eastAsia="Arial" w:hAnsi="Arial"/>
                <w:sz w:val="14"/>
                <w:szCs w:val="14"/>
                <w:b w:val="1"/>
                <w:bCs w:val="1"/>
                <w:color w:val="auto"/>
                <w:w w:val="85"/>
              </w:rPr>
              <w:t>Fiscal 2014</w:t>
            </w:r>
          </w:p>
        </w:tc>
        <w:tc>
          <w:tcPr>
            <w:tcW w:w="2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7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jc w:val="center"/>
              <w:ind w:right="39"/>
              <w:spacing w:after="0" w:line="129" w:lineRule="exact"/>
              <w:rPr>
                <w:sz w:val="20"/>
                <w:szCs w:val="20"/>
                <w:color w:val="auto"/>
              </w:rPr>
            </w:pPr>
            <w:r>
              <w:rPr>
                <w:rFonts w:ascii="Arial" w:cs="Arial" w:eastAsia="Arial" w:hAnsi="Arial"/>
                <w:sz w:val="14"/>
                <w:szCs w:val="14"/>
                <w:b w:val="1"/>
                <w:bCs w:val="1"/>
                <w:color w:val="auto"/>
                <w:w w:val="92"/>
              </w:rPr>
              <w:t>First</w:t>
            </w:r>
          </w:p>
        </w:tc>
        <w:tc>
          <w:tcPr>
            <w:tcW w:w="420" w:type="dxa"/>
            <w:vAlign w:val="bottom"/>
          </w:tcPr>
          <w:p>
            <w:pPr>
              <w:spacing w:after="0"/>
              <w:rPr>
                <w:sz w:val="11"/>
                <w:szCs w:val="11"/>
                <w:color w:val="auto"/>
              </w:rPr>
            </w:pPr>
          </w:p>
        </w:tc>
        <w:tc>
          <w:tcPr>
            <w:tcW w:w="740" w:type="dxa"/>
            <w:vAlign w:val="bottom"/>
          </w:tcPr>
          <w:p>
            <w:pPr>
              <w:jc w:val="right"/>
              <w:ind w:right="220"/>
              <w:spacing w:after="0" w:line="129" w:lineRule="exact"/>
              <w:rPr>
                <w:sz w:val="20"/>
                <w:szCs w:val="20"/>
                <w:color w:val="auto"/>
              </w:rPr>
            </w:pPr>
            <w:r>
              <w:rPr>
                <w:rFonts w:ascii="Arial" w:cs="Arial" w:eastAsia="Arial" w:hAnsi="Arial"/>
                <w:sz w:val="14"/>
                <w:szCs w:val="14"/>
                <w:b w:val="1"/>
                <w:bCs w:val="1"/>
                <w:color w:val="auto"/>
                <w:w w:val="82"/>
              </w:rPr>
              <w:t>Second</w:t>
            </w:r>
          </w:p>
        </w:tc>
        <w:tc>
          <w:tcPr>
            <w:tcW w:w="260" w:type="dxa"/>
            <w:vAlign w:val="bottom"/>
          </w:tcPr>
          <w:p>
            <w:pPr>
              <w:spacing w:after="0"/>
              <w:rPr>
                <w:sz w:val="11"/>
                <w:szCs w:val="11"/>
                <w:color w:val="auto"/>
              </w:rPr>
            </w:pPr>
          </w:p>
        </w:tc>
        <w:tc>
          <w:tcPr>
            <w:tcW w:w="780" w:type="dxa"/>
            <w:vAlign w:val="bottom"/>
          </w:tcPr>
          <w:p>
            <w:pPr>
              <w:jc w:val="center"/>
              <w:ind w:right="177"/>
              <w:spacing w:after="0" w:line="129" w:lineRule="exact"/>
              <w:rPr>
                <w:sz w:val="20"/>
                <w:szCs w:val="20"/>
                <w:color w:val="auto"/>
              </w:rPr>
            </w:pPr>
            <w:r>
              <w:rPr>
                <w:rFonts w:ascii="Arial" w:cs="Arial" w:eastAsia="Arial" w:hAnsi="Arial"/>
                <w:sz w:val="14"/>
                <w:szCs w:val="14"/>
                <w:b w:val="1"/>
                <w:bCs w:val="1"/>
                <w:color w:val="auto"/>
                <w:w w:val="91"/>
              </w:rPr>
              <w:t>Third</w:t>
            </w:r>
          </w:p>
        </w:tc>
        <w:tc>
          <w:tcPr>
            <w:tcW w:w="280" w:type="dxa"/>
            <w:vAlign w:val="bottom"/>
          </w:tcPr>
          <w:p>
            <w:pPr>
              <w:spacing w:after="0"/>
              <w:rPr>
                <w:sz w:val="11"/>
                <w:szCs w:val="11"/>
                <w:color w:val="auto"/>
              </w:rPr>
            </w:pPr>
          </w:p>
        </w:tc>
        <w:tc>
          <w:tcPr>
            <w:tcW w:w="620" w:type="dxa"/>
            <w:vAlign w:val="bottom"/>
          </w:tcPr>
          <w:p>
            <w:pPr>
              <w:jc w:val="center"/>
              <w:ind w:right="57"/>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7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center"/>
              <w:ind w:right="19"/>
              <w:spacing w:after="0"/>
              <w:rPr>
                <w:sz w:val="20"/>
                <w:szCs w:val="20"/>
                <w:color w:val="auto"/>
              </w:rPr>
            </w:pPr>
            <w:r>
              <w:rPr>
                <w:rFonts w:ascii="Arial" w:cs="Arial" w:eastAsia="Arial" w:hAnsi="Arial"/>
                <w:sz w:val="14"/>
                <w:szCs w:val="14"/>
                <w:b w:val="1"/>
                <w:bCs w:val="1"/>
                <w:color w:val="auto"/>
                <w:w w:val="90"/>
              </w:rPr>
              <w:t>Quarter</w:t>
            </w:r>
          </w:p>
        </w:tc>
        <w:tc>
          <w:tcPr>
            <w:tcW w:w="1160" w:type="dxa"/>
            <w:vAlign w:val="bottom"/>
            <w:gridSpan w:val="2"/>
          </w:tcPr>
          <w:p>
            <w:pPr>
              <w:ind w:left="340"/>
              <w:spacing w:after="0"/>
              <w:rPr>
                <w:sz w:val="20"/>
                <w:szCs w:val="20"/>
                <w:color w:val="auto"/>
              </w:rPr>
            </w:pPr>
            <w:r>
              <w:rPr>
                <w:rFonts w:ascii="Arial" w:cs="Arial" w:eastAsia="Arial" w:hAnsi="Arial"/>
                <w:sz w:val="14"/>
                <w:szCs w:val="14"/>
                <w:b w:val="1"/>
                <w:bCs w:val="1"/>
                <w:color w:val="auto"/>
              </w:rPr>
              <w:t>Quarter (1)</w:t>
            </w:r>
          </w:p>
        </w:tc>
        <w:tc>
          <w:tcPr>
            <w:tcW w:w="1040" w:type="dxa"/>
            <w:vAlign w:val="bottom"/>
            <w:gridSpan w:val="2"/>
          </w:tcPr>
          <w:p>
            <w:pPr>
              <w:jc w:val="center"/>
              <w:spacing w:after="0"/>
              <w:rPr>
                <w:sz w:val="20"/>
                <w:szCs w:val="20"/>
                <w:color w:val="auto"/>
              </w:rPr>
            </w:pPr>
            <w:r>
              <w:rPr>
                <w:rFonts w:ascii="Arial" w:cs="Arial" w:eastAsia="Arial" w:hAnsi="Arial"/>
                <w:sz w:val="14"/>
                <w:szCs w:val="14"/>
                <w:b w:val="1"/>
                <w:bCs w:val="1"/>
                <w:color w:val="auto"/>
                <w:w w:val="92"/>
              </w:rPr>
              <w:t>Quarter (2)</w:t>
            </w:r>
          </w:p>
        </w:tc>
        <w:tc>
          <w:tcPr>
            <w:tcW w:w="1000" w:type="dxa"/>
            <w:vAlign w:val="bottom"/>
            <w:gridSpan w:val="3"/>
          </w:tcPr>
          <w:p>
            <w:pPr>
              <w:jc w:val="center"/>
              <w:spacing w:after="0"/>
              <w:rPr>
                <w:sz w:val="20"/>
                <w:szCs w:val="20"/>
                <w:color w:val="auto"/>
              </w:rPr>
            </w:pPr>
            <w:r>
              <w:rPr>
                <w:rFonts w:ascii="Arial" w:cs="Arial" w:eastAsia="Arial" w:hAnsi="Arial"/>
                <w:sz w:val="14"/>
                <w:szCs w:val="14"/>
                <w:b w:val="1"/>
                <w:bCs w:val="1"/>
                <w:color w:val="auto"/>
                <w:w w:val="94"/>
              </w:rPr>
              <w:t>Quarter (3)</w:t>
            </w:r>
          </w:p>
        </w:tc>
      </w:tr>
      <w:tr>
        <w:trPr>
          <w:trHeight w:val="142"/>
        </w:trPr>
        <w:tc>
          <w:tcPr>
            <w:tcW w:w="75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80" w:type="dxa"/>
            <w:vAlign w:val="bottom"/>
            <w:tcBorders>
              <w:top w:val="single" w:sz="8" w:color="auto"/>
            </w:tcBorders>
            <w:gridSpan w:val="5"/>
          </w:tcPr>
          <w:p>
            <w:pPr>
              <w:jc w:val="center"/>
              <w:ind w:right="16"/>
              <w:spacing w:after="0" w:line="142" w:lineRule="exact"/>
              <w:rPr>
                <w:sz w:val="20"/>
                <w:szCs w:val="20"/>
                <w:color w:val="auto"/>
              </w:rPr>
            </w:pPr>
            <w:r>
              <w:rPr>
                <w:rFonts w:ascii="Arial" w:cs="Arial" w:eastAsia="Arial" w:hAnsi="Arial"/>
                <w:sz w:val="14"/>
                <w:szCs w:val="14"/>
                <w:b w:val="1"/>
                <w:bCs w:val="1"/>
                <w:color w:val="auto"/>
                <w:w w:val="85"/>
              </w:rPr>
              <w:t>(In thousands, except per share amounts)</w:t>
            </w:r>
          </w:p>
        </w:tc>
        <w:tc>
          <w:tcPr>
            <w:tcW w:w="6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4"/>
              </w:rPr>
              <w:t>$ 734,369</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$ 807,056</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7"/>
              <w:spacing w:after="0"/>
              <w:rPr>
                <w:sz w:val="20"/>
                <w:szCs w:val="20"/>
                <w:color w:val="auto"/>
              </w:rPr>
            </w:pPr>
            <w:r>
              <w:rPr>
                <w:rFonts w:ascii="Arial" w:cs="Arial" w:eastAsia="Arial" w:hAnsi="Arial"/>
                <w:sz w:val="18"/>
                <w:szCs w:val="18"/>
                <w:color w:val="auto"/>
                <w:w w:val="92"/>
              </w:rPr>
              <w:t>931,226</w:t>
            </w:r>
          </w:p>
        </w:tc>
        <w:tc>
          <w:tcPr>
            <w:tcW w:w="10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$ 931,749</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Gross profit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84"/>
              </w:rPr>
              <w:t>$ 398,931</w:t>
            </w: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$ 420,997</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7"/>
              <w:spacing w:after="0"/>
              <w:rPr>
                <w:sz w:val="20"/>
                <w:szCs w:val="20"/>
                <w:color w:val="auto"/>
              </w:rPr>
            </w:pPr>
            <w:r>
              <w:rPr>
                <w:rFonts w:ascii="Arial" w:cs="Arial" w:eastAsia="Arial" w:hAnsi="Arial"/>
                <w:sz w:val="18"/>
                <w:szCs w:val="18"/>
                <w:color w:val="auto"/>
                <w:w w:val="92"/>
              </w:rPr>
              <w:t>466,245</w:t>
            </w:r>
          </w:p>
        </w:tc>
        <w:tc>
          <w:tcPr>
            <w:tcW w:w="1000" w:type="dxa"/>
            <w:vAlign w:val="bottom"/>
            <w:gridSpan w:val="3"/>
          </w:tcPr>
          <w:p>
            <w:pPr>
              <w:jc w:val="right"/>
              <w:ind w:right="100"/>
              <w:spacing w:after="0"/>
              <w:rPr>
                <w:sz w:val="20"/>
                <w:szCs w:val="20"/>
                <w:color w:val="auto"/>
              </w:rPr>
            </w:pPr>
            <w:r>
              <w:rPr>
                <w:rFonts w:ascii="Arial" w:cs="Arial" w:eastAsia="Arial" w:hAnsi="Arial"/>
                <w:sz w:val="18"/>
                <w:szCs w:val="18"/>
                <w:color w:val="auto"/>
              </w:rPr>
              <w:t>$ 454,497</w:t>
            </w: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53,209</w:t>
            </w:r>
          </w:p>
        </w:tc>
        <w:tc>
          <w:tcPr>
            <w:tcW w:w="420" w:type="dxa"/>
            <w:vAlign w:val="bottom"/>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40" w:type="dxa"/>
            <w:vAlign w:val="bottom"/>
            <w:shd w:val="clear" w:color="auto" w:fill="CCEEFF"/>
          </w:tcPr>
          <w:p>
            <w:pPr>
              <w:jc w:val="right"/>
              <w:ind w:right="60"/>
              <w:spacing w:after="0"/>
              <w:rPr>
                <w:sz w:val="20"/>
                <w:szCs w:val="20"/>
                <w:color w:val="auto"/>
              </w:rPr>
            </w:pPr>
            <w:r>
              <w:rPr>
                <w:rFonts w:ascii="Arial" w:cs="Arial" w:eastAsia="Arial" w:hAnsi="Arial"/>
                <w:sz w:val="18"/>
                <w:szCs w:val="18"/>
                <w:color w:val="auto"/>
              </w:rPr>
              <w:t>61,826</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7"/>
              <w:spacing w:after="0"/>
              <w:rPr>
                <w:sz w:val="20"/>
                <w:szCs w:val="20"/>
                <w:color w:val="auto"/>
              </w:rPr>
            </w:pPr>
            <w:r>
              <w:rPr>
                <w:rFonts w:ascii="Arial" w:cs="Arial" w:eastAsia="Arial" w:hAnsi="Arial"/>
                <w:sz w:val="18"/>
                <w:szCs w:val="18"/>
                <w:color w:val="auto"/>
                <w:w w:val="92"/>
              </w:rPr>
              <w:t>103,156</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97,129</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420" w:type="dxa"/>
            <w:vAlign w:val="bottom"/>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40" w:type="dxa"/>
            <w:vAlign w:val="bottom"/>
            <w:shd w:val="clear" w:color="auto" w:fill="CCEEFF"/>
          </w:tcPr>
          <w:p>
            <w:pPr>
              <w:jc w:val="right"/>
              <w:ind w:right="60"/>
              <w:spacing w:after="0"/>
              <w:rPr>
                <w:sz w:val="20"/>
                <w:szCs w:val="20"/>
                <w:color w:val="auto"/>
              </w:rPr>
            </w:pPr>
            <w:r>
              <w:rPr>
                <w:rFonts w:ascii="Arial" w:cs="Arial" w:eastAsia="Arial" w:hAnsi="Arial"/>
                <w:sz w:val="18"/>
                <w:szCs w:val="18"/>
                <w:color w:val="auto"/>
              </w:rPr>
              <w:t>0.13</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7"/>
              <w:spacing w:after="0"/>
              <w:rPr>
                <w:sz w:val="20"/>
                <w:szCs w:val="20"/>
                <w:color w:val="auto"/>
              </w:rPr>
            </w:pPr>
            <w:r>
              <w:rPr>
                <w:rFonts w:ascii="Arial" w:cs="Arial" w:eastAsia="Arial" w:hAnsi="Arial"/>
                <w:sz w:val="18"/>
                <w:szCs w:val="18"/>
                <w:color w:val="auto"/>
              </w:rPr>
              <w:t>0.21</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0.20</w:t>
            </w:r>
          </w:p>
        </w:tc>
      </w:tr>
      <w:tr>
        <w:trPr>
          <w:trHeight w:val="222"/>
        </w:trPr>
        <w:tc>
          <w:tcPr>
            <w:tcW w:w="7520" w:type="dxa"/>
            <w:vAlign w:val="bottom"/>
          </w:tcPr>
          <w:p>
            <w:pPr>
              <w:ind w:left="440"/>
              <w:spacing w:after="0"/>
              <w:rPr>
                <w:sz w:val="20"/>
                <w:szCs w:val="20"/>
                <w:color w:val="auto"/>
              </w:rPr>
            </w:pPr>
            <w:r>
              <w:rPr>
                <w:rFonts w:ascii="Arial" w:cs="Arial" w:eastAsia="Arial" w:hAnsi="Arial"/>
                <w:sz w:val="18"/>
                <w:szCs w:val="18"/>
                <w:color w:val="auto"/>
              </w:rPr>
              <w:t>Diluted</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0.11</w:t>
            </w:r>
          </w:p>
        </w:tc>
        <w:tc>
          <w:tcPr>
            <w:tcW w:w="420" w:type="dxa"/>
            <w:vAlign w:val="bottom"/>
          </w:tcPr>
          <w:p>
            <w:pPr>
              <w:ind w:left="300"/>
              <w:spacing w:after="0"/>
              <w:rPr>
                <w:sz w:val="20"/>
                <w:szCs w:val="20"/>
                <w:color w:val="auto"/>
              </w:rPr>
            </w:pPr>
            <w:r>
              <w:rPr>
                <w:rFonts w:ascii="Arial" w:cs="Arial" w:eastAsia="Arial" w:hAnsi="Arial"/>
                <w:sz w:val="18"/>
                <w:szCs w:val="18"/>
                <w:color w:val="auto"/>
                <w:w w:val="99"/>
              </w:rPr>
              <w:t>$</w:t>
            </w:r>
          </w:p>
        </w:tc>
        <w:tc>
          <w:tcPr>
            <w:tcW w:w="740" w:type="dxa"/>
            <w:vAlign w:val="bottom"/>
          </w:tcPr>
          <w:p>
            <w:pPr>
              <w:jc w:val="right"/>
              <w:ind w:right="60"/>
              <w:spacing w:after="0"/>
              <w:rPr>
                <w:sz w:val="20"/>
                <w:szCs w:val="20"/>
                <w:color w:val="auto"/>
              </w:rPr>
            </w:pPr>
            <w:r>
              <w:rPr>
                <w:rFonts w:ascii="Arial" w:cs="Arial" w:eastAsia="Arial" w:hAnsi="Arial"/>
                <w:sz w:val="18"/>
                <w:szCs w:val="18"/>
                <w:color w:val="auto"/>
              </w:rPr>
              <w:t>0.12</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7"/>
              <w:spacing w:after="0"/>
              <w:rPr>
                <w:sz w:val="20"/>
                <w:szCs w:val="20"/>
                <w:color w:val="auto"/>
              </w:rPr>
            </w:pPr>
            <w:r>
              <w:rPr>
                <w:rFonts w:ascii="Arial" w:cs="Arial" w:eastAsia="Arial" w:hAnsi="Arial"/>
                <w:sz w:val="18"/>
                <w:szCs w:val="18"/>
                <w:color w:val="auto"/>
              </w:rPr>
              <w:t>0.21</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0.19</w:t>
            </w:r>
          </w:p>
        </w:tc>
      </w:tr>
      <w:tr>
        <w:trPr>
          <w:trHeight w:val="345"/>
        </w:trPr>
        <w:tc>
          <w:tcPr>
            <w:tcW w:w="75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3"/>
          </w:tcPr>
          <w:p>
            <w:pPr>
              <w:jc w:val="center"/>
              <w:ind w:right="137"/>
              <w:spacing w:after="0"/>
              <w:rPr>
                <w:sz w:val="20"/>
                <w:szCs w:val="20"/>
                <w:color w:val="auto"/>
              </w:rPr>
            </w:pPr>
            <w:r>
              <w:rPr>
                <w:rFonts w:ascii="Arial" w:cs="Arial" w:eastAsia="Arial" w:hAnsi="Arial"/>
                <w:sz w:val="14"/>
                <w:szCs w:val="14"/>
                <w:b w:val="1"/>
                <w:bCs w:val="1"/>
                <w:color w:val="auto"/>
                <w:w w:val="85"/>
              </w:rPr>
              <w:t>Fiscal 2013</w:t>
            </w:r>
          </w:p>
        </w:tc>
        <w:tc>
          <w:tcPr>
            <w:tcW w:w="28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r>
      <w:tr>
        <w:trPr>
          <w:trHeight w:val="129"/>
        </w:trPr>
        <w:tc>
          <w:tcPr>
            <w:tcW w:w="7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jc w:val="center"/>
              <w:ind w:right="39"/>
              <w:spacing w:after="0" w:line="129" w:lineRule="exact"/>
              <w:rPr>
                <w:sz w:val="20"/>
                <w:szCs w:val="20"/>
                <w:color w:val="auto"/>
              </w:rPr>
            </w:pPr>
            <w:r>
              <w:rPr>
                <w:rFonts w:ascii="Arial" w:cs="Arial" w:eastAsia="Arial" w:hAnsi="Arial"/>
                <w:sz w:val="14"/>
                <w:szCs w:val="14"/>
                <w:b w:val="1"/>
                <w:bCs w:val="1"/>
                <w:color w:val="auto"/>
                <w:w w:val="92"/>
              </w:rPr>
              <w:t>First</w:t>
            </w:r>
          </w:p>
        </w:tc>
        <w:tc>
          <w:tcPr>
            <w:tcW w:w="420" w:type="dxa"/>
            <w:vAlign w:val="bottom"/>
          </w:tcPr>
          <w:p>
            <w:pPr>
              <w:spacing w:after="0"/>
              <w:rPr>
                <w:sz w:val="11"/>
                <w:szCs w:val="11"/>
                <w:color w:val="auto"/>
              </w:rPr>
            </w:pPr>
          </w:p>
        </w:tc>
        <w:tc>
          <w:tcPr>
            <w:tcW w:w="740" w:type="dxa"/>
            <w:vAlign w:val="bottom"/>
          </w:tcPr>
          <w:p>
            <w:pPr>
              <w:jc w:val="right"/>
              <w:ind w:right="220"/>
              <w:spacing w:after="0" w:line="129" w:lineRule="exact"/>
              <w:rPr>
                <w:sz w:val="20"/>
                <w:szCs w:val="20"/>
                <w:color w:val="auto"/>
              </w:rPr>
            </w:pPr>
            <w:r>
              <w:rPr>
                <w:rFonts w:ascii="Arial" w:cs="Arial" w:eastAsia="Arial" w:hAnsi="Arial"/>
                <w:sz w:val="14"/>
                <w:szCs w:val="14"/>
                <w:b w:val="1"/>
                <w:bCs w:val="1"/>
                <w:color w:val="auto"/>
                <w:w w:val="82"/>
              </w:rPr>
              <w:t>Second</w:t>
            </w:r>
          </w:p>
        </w:tc>
        <w:tc>
          <w:tcPr>
            <w:tcW w:w="260" w:type="dxa"/>
            <w:vAlign w:val="bottom"/>
          </w:tcPr>
          <w:p>
            <w:pPr>
              <w:spacing w:after="0"/>
              <w:rPr>
                <w:sz w:val="11"/>
                <w:szCs w:val="11"/>
                <w:color w:val="auto"/>
              </w:rPr>
            </w:pPr>
          </w:p>
        </w:tc>
        <w:tc>
          <w:tcPr>
            <w:tcW w:w="780" w:type="dxa"/>
            <w:vAlign w:val="bottom"/>
          </w:tcPr>
          <w:p>
            <w:pPr>
              <w:jc w:val="center"/>
              <w:ind w:right="177"/>
              <w:spacing w:after="0" w:line="129" w:lineRule="exact"/>
              <w:rPr>
                <w:sz w:val="20"/>
                <w:szCs w:val="20"/>
                <w:color w:val="auto"/>
              </w:rPr>
            </w:pPr>
            <w:r>
              <w:rPr>
                <w:rFonts w:ascii="Arial" w:cs="Arial" w:eastAsia="Arial" w:hAnsi="Arial"/>
                <w:sz w:val="14"/>
                <w:szCs w:val="14"/>
                <w:b w:val="1"/>
                <w:bCs w:val="1"/>
                <w:color w:val="auto"/>
                <w:w w:val="91"/>
              </w:rPr>
              <w:t>Third</w:t>
            </w:r>
          </w:p>
        </w:tc>
        <w:tc>
          <w:tcPr>
            <w:tcW w:w="280" w:type="dxa"/>
            <w:vAlign w:val="bottom"/>
          </w:tcPr>
          <w:p>
            <w:pPr>
              <w:spacing w:after="0"/>
              <w:rPr>
                <w:sz w:val="11"/>
                <w:szCs w:val="11"/>
                <w:color w:val="auto"/>
              </w:rPr>
            </w:pPr>
          </w:p>
        </w:tc>
        <w:tc>
          <w:tcPr>
            <w:tcW w:w="620" w:type="dxa"/>
            <w:vAlign w:val="bottom"/>
          </w:tcPr>
          <w:p>
            <w:pPr>
              <w:jc w:val="center"/>
              <w:ind w:right="57"/>
              <w:spacing w:after="0" w:line="129" w:lineRule="exact"/>
              <w:rPr>
                <w:sz w:val="20"/>
                <w:szCs w:val="20"/>
                <w:color w:val="auto"/>
              </w:rPr>
            </w:pPr>
            <w:r>
              <w:rPr>
                <w:rFonts w:ascii="Arial" w:cs="Arial" w:eastAsia="Arial" w:hAnsi="Arial"/>
                <w:sz w:val="14"/>
                <w:szCs w:val="14"/>
                <w:b w:val="1"/>
                <w:bCs w:val="1"/>
                <w:color w:val="auto"/>
                <w:w w:val="90"/>
              </w:rPr>
              <w:t>Fourth</w:t>
            </w:r>
          </w:p>
        </w:tc>
        <w:tc>
          <w:tcPr>
            <w:tcW w:w="100" w:type="dxa"/>
            <w:vAlign w:val="bottom"/>
          </w:tcPr>
          <w:p>
            <w:pPr>
              <w:spacing w:after="0"/>
              <w:rPr>
                <w:sz w:val="11"/>
                <w:szCs w:val="11"/>
                <w:color w:val="auto"/>
              </w:rPr>
            </w:pPr>
          </w:p>
        </w:tc>
      </w:tr>
      <w:tr>
        <w:trPr>
          <w:trHeight w:val="161"/>
        </w:trPr>
        <w:tc>
          <w:tcPr>
            <w:tcW w:w="7520" w:type="dxa"/>
            <w:vAlign w:val="bottom"/>
          </w:tcPr>
          <w:p>
            <w:pPr>
              <w:spacing w:after="0"/>
              <w:rPr>
                <w:sz w:val="14"/>
                <w:szCs w:val="14"/>
                <w:color w:val="auto"/>
              </w:rPr>
            </w:pPr>
          </w:p>
        </w:tc>
        <w:tc>
          <w:tcPr>
            <w:tcW w:w="700" w:type="dxa"/>
            <w:vAlign w:val="bottom"/>
            <w:gridSpan w:val="2"/>
          </w:tcPr>
          <w:p>
            <w:pPr>
              <w:ind w:left="20"/>
              <w:spacing w:after="0"/>
              <w:rPr>
                <w:sz w:val="20"/>
                <w:szCs w:val="20"/>
                <w:color w:val="auto"/>
              </w:rPr>
            </w:pPr>
            <w:r>
              <w:rPr>
                <w:rFonts w:ascii="Arial" w:cs="Arial" w:eastAsia="Arial" w:hAnsi="Arial"/>
                <w:sz w:val="14"/>
                <w:szCs w:val="14"/>
                <w:b w:val="1"/>
                <w:bCs w:val="1"/>
                <w:color w:val="auto"/>
                <w:w w:val="92"/>
              </w:rPr>
              <w:t>Quarter (4)</w:t>
            </w:r>
          </w:p>
        </w:tc>
        <w:tc>
          <w:tcPr>
            <w:tcW w:w="1160" w:type="dxa"/>
            <w:vAlign w:val="bottom"/>
            <w:gridSpan w:val="2"/>
          </w:tcPr>
          <w:p>
            <w:pPr>
              <w:ind w:left="340"/>
              <w:spacing w:after="0"/>
              <w:rPr>
                <w:sz w:val="20"/>
                <w:szCs w:val="20"/>
                <w:color w:val="auto"/>
              </w:rPr>
            </w:pPr>
            <w:r>
              <w:rPr>
                <w:rFonts w:ascii="Arial" w:cs="Arial" w:eastAsia="Arial" w:hAnsi="Arial"/>
                <w:sz w:val="14"/>
                <w:szCs w:val="14"/>
                <w:b w:val="1"/>
                <w:bCs w:val="1"/>
                <w:color w:val="auto"/>
              </w:rPr>
              <w:t>Quarter (5)</w:t>
            </w:r>
          </w:p>
        </w:tc>
        <w:tc>
          <w:tcPr>
            <w:tcW w:w="260" w:type="dxa"/>
            <w:vAlign w:val="bottom"/>
          </w:tcPr>
          <w:p>
            <w:pPr>
              <w:spacing w:after="0"/>
              <w:rPr>
                <w:sz w:val="14"/>
                <w:szCs w:val="14"/>
                <w:color w:val="auto"/>
              </w:rPr>
            </w:pPr>
          </w:p>
        </w:tc>
        <w:tc>
          <w:tcPr>
            <w:tcW w:w="780" w:type="dxa"/>
            <w:vAlign w:val="bottom"/>
          </w:tcPr>
          <w:p>
            <w:pPr>
              <w:jc w:val="center"/>
              <w:ind w:right="177"/>
              <w:spacing w:after="0"/>
              <w:rPr>
                <w:sz w:val="20"/>
                <w:szCs w:val="20"/>
                <w:color w:val="auto"/>
              </w:rPr>
            </w:pPr>
            <w:r>
              <w:rPr>
                <w:rFonts w:ascii="Arial" w:cs="Arial" w:eastAsia="Arial" w:hAnsi="Arial"/>
                <w:sz w:val="14"/>
                <w:szCs w:val="14"/>
                <w:b w:val="1"/>
                <w:bCs w:val="1"/>
                <w:color w:val="auto"/>
                <w:w w:val="94"/>
              </w:rPr>
              <w:t>Quarter</w:t>
            </w:r>
          </w:p>
        </w:tc>
        <w:tc>
          <w:tcPr>
            <w:tcW w:w="1000" w:type="dxa"/>
            <w:vAlign w:val="bottom"/>
            <w:gridSpan w:val="3"/>
          </w:tcPr>
          <w:p>
            <w:pPr>
              <w:jc w:val="center"/>
              <w:spacing w:after="0"/>
              <w:rPr>
                <w:sz w:val="20"/>
                <w:szCs w:val="20"/>
                <w:color w:val="auto"/>
              </w:rPr>
            </w:pPr>
            <w:r>
              <w:rPr>
                <w:rFonts w:ascii="Arial" w:cs="Arial" w:eastAsia="Arial" w:hAnsi="Arial"/>
                <w:sz w:val="14"/>
                <w:szCs w:val="14"/>
                <w:b w:val="1"/>
                <w:bCs w:val="1"/>
                <w:color w:val="auto"/>
                <w:w w:val="94"/>
              </w:rPr>
              <w:t>Quarter (6)</w:t>
            </w:r>
          </w:p>
        </w:tc>
      </w:tr>
      <w:tr>
        <w:trPr>
          <w:trHeight w:val="142"/>
        </w:trPr>
        <w:tc>
          <w:tcPr>
            <w:tcW w:w="75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480" w:type="dxa"/>
            <w:vAlign w:val="bottom"/>
            <w:tcBorders>
              <w:top w:val="single" w:sz="8" w:color="auto"/>
            </w:tcBorders>
            <w:gridSpan w:val="5"/>
          </w:tcPr>
          <w:p>
            <w:pPr>
              <w:jc w:val="center"/>
              <w:ind w:right="16"/>
              <w:spacing w:after="0" w:line="142" w:lineRule="exact"/>
              <w:rPr>
                <w:sz w:val="20"/>
                <w:szCs w:val="20"/>
                <w:color w:val="auto"/>
              </w:rPr>
            </w:pPr>
            <w:r>
              <w:rPr>
                <w:rFonts w:ascii="Arial" w:cs="Arial" w:eastAsia="Arial" w:hAnsi="Arial"/>
                <w:sz w:val="14"/>
                <w:szCs w:val="14"/>
                <w:b w:val="1"/>
                <w:bCs w:val="1"/>
                <w:color w:val="auto"/>
                <w:w w:val="85"/>
              </w:rPr>
              <w:t>(In thousands, except per share amounts)</w:t>
            </w:r>
          </w:p>
        </w:tc>
        <w:tc>
          <w:tcPr>
            <w:tcW w:w="6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4"/>
              </w:rPr>
              <w:t>$ 796,351</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$ 816,104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7"/>
              <w:spacing w:after="0"/>
              <w:rPr>
                <w:sz w:val="20"/>
                <w:szCs w:val="20"/>
                <w:color w:val="auto"/>
              </w:rPr>
            </w:pPr>
            <w:r>
              <w:rPr>
                <w:rFonts w:ascii="Arial" w:cs="Arial" w:eastAsia="Arial" w:hAnsi="Arial"/>
                <w:sz w:val="18"/>
                <w:szCs w:val="18"/>
                <w:color w:val="auto"/>
                <w:w w:val="92"/>
              </w:rPr>
              <w:t>780,881</w:t>
            </w:r>
          </w:p>
        </w:tc>
        <w:tc>
          <w:tcPr>
            <w:tcW w:w="10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$ 775,294</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Gross profit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w w:val="84"/>
              </w:rPr>
              <w:t>$ 430,029</w:t>
            </w: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$ 434,265</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7"/>
              <w:spacing w:after="0"/>
              <w:rPr>
                <w:sz w:val="20"/>
                <w:szCs w:val="20"/>
                <w:color w:val="auto"/>
              </w:rPr>
            </w:pPr>
            <w:r>
              <w:rPr>
                <w:rFonts w:ascii="Arial" w:cs="Arial" w:eastAsia="Arial" w:hAnsi="Arial"/>
                <w:sz w:val="18"/>
                <w:szCs w:val="18"/>
                <w:color w:val="auto"/>
                <w:w w:val="92"/>
              </w:rPr>
              <w:t>406,378</w:t>
            </w:r>
          </w:p>
        </w:tc>
        <w:tc>
          <w:tcPr>
            <w:tcW w:w="1000" w:type="dxa"/>
            <w:vAlign w:val="bottom"/>
            <w:gridSpan w:val="3"/>
          </w:tcPr>
          <w:p>
            <w:pPr>
              <w:jc w:val="right"/>
              <w:ind w:right="100"/>
              <w:spacing w:after="0"/>
              <w:rPr>
                <w:sz w:val="20"/>
                <w:szCs w:val="20"/>
                <w:color w:val="auto"/>
              </w:rPr>
            </w:pPr>
            <w:r>
              <w:rPr>
                <w:rFonts w:ascii="Arial" w:cs="Arial" w:eastAsia="Arial" w:hAnsi="Arial"/>
                <w:sz w:val="18"/>
                <w:szCs w:val="18"/>
                <w:color w:val="auto"/>
              </w:rPr>
              <w:t>$ 404,461</w:t>
            </w: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94,543</w:t>
            </w:r>
          </w:p>
        </w:tc>
        <w:tc>
          <w:tcPr>
            <w:tcW w:w="420" w:type="dxa"/>
            <w:vAlign w:val="bottom"/>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40" w:type="dxa"/>
            <w:vAlign w:val="bottom"/>
            <w:shd w:val="clear" w:color="auto" w:fill="CCEEFF"/>
          </w:tcPr>
          <w:p>
            <w:pPr>
              <w:jc w:val="right"/>
              <w:ind w:right="60"/>
              <w:spacing w:after="0"/>
              <w:rPr>
                <w:sz w:val="20"/>
                <w:szCs w:val="20"/>
                <w:color w:val="auto"/>
              </w:rPr>
            </w:pPr>
            <w:r>
              <w:rPr>
                <w:rFonts w:ascii="Arial" w:cs="Arial" w:eastAsia="Arial" w:hAnsi="Arial"/>
                <w:sz w:val="18"/>
                <w:szCs w:val="18"/>
                <w:color w:val="auto"/>
              </w:rPr>
              <w:t>93,074</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7"/>
              <w:spacing w:after="0"/>
              <w:rPr>
                <w:sz w:val="20"/>
                <w:szCs w:val="20"/>
                <w:color w:val="auto"/>
              </w:rPr>
            </w:pPr>
            <w:r>
              <w:rPr>
                <w:rFonts w:ascii="Arial" w:cs="Arial" w:eastAsia="Arial" w:hAnsi="Arial"/>
                <w:sz w:val="18"/>
                <w:szCs w:val="18"/>
                <w:color w:val="auto"/>
              </w:rPr>
              <w:t>68,816</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50,152</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420" w:type="dxa"/>
            <w:vAlign w:val="bottom"/>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40" w:type="dxa"/>
            <w:vAlign w:val="bottom"/>
            <w:shd w:val="clear" w:color="auto" w:fill="CCEEFF"/>
          </w:tcPr>
          <w:p>
            <w:pPr>
              <w:jc w:val="right"/>
              <w:ind w:right="60"/>
              <w:spacing w:after="0"/>
              <w:rPr>
                <w:sz w:val="20"/>
                <w:szCs w:val="20"/>
                <w:color w:val="auto"/>
              </w:rPr>
            </w:pPr>
            <w:r>
              <w:rPr>
                <w:rFonts w:ascii="Arial" w:cs="Arial" w:eastAsia="Arial" w:hAnsi="Arial"/>
                <w:sz w:val="18"/>
                <w:szCs w:val="18"/>
                <w:color w:val="auto"/>
              </w:rPr>
              <w:t>0.17</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ind w:right="77"/>
              <w:spacing w:after="0"/>
              <w:rPr>
                <w:sz w:val="20"/>
                <w:szCs w:val="20"/>
                <w:color w:val="auto"/>
              </w:rPr>
            </w:pPr>
            <w:r>
              <w:rPr>
                <w:rFonts w:ascii="Arial" w:cs="Arial" w:eastAsia="Arial" w:hAnsi="Arial"/>
                <w:sz w:val="18"/>
                <w:szCs w:val="18"/>
                <w:color w:val="auto"/>
              </w:rPr>
              <w:t>0.12</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0.10</w:t>
            </w:r>
          </w:p>
        </w:tc>
      </w:tr>
      <w:tr>
        <w:trPr>
          <w:trHeight w:val="222"/>
        </w:trPr>
        <w:tc>
          <w:tcPr>
            <w:tcW w:w="7520" w:type="dxa"/>
            <w:vAlign w:val="bottom"/>
          </w:tcPr>
          <w:p>
            <w:pPr>
              <w:ind w:left="440"/>
              <w:spacing w:after="0"/>
              <w:rPr>
                <w:sz w:val="20"/>
                <w:szCs w:val="20"/>
                <w:color w:val="auto"/>
              </w:rPr>
            </w:pPr>
            <w:r>
              <w:rPr>
                <w:rFonts w:ascii="Arial" w:cs="Arial" w:eastAsia="Arial" w:hAnsi="Arial"/>
                <w:sz w:val="18"/>
                <w:szCs w:val="18"/>
                <w:color w:val="auto"/>
              </w:rPr>
              <w:t>Diluted</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0.16</w:t>
            </w:r>
          </w:p>
        </w:tc>
        <w:tc>
          <w:tcPr>
            <w:tcW w:w="420" w:type="dxa"/>
            <w:vAlign w:val="bottom"/>
          </w:tcPr>
          <w:p>
            <w:pPr>
              <w:ind w:left="300"/>
              <w:spacing w:after="0"/>
              <w:rPr>
                <w:sz w:val="20"/>
                <w:szCs w:val="20"/>
                <w:color w:val="auto"/>
              </w:rPr>
            </w:pPr>
            <w:r>
              <w:rPr>
                <w:rFonts w:ascii="Arial" w:cs="Arial" w:eastAsia="Arial" w:hAnsi="Arial"/>
                <w:sz w:val="18"/>
                <w:szCs w:val="18"/>
                <w:color w:val="auto"/>
                <w:w w:val="99"/>
              </w:rPr>
              <w:t>$</w:t>
            </w:r>
          </w:p>
        </w:tc>
        <w:tc>
          <w:tcPr>
            <w:tcW w:w="740" w:type="dxa"/>
            <w:vAlign w:val="bottom"/>
          </w:tcPr>
          <w:p>
            <w:pPr>
              <w:jc w:val="right"/>
              <w:ind w:right="60"/>
              <w:spacing w:after="0"/>
              <w:rPr>
                <w:sz w:val="20"/>
                <w:szCs w:val="20"/>
                <w:color w:val="auto"/>
              </w:rPr>
            </w:pPr>
            <w:r>
              <w:rPr>
                <w:rFonts w:ascii="Arial" w:cs="Arial" w:eastAsia="Arial" w:hAnsi="Arial"/>
                <w:sz w:val="18"/>
                <w:szCs w:val="18"/>
                <w:color w:val="auto"/>
              </w:rPr>
              <w:t>0.16</w:t>
            </w:r>
          </w:p>
        </w:tc>
        <w:tc>
          <w:tcPr>
            <w:tcW w:w="260" w:type="dxa"/>
            <w:vAlign w:val="bottom"/>
          </w:tcPr>
          <w:p>
            <w:pPr>
              <w:jc w:val="right"/>
              <w:spacing w:after="0"/>
              <w:rPr>
                <w:sz w:val="20"/>
                <w:szCs w:val="20"/>
                <w:color w:val="auto"/>
              </w:rPr>
            </w:pPr>
            <w:r>
              <w:rPr>
                <w:rFonts w:ascii="Arial" w:cs="Arial" w:eastAsia="Arial" w:hAnsi="Arial"/>
                <w:sz w:val="18"/>
                <w:szCs w:val="18"/>
                <w:color w:val="auto"/>
              </w:rPr>
              <w:t>$</w:t>
            </w:r>
          </w:p>
        </w:tc>
        <w:tc>
          <w:tcPr>
            <w:tcW w:w="780" w:type="dxa"/>
            <w:vAlign w:val="bottom"/>
          </w:tcPr>
          <w:p>
            <w:pPr>
              <w:jc w:val="right"/>
              <w:ind w:right="77"/>
              <w:spacing w:after="0"/>
              <w:rPr>
                <w:sz w:val="20"/>
                <w:szCs w:val="20"/>
                <w:color w:val="auto"/>
              </w:rPr>
            </w:pPr>
            <w:r>
              <w:rPr>
                <w:rFonts w:ascii="Arial" w:cs="Arial" w:eastAsia="Arial" w:hAnsi="Arial"/>
                <w:sz w:val="18"/>
                <w:szCs w:val="18"/>
                <w:color w:val="auto"/>
              </w:rPr>
              <w:t>0.12</w:t>
            </w:r>
          </w:p>
        </w:tc>
        <w:tc>
          <w:tcPr>
            <w:tcW w:w="28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0.09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second quarter of fiscal 2014 includes $5.2 million for litigation settlements that do not relate to the litigation with Carnegie Mellon University.</w:t>
      </w:r>
    </w:p>
    <w:p>
      <w:pPr>
        <w:spacing w:after="0" w:line="38" w:lineRule="exact"/>
        <w:rPr>
          <w:rFonts w:ascii="Arial" w:cs="Arial" w:eastAsia="Arial" w:hAnsi="Arial"/>
          <w:sz w:val="16"/>
          <w:szCs w:val="16"/>
          <w:color w:val="auto"/>
        </w:rPr>
      </w:pPr>
    </w:p>
    <w:p>
      <w:pPr>
        <w:ind w:left="460" w:hanging="452"/>
        <w:spacing w:after="0"/>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third quarter of fiscal 2014 includes $4.2 million of restructuring and other exit-related costs.</w:t>
      </w:r>
    </w:p>
    <w:p>
      <w:pPr>
        <w:spacing w:after="0" w:line="9" w:lineRule="exact"/>
        <w:rPr>
          <w:rFonts w:ascii="Arial" w:cs="Arial" w:eastAsia="Arial" w:hAnsi="Arial"/>
          <w:sz w:val="18"/>
          <w:szCs w:val="18"/>
          <w:color w:val="auto"/>
        </w:rPr>
      </w:pPr>
    </w:p>
    <w:p>
      <w:pPr>
        <w:ind w:left="460" w:right="640" w:hanging="452"/>
        <w:spacing w:after="0" w:line="281" w:lineRule="auto"/>
        <w:tabs>
          <w:tab w:leader="none" w:pos="46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fourth quarter of fiscal 2014 includes $9.5 million for anticipated litigation settlements that do not relate to the litigation with Carnegie Mellon University, a $7.0 million gain from the sale of a business and $8.1 million charge for the impairment of an intangible asset.</w:t>
      </w:r>
    </w:p>
    <w:p>
      <w:pPr>
        <w:spacing w:after="0" w:line="1" w:lineRule="exact"/>
        <w:rPr>
          <w:rFonts w:ascii="Arial" w:cs="Arial" w:eastAsia="Arial" w:hAnsi="Arial"/>
          <w:sz w:val="16"/>
          <w:szCs w:val="16"/>
          <w:color w:val="auto"/>
        </w:rPr>
      </w:pPr>
    </w:p>
    <w:p>
      <w:pPr>
        <w:ind w:left="460" w:hanging="452"/>
        <w:spacing w:after="0"/>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first quarter of fiscal 2013 includes $2.5 million for expenses related to acquisitions in prior fiscal years.</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second quarter of fiscal 2013 includes $1.6 million for expenses related to acquisitions in prior fiscal years.</w:t>
      </w:r>
    </w:p>
    <w:p>
      <w:pPr>
        <w:spacing w:after="0" w:line="9" w:lineRule="exact"/>
        <w:rPr>
          <w:rFonts w:ascii="Arial" w:cs="Arial" w:eastAsia="Arial" w:hAnsi="Arial"/>
          <w:sz w:val="18"/>
          <w:szCs w:val="18"/>
          <w:color w:val="auto"/>
        </w:rPr>
      </w:pPr>
    </w:p>
    <w:p>
      <w:pPr>
        <w:ind w:left="460" w:right="440" w:hanging="452"/>
        <w:spacing w:after="0" w:line="261" w:lineRule="auto"/>
        <w:tabs>
          <w:tab w:leader="none" w:pos="4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fourth quarter of fiscal 2013 includes $5.7 million for an expense related to an ongoing litigation that did not relate to the litigation with Carnegie Mellon University.</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104</w:t>
      </w:r>
    </w:p>
    <w:p>
      <w:pPr>
        <w:sectPr>
          <w:pgSz w:w="11900" w:h="16838" w:orient="portrait"/>
          <w:cols w:equalWidth="0" w:num="1">
            <w:col w:w="11420"/>
          </w:cols>
          <w:pgMar w:left="240" w:top="459" w:right="23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management, with the participation of our principal executive officer and principal financial officer, has evaluated the effectiveness of our disclosure controls and procedures (as defined in Rule 13a-15(e) of the Exchange Act) as of February 1, 2014.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as of February 1, 2014,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Management is responsible for establishing and maintaining adequate internal control over financial reporting as defined in Rule 13a-15(f) of the Exchange Act. Our internal control over financial reporting is designed to provide reasonable assurance regarding the reliability of financial reporting and the preparation of financial statements for external purposes in accordance with generally accepted accounting principles.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 xml:space="preserve">Management has evaluated the effectiveness of our internal control over financial reporting as of February 1, 2014 using the criteria set forth in the </w:t>
      </w:r>
      <w:r>
        <w:rPr>
          <w:rFonts w:ascii="Arial" w:cs="Arial" w:eastAsia="Arial" w:hAnsi="Arial"/>
          <w:sz w:val="16"/>
          <w:szCs w:val="16"/>
          <w:i w:val="1"/>
          <w:iCs w:val="1"/>
          <w:color w:val="auto"/>
        </w:rPr>
        <w:t>Internal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Control — Integrated Framework (1992) </w:t>
      </w:r>
      <w:r>
        <w:rPr>
          <w:rFonts w:ascii="Arial" w:cs="Arial" w:eastAsia="Arial" w:hAnsi="Arial"/>
          <w:sz w:val="16"/>
          <w:szCs w:val="16"/>
          <w:color w:val="auto"/>
        </w:rPr>
        <w:t>issued by the Committee of Sponsoring Organizations of the Treadway Commission (“COSO”). Based on our</w:t>
      </w:r>
      <w:r>
        <w:rPr>
          <w:rFonts w:ascii="Arial" w:cs="Arial" w:eastAsia="Arial" w:hAnsi="Arial"/>
          <w:sz w:val="16"/>
          <w:szCs w:val="16"/>
          <w:i w:val="1"/>
          <w:iCs w:val="1"/>
          <w:color w:val="auto"/>
        </w:rPr>
        <w:t xml:space="preserve"> </w:t>
      </w:r>
      <w:r>
        <w:rPr>
          <w:rFonts w:ascii="Arial" w:cs="Arial" w:eastAsia="Arial" w:hAnsi="Arial"/>
          <w:sz w:val="16"/>
          <w:szCs w:val="16"/>
          <w:color w:val="auto"/>
        </w:rPr>
        <w:t>evaluation, management has concluded that we maintained effective internal control over financial reporting as of February 1, 2014 based on the COSO criteria.</w:t>
      </w:r>
    </w:p>
    <w:p>
      <w:pPr>
        <w:spacing w:after="0" w:line="107"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effectiveness of our internal control over financial reporting as of February 1, 2014 has been audited by PricewaterhouseCoopers LLP, an independent registered public accounting firm, as stated in their report included in this Annual Report on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There has been no change in our internal control over financial reporting (as defined in Rules 13a-15(f) and 15d-15(f) of the Exchange Act) during the three months ended February 1, 2014 that has materially affected, or is reasonably likely to materially affect, our internal control over financial reporting.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Our management, including our principal executive officer and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400"/>
          </w:cols>
          <w:pgMar w:left="240" w:top="459" w:right="25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2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5"/>
          <w:szCs w:val="15"/>
          <w:b w:val="1"/>
          <w:bCs w:val="1"/>
          <w:i w:val="1"/>
          <w:i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280"/>
          </w:cols>
          <w:pgMar w:left="240" w:top="459" w:right="37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III</w:t>
      </w:r>
    </w:p>
    <w:p>
      <w:pPr>
        <w:spacing w:after="0" w:line="9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information required by Items 401 and 407(c)(3) of Regulation S-K with respect to our directors, director nominees, executive officers and corporate governance is incorporated by reference herein to the information set forth under the caption “Board of Directors and Committees of the Board” in our definitive proxy statement in connection with our 2014 annual general meeting of shareholders (the “2014 Proxy Statement”), which will be filed with the SEC no later than 120 days after February 1, 2014, and to the information set forth in Part I, Item 1 hereof under the caption “Executive Officers of the Registrant.”</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405 of Regulation S-K is incorporated by reference herein to the information set forth under the caption “Section 16(a) Beneficial Ownership Reporting Compliance” in our 2014 Proxy Statement.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 xml:space="preserve">We have adopted a Code of Ethics and Business Conduct for Employees, Officers and Directors that applies to all of our directors, officers (including our Chief Executive Officer (our principal executive officer), Chief Financial Officer (our principal financial and accounting officer), Corporate Controller and any person performing similar functions) and employees. This Code of Ethics was most recently amended as of August 29, 2013.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t>
      </w:r>
      <w:r>
        <w:rPr>
          <w:rFonts w:ascii="Arial" w:cs="Arial" w:eastAsia="Arial" w:hAnsi="Arial"/>
          <w:sz w:val="16"/>
          <w:szCs w:val="16"/>
          <w:i w:val="1"/>
          <w:iCs w:val="1"/>
          <w:color w:val="auto"/>
        </w:rPr>
        <w:t>www.marvell.com</w:t>
      </w:r>
      <w:r>
        <w:rPr>
          <w:rFonts w:ascii="Arial" w:cs="Arial" w:eastAsia="Arial" w:hAnsi="Arial"/>
          <w:sz w:val="16"/>
          <w:szCs w:val="16"/>
          <w:color w:val="auto"/>
        </w:rPr>
        <w:t>. None of the material on our website is part of our Annual Report on Form 10-K or is incorporated by reference herein.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9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 — Committees of our Board of Directors” in our 2014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 “Board of Directors and Committees of the Board — Director Compensation Table,” “Executive Compensation” and “Executive Compensation Committee Interlocks and Insider Participation” in our 2014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Shareholder Matters</w:t>
      </w:r>
    </w:p>
    <w:p>
      <w:pPr>
        <w:spacing w:after="0" w:line="96"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2014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420"/>
          </w:cols>
          <w:pgMar w:left="240" w:top="459" w:right="23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71" w:lineRule="exact"/>
        <w:rPr>
          <w:sz w:val="20"/>
          <w:szCs w:val="20"/>
          <w:color w:val="auto"/>
        </w:rPr>
      </w:pPr>
    </w:p>
    <w:p>
      <w:pPr>
        <w:ind w:left="422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provides certain information with respect to all of our equity compensation plans in effect as of February 1, 2014:</w:t>
      </w:r>
    </w:p>
    <w:p>
      <w:pPr>
        <w:sectPr>
          <w:pgSz w:w="11900" w:h="16838" w:orient="portrait"/>
          <w:cols w:equalWidth="0" w:num="1">
            <w:col w:w="11400"/>
          </w:cols>
          <w:pgMar w:left="240" w:top="459" w:right="25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Plan Category</w:t>
      </w:r>
    </w:p>
    <w:p>
      <w:pPr>
        <w:spacing w:after="0" w:line="13" w:lineRule="exact"/>
        <w:rPr>
          <w:sz w:val="20"/>
          <w:szCs w:val="20"/>
          <w:color w:val="auto"/>
        </w:rPr>
      </w:pPr>
    </w:p>
    <w:p>
      <w:pPr>
        <w:spacing w:after="0"/>
        <w:rPr>
          <w:sz w:val="20"/>
          <w:szCs w:val="20"/>
          <w:color w:val="auto"/>
        </w:rPr>
      </w:pPr>
      <w:r>
        <w:rPr>
          <w:rFonts w:ascii="Arial" w:cs="Arial" w:eastAsia="Arial" w:hAnsi="Arial"/>
          <w:sz w:val="16"/>
          <w:szCs w:val="16"/>
          <w:color w:val="auto"/>
        </w:rPr>
        <w:t>Equity compensation plans approved by security holders (3)(4)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132080</wp:posOffset>
            </wp:positionV>
            <wp:extent cx="728980"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Pr>
          <w:p>
            <w:pPr>
              <w:jc w:val="center"/>
              <w:spacing w:after="0"/>
              <w:rPr>
                <w:sz w:val="20"/>
                <w:szCs w:val="20"/>
                <w:color w:val="auto"/>
              </w:rPr>
            </w:pPr>
            <w:r>
              <w:rPr>
                <w:rFonts w:ascii="Arial" w:cs="Arial" w:eastAsia="Arial" w:hAnsi="Arial"/>
                <w:sz w:val="14"/>
                <w:szCs w:val="14"/>
                <w:b w:val="1"/>
                <w:bCs w:val="1"/>
                <w:color w:val="auto"/>
                <w:w w:val="93"/>
              </w:rPr>
              <w:t>(a)</w:t>
            </w: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20" w:type="dxa"/>
            <w:vAlign w:val="bottom"/>
            <w:gridSpan w:val="2"/>
          </w:tcPr>
          <w:p>
            <w:pPr>
              <w:jc w:val="center"/>
              <w:ind w:right="980"/>
              <w:spacing w:after="0"/>
              <w:rPr>
                <w:sz w:val="20"/>
                <w:szCs w:val="20"/>
                <w:color w:val="auto"/>
              </w:rPr>
            </w:pPr>
            <w:r>
              <w:rPr>
                <w:rFonts w:ascii="Arial" w:cs="Arial" w:eastAsia="Arial" w:hAnsi="Arial"/>
                <w:sz w:val="14"/>
                <w:szCs w:val="14"/>
                <w:b w:val="1"/>
                <w:bCs w:val="1"/>
                <w:color w:val="auto"/>
                <w:w w:val="89"/>
              </w:rPr>
              <w:t>(b)</w:t>
            </w:r>
          </w:p>
        </w:tc>
        <w:tc>
          <w:tcPr>
            <w:tcW w:w="1420" w:type="dxa"/>
            <w:vAlign w:val="bottom"/>
          </w:tcPr>
          <w:p>
            <w:pPr>
              <w:jc w:val="center"/>
              <w:spacing w:after="0"/>
              <w:rPr>
                <w:sz w:val="20"/>
                <w:szCs w:val="20"/>
                <w:color w:val="auto"/>
              </w:rPr>
            </w:pPr>
            <w:r>
              <w:rPr>
                <w:rFonts w:ascii="Arial" w:cs="Arial" w:eastAsia="Arial" w:hAnsi="Arial"/>
                <w:sz w:val="14"/>
                <w:szCs w:val="14"/>
                <w:b w:val="1"/>
                <w:bCs w:val="1"/>
                <w:color w:val="auto"/>
                <w:w w:val="81"/>
              </w:rPr>
              <w:t>(c)</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20" w:type="dxa"/>
            <w:vAlign w:val="bottom"/>
            <w:gridSpan w:val="2"/>
          </w:tcPr>
          <w:p>
            <w:pPr>
              <w:jc w:val="center"/>
              <w:ind w:right="960"/>
              <w:spacing w:after="0" w:line="149" w:lineRule="exact"/>
              <w:rPr>
                <w:sz w:val="20"/>
                <w:szCs w:val="20"/>
                <w:color w:val="auto"/>
              </w:rPr>
            </w:pPr>
            <w:r>
              <w:rPr>
                <w:rFonts w:ascii="Arial" w:cs="Arial" w:eastAsia="Arial" w:hAnsi="Arial"/>
                <w:sz w:val="14"/>
                <w:szCs w:val="14"/>
                <w:b w:val="1"/>
                <w:bCs w:val="1"/>
                <w:color w:val="auto"/>
                <w:w w:val="85"/>
              </w:rPr>
              <w:t>Weighted</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Securities</w:t>
            </w: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20" w:type="dxa"/>
            <w:vAlign w:val="bottom"/>
            <w:gridSpan w:val="2"/>
          </w:tcPr>
          <w:p>
            <w:pPr>
              <w:jc w:val="center"/>
              <w:ind w:right="980"/>
              <w:spacing w:after="0" w:line="149" w:lineRule="exact"/>
              <w:rPr>
                <w:sz w:val="20"/>
                <w:szCs w:val="20"/>
                <w:color w:val="auto"/>
              </w:rPr>
            </w:pPr>
            <w:r>
              <w:rPr>
                <w:rFonts w:ascii="Arial" w:cs="Arial" w:eastAsia="Arial" w:hAnsi="Arial"/>
                <w:sz w:val="14"/>
                <w:szCs w:val="14"/>
                <w:b w:val="1"/>
                <w:bCs w:val="1"/>
                <w:color w:val="auto"/>
                <w:w w:val="86"/>
              </w:rPr>
              <w:t>Average</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Securities Remaining</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to Be Issued</w:t>
            </w:r>
          </w:p>
        </w:tc>
        <w:tc>
          <w:tcPr>
            <w:tcW w:w="880" w:type="dxa"/>
            <w:vAlign w:val="bottom"/>
          </w:tcPr>
          <w:p>
            <w:pPr>
              <w:spacing w:after="0"/>
              <w:rPr>
                <w:sz w:val="12"/>
                <w:szCs w:val="12"/>
                <w:color w:val="auto"/>
              </w:rPr>
            </w:pPr>
          </w:p>
        </w:tc>
        <w:tc>
          <w:tcPr>
            <w:tcW w:w="1740" w:type="dxa"/>
            <w:vAlign w:val="bottom"/>
            <w:gridSpan w:val="3"/>
          </w:tcPr>
          <w:p>
            <w:pPr>
              <w:jc w:val="center"/>
              <w:ind w:right="840"/>
              <w:spacing w:after="0" w:line="149" w:lineRule="exact"/>
              <w:rPr>
                <w:sz w:val="20"/>
                <w:szCs w:val="20"/>
                <w:color w:val="auto"/>
              </w:rPr>
            </w:pPr>
            <w:r>
              <w:rPr>
                <w:rFonts w:ascii="Arial" w:cs="Arial" w:eastAsia="Arial" w:hAnsi="Arial"/>
                <w:sz w:val="14"/>
                <w:szCs w:val="14"/>
                <w:b w:val="1"/>
                <w:bCs w:val="1"/>
                <w:color w:val="auto"/>
                <w:w w:val="89"/>
              </w:rPr>
              <w:t>Exercise Price</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Available for Future</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Upon Exercise</w:t>
            </w:r>
          </w:p>
        </w:tc>
        <w:tc>
          <w:tcPr>
            <w:tcW w:w="880" w:type="dxa"/>
            <w:vAlign w:val="bottom"/>
          </w:tcPr>
          <w:p>
            <w:pPr>
              <w:spacing w:after="0"/>
              <w:rPr>
                <w:sz w:val="12"/>
                <w:szCs w:val="12"/>
                <w:color w:val="auto"/>
              </w:rPr>
            </w:pPr>
          </w:p>
        </w:tc>
        <w:tc>
          <w:tcPr>
            <w:tcW w:w="1740" w:type="dxa"/>
            <w:vAlign w:val="bottom"/>
            <w:gridSpan w:val="3"/>
          </w:tcPr>
          <w:p>
            <w:pPr>
              <w:jc w:val="center"/>
              <w:ind w:right="840"/>
              <w:spacing w:after="0" w:line="149" w:lineRule="exact"/>
              <w:rPr>
                <w:sz w:val="20"/>
                <w:szCs w:val="20"/>
                <w:color w:val="auto"/>
              </w:rPr>
            </w:pPr>
            <w:r>
              <w:rPr>
                <w:rFonts w:ascii="Arial" w:cs="Arial" w:eastAsia="Arial" w:hAnsi="Arial"/>
                <w:sz w:val="14"/>
                <w:szCs w:val="14"/>
                <w:b w:val="1"/>
                <w:bCs w:val="1"/>
                <w:color w:val="auto"/>
                <w:w w:val="86"/>
              </w:rPr>
              <w:t>of Outstanding</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Issuance under Equity</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of Outstanding</w:t>
            </w: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20" w:type="dxa"/>
            <w:vAlign w:val="bottom"/>
            <w:gridSpan w:val="2"/>
          </w:tcPr>
          <w:p>
            <w:pPr>
              <w:jc w:val="center"/>
              <w:ind w:right="980"/>
              <w:spacing w:after="0" w:line="149" w:lineRule="exact"/>
              <w:rPr>
                <w:sz w:val="20"/>
                <w:szCs w:val="20"/>
                <w:color w:val="auto"/>
              </w:rPr>
            </w:pPr>
            <w:r>
              <w:rPr>
                <w:rFonts w:ascii="Arial" w:cs="Arial" w:eastAsia="Arial" w:hAnsi="Arial"/>
                <w:sz w:val="14"/>
                <w:szCs w:val="14"/>
                <w:b w:val="1"/>
                <w:bCs w:val="1"/>
                <w:color w:val="auto"/>
                <w:w w:val="84"/>
              </w:rPr>
              <w:t>Options,</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Compensation Plans</w:t>
            </w:r>
          </w:p>
        </w:tc>
      </w:tr>
      <w:tr>
        <w:trPr>
          <w:trHeight w:val="149"/>
        </w:trPr>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Options, Warrants</w:t>
            </w:r>
          </w:p>
        </w:tc>
        <w:tc>
          <w:tcPr>
            <w:tcW w:w="880" w:type="dxa"/>
            <w:vAlign w:val="bottom"/>
          </w:tcPr>
          <w:p>
            <w:pPr>
              <w:spacing w:after="0"/>
              <w:rPr>
                <w:sz w:val="12"/>
                <w:szCs w:val="12"/>
                <w:color w:val="auto"/>
              </w:rPr>
            </w:pPr>
          </w:p>
        </w:tc>
        <w:tc>
          <w:tcPr>
            <w:tcW w:w="1740" w:type="dxa"/>
            <w:vAlign w:val="bottom"/>
            <w:gridSpan w:val="3"/>
          </w:tcPr>
          <w:p>
            <w:pPr>
              <w:jc w:val="center"/>
              <w:ind w:right="860"/>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(Excluding Securities</w:t>
            </w:r>
          </w:p>
        </w:tc>
      </w:tr>
      <w:tr>
        <w:trPr>
          <w:trHeight w:val="161"/>
        </w:trPr>
        <w:tc>
          <w:tcPr>
            <w:tcW w:w="1080" w:type="dxa"/>
            <w:vAlign w:val="bottom"/>
          </w:tcPr>
          <w:p>
            <w:pPr>
              <w:jc w:val="center"/>
              <w:spacing w:after="0"/>
              <w:rPr>
                <w:sz w:val="20"/>
                <w:szCs w:val="20"/>
                <w:color w:val="auto"/>
              </w:rPr>
            </w:pPr>
            <w:r>
              <w:rPr>
                <w:rFonts w:ascii="Arial" w:cs="Arial" w:eastAsia="Arial" w:hAnsi="Arial"/>
                <w:sz w:val="14"/>
                <w:szCs w:val="14"/>
                <w:b w:val="1"/>
                <w:bCs w:val="1"/>
                <w:color w:val="auto"/>
                <w:w w:val="87"/>
              </w:rPr>
              <w:t>and Rights (1)</w:t>
            </w: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20" w:type="dxa"/>
            <w:vAlign w:val="bottom"/>
            <w:gridSpan w:val="2"/>
          </w:tcPr>
          <w:p>
            <w:pPr>
              <w:jc w:val="center"/>
              <w:ind w:right="980"/>
              <w:spacing w:after="0"/>
              <w:rPr>
                <w:sz w:val="20"/>
                <w:szCs w:val="20"/>
                <w:color w:val="auto"/>
              </w:rPr>
            </w:pPr>
            <w:r>
              <w:rPr>
                <w:rFonts w:ascii="Arial" w:cs="Arial" w:eastAsia="Arial" w:hAnsi="Arial"/>
                <w:sz w:val="14"/>
                <w:szCs w:val="14"/>
                <w:b w:val="1"/>
                <w:bCs w:val="1"/>
                <w:color w:val="auto"/>
                <w:w w:val="86"/>
              </w:rPr>
              <w:t>Rights (2)</w:t>
            </w:r>
          </w:p>
        </w:tc>
        <w:tc>
          <w:tcPr>
            <w:tcW w:w="1420" w:type="dxa"/>
            <w:vAlign w:val="bottom"/>
          </w:tcPr>
          <w:p>
            <w:pPr>
              <w:jc w:val="center"/>
              <w:spacing w:after="0"/>
              <w:rPr>
                <w:sz w:val="20"/>
                <w:szCs w:val="20"/>
                <w:color w:val="auto"/>
              </w:rPr>
            </w:pPr>
            <w:r>
              <w:rPr>
                <w:rFonts w:ascii="Arial" w:cs="Arial" w:eastAsia="Arial" w:hAnsi="Arial"/>
                <w:sz w:val="14"/>
                <w:szCs w:val="14"/>
                <w:b w:val="1"/>
                <w:bCs w:val="1"/>
                <w:color w:val="auto"/>
                <w:w w:val="88"/>
              </w:rPr>
              <w:t>Reflected in Column (a))</w:t>
            </w:r>
          </w:p>
        </w:tc>
      </w:tr>
      <w:tr>
        <w:trPr>
          <w:trHeight w:val="210"/>
        </w:trPr>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63,133,241</w:t>
            </w:r>
          </w:p>
        </w:tc>
        <w:tc>
          <w:tcPr>
            <w:tcW w:w="880" w:type="dxa"/>
            <w:vAlign w:val="bottom"/>
          </w:tcPr>
          <w:p>
            <w:pPr>
              <w:spacing w:after="0"/>
              <w:rPr>
                <w:sz w:val="18"/>
                <w:szCs w:val="18"/>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13.69</w:t>
            </w:r>
          </w:p>
        </w:tc>
        <w:tc>
          <w:tcPr>
            <w:tcW w:w="860" w:type="dxa"/>
            <w:vAlign w:val="bottom"/>
          </w:tcPr>
          <w:p>
            <w:pPr>
              <w:spacing w:after="0"/>
              <w:rPr>
                <w:sz w:val="18"/>
                <w:szCs w:val="18"/>
                <w:color w:val="auto"/>
              </w:rPr>
            </w:pPr>
          </w:p>
        </w:tc>
        <w:tc>
          <w:tcPr>
            <w:tcW w:w="14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119,877,566</w:t>
            </w:r>
          </w:p>
        </w:tc>
      </w:tr>
      <w:tr>
        <w:trPr>
          <w:trHeight w:val="20"/>
        </w:trPr>
        <w:tc>
          <w:tcPr>
            <w:tcW w:w="1080" w:type="dxa"/>
            <w:vAlign w:val="bottom"/>
            <w:tcBorders>
              <w:bottom w:val="single" w:sz="8" w:color="auto"/>
            </w:tcBorders>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-3931285</wp:posOffset>
            </wp:positionH>
            <wp:positionV relativeFrom="paragraph">
              <wp:posOffset>-170815</wp:posOffset>
            </wp:positionV>
            <wp:extent cx="7246620" cy="14605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46620" cy="146050"/>
                    </a:xfrm>
                    <a:prstGeom prst="rect">
                      <a:avLst/>
                    </a:prstGeom>
                    <a:noFill/>
                  </pic:spPr>
                </pic:pic>
              </a:graphicData>
            </a:graphic>
          </wp:anchor>
        </w:drawing>
      </w:r>
    </w:p>
    <w:p>
      <w:pPr>
        <w:spacing w:after="0" w:line="154" w:lineRule="exact"/>
        <w:rPr>
          <w:sz w:val="20"/>
          <w:szCs w:val="20"/>
          <w:color w:val="auto"/>
        </w:rPr>
      </w:pPr>
    </w:p>
    <w:p>
      <w:pPr>
        <w:sectPr>
          <w:pgSz w:w="11900" w:h="16838" w:orient="portrait"/>
          <w:cols w:equalWidth="0" w:num="2">
            <w:col w:w="5480" w:space="720"/>
            <w:col w:w="5200"/>
          </w:cols>
          <w:pgMar w:left="240" w:top="459" w:right="259" w:bottom="1440" w:gutter="0" w:footer="0" w:header="0"/>
          <w:type w:val="continuous"/>
        </w:sectPr>
      </w:pPr>
    </w:p>
    <w:p>
      <w:pPr>
        <w:ind w:left="460" w:right="80" w:hanging="452"/>
        <w:spacing w:after="0" w:line="254" w:lineRule="auto"/>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February 1, 2014).</w:t>
      </w:r>
    </w:p>
    <w:p>
      <w:pPr>
        <w:ind w:left="460" w:right="120" w:hanging="452"/>
        <w:spacing w:after="0" w:line="250" w:lineRule="auto"/>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weighted average exercise price calculation does not take into account any restricted stock units as those units vest, without any cash consideration or other payment required for such shares.</w:t>
      </w:r>
    </w:p>
    <w:p>
      <w:pPr>
        <w:ind w:left="460" w:right="200" w:hanging="452"/>
        <w:spacing w:after="0" w:line="250" w:lineRule="auto"/>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Includes our Amended and Restated 1995 Stock Option Plan, our 1997 Directors’ Stock Option Plan, our Amended 2000 Employee Stock Purchase Plan (the “2000 ESPP”) and our 2007 Directors’ Stock Option Plan.</w:t>
      </w:r>
    </w:p>
    <w:p>
      <w:pPr>
        <w:ind w:left="460" w:hanging="452"/>
        <w:spacing w:after="0"/>
        <w:tabs>
          <w:tab w:leader="none" w:pos="46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The number of shares reserved for issuance under our 2000 ESPP includes an annual increase in shares reserved for issuance equal to the lesser of</w:t>
      </w:r>
    </w:p>
    <w:p>
      <w:pPr>
        <w:spacing w:after="0" w:line="32" w:lineRule="exact"/>
        <w:rPr>
          <w:rFonts w:ascii="Arial" w:cs="Arial" w:eastAsia="Arial" w:hAnsi="Arial"/>
          <w:sz w:val="16"/>
          <w:szCs w:val="16"/>
          <w:color w:val="auto"/>
        </w:rPr>
      </w:pPr>
    </w:p>
    <w:p>
      <w:pPr>
        <w:ind w:left="460" w:right="380"/>
        <w:spacing w:after="0" w:line="261" w:lineRule="auto"/>
        <w:rPr>
          <w:rFonts w:ascii="Arial" w:cs="Arial" w:eastAsia="Arial" w:hAnsi="Arial"/>
          <w:sz w:val="16"/>
          <w:szCs w:val="16"/>
          <w:color w:val="auto"/>
        </w:rPr>
      </w:pPr>
      <w:r>
        <w:rPr>
          <w:rFonts w:ascii="Arial" w:cs="Arial" w:eastAsia="Arial" w:hAnsi="Arial"/>
          <w:sz w:val="18"/>
          <w:szCs w:val="18"/>
          <w:color w:val="auto"/>
        </w:rPr>
        <w:t>(i) 8,000,000 shares of Common Stock, or (ii) 1.5% of the outstanding shares of capital stock on such date, or (iii) an amount determined by the Board (provided that the amount approved by the Board shall not be greater than (i) or (ii)).</w:t>
      </w:r>
    </w:p>
    <w:p>
      <w:pPr>
        <w:spacing w:after="0" w:line="25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2014 Proxy Statement.</w:t>
      </w:r>
    </w:p>
    <w:p>
      <w:pPr>
        <w:spacing w:after="0" w:line="132"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2014 Proxy Statement.</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2014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400"/>
          </w:cols>
          <w:pgMar w:left="240" w:top="459" w:right="259" w:bottom="1440" w:gutter="0" w:footer="0" w:header="0"/>
          <w:type w:val="continuous"/>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PART IV</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Financial Statement Schedules</w:t>
      </w:r>
    </w:p>
    <w:p>
      <w:pPr>
        <w:spacing w:after="0" w:line="96" w:lineRule="exact"/>
        <w:rPr>
          <w:sz w:val="20"/>
          <w:szCs w:val="20"/>
          <w:color w:val="auto"/>
        </w:rPr>
      </w:pPr>
    </w:p>
    <w:p>
      <w:pPr>
        <w:ind w:left="900" w:hanging="446"/>
        <w:spacing w:after="0"/>
        <w:tabs>
          <w:tab w:leader="none" w:pos="90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90" w:lineRule="exact"/>
        <w:rPr>
          <w:sz w:val="20"/>
          <w:szCs w:val="20"/>
          <w:color w:val="auto"/>
        </w:rPr>
      </w:pPr>
    </w:p>
    <w:p>
      <w:pPr>
        <w:ind w:left="900" w:hanging="446"/>
        <w:spacing w:after="0"/>
        <w:tabs>
          <w:tab w:leader="none" w:pos="900"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387" w:lineRule="exact"/>
        <w:rPr>
          <w:sz w:val="20"/>
          <w:szCs w:val="20"/>
          <w:color w:val="auto"/>
        </w:rPr>
      </w:pPr>
    </w:p>
    <w:p>
      <w:pPr>
        <w:ind w:left="900" w:hanging="446"/>
        <w:spacing w:after="0"/>
        <w:tabs>
          <w:tab w:leader="none" w:pos="900" w:val="left"/>
        </w:tabs>
        <w:numPr>
          <w:ilvl w:val="0"/>
          <w:numId w:val="28"/>
        </w:numPr>
        <w:rPr>
          <w:rFonts w:ascii="Arial" w:cs="Arial" w:eastAsia="Arial" w:hAnsi="Arial"/>
          <w:sz w:val="18"/>
          <w:szCs w:val="18"/>
          <w:color w:val="auto"/>
        </w:rPr>
      </w:pPr>
      <w:r>
        <w:rPr>
          <w:rFonts w:ascii="Arial" w:cs="Arial" w:eastAsia="Arial" w:hAnsi="Arial"/>
          <w:sz w:val="18"/>
          <w:szCs w:val="18"/>
          <w:i w:val="1"/>
          <w:iCs w:val="1"/>
          <w:color w:val="auto"/>
        </w:rPr>
        <w:t>Financial Statement Schedule:</w:t>
      </w:r>
    </w:p>
    <w:p>
      <w:pPr>
        <w:spacing w:after="0" w:line="90" w:lineRule="exact"/>
        <w:rPr>
          <w:sz w:val="20"/>
          <w:szCs w:val="20"/>
          <w:color w:val="auto"/>
        </w:rPr>
      </w:pPr>
    </w:p>
    <w:p>
      <w:pPr>
        <w:ind w:left="460"/>
        <w:spacing w:after="0"/>
        <w:tabs>
          <w:tab w:leader="none" w:pos="880" w:val="left"/>
        </w:tabs>
        <w:rPr>
          <w:sz w:val="20"/>
          <w:szCs w:val="20"/>
          <w:color w:val="auto"/>
        </w:rPr>
      </w:pPr>
      <w:r>
        <w:rPr>
          <w:rFonts w:ascii="Arial" w:cs="Arial" w:eastAsia="Arial" w:hAnsi="Arial"/>
          <w:sz w:val="18"/>
          <w:szCs w:val="18"/>
          <w:color w:val="auto"/>
        </w:rPr>
        <w:t>See</w:t>
        <w:tab/>
        <w:t>“Schedule II – Valuation and Qualifying Accounts” on page 111 of this Annual Report on Form 10-K:</w:t>
      </w:r>
    </w:p>
    <w:p>
      <w:pPr>
        <w:spacing w:after="0" w:line="17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254" w:lineRule="exact"/>
        <w:rPr>
          <w:sz w:val="20"/>
          <w:szCs w:val="20"/>
          <w:color w:val="auto"/>
        </w:rPr>
      </w:pPr>
    </w:p>
    <w:p>
      <w:pPr>
        <w:ind w:left="900" w:hanging="446"/>
        <w:spacing w:after="0"/>
        <w:tabs>
          <w:tab w:leader="none" w:pos="900" w:val="left"/>
        </w:tabs>
        <w:numPr>
          <w:ilvl w:val="0"/>
          <w:numId w:val="29"/>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Annual Report on Form 10-K.</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060"/>
          </w:cols>
          <w:pgMar w:left="240" w:top="459" w:right="59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25" w:lineRule="exact"/>
        <w:rPr>
          <w:sz w:val="20"/>
          <w:szCs w:val="20"/>
          <w:color w:val="auto"/>
        </w:rPr>
      </w:pPr>
    </w:p>
    <w:p>
      <w:pPr>
        <w:spacing w:after="0"/>
        <w:tabs>
          <w:tab w:leader="none" w:pos="5560" w:val="left"/>
          <w:tab w:leader="none" w:pos="7620" w:val="left"/>
          <w:tab w:leader="none" w:pos="7960" w:val="left"/>
        </w:tabs>
        <w:rPr>
          <w:sz w:val="20"/>
          <w:szCs w:val="20"/>
          <w:color w:val="auto"/>
        </w:rPr>
      </w:pPr>
      <w:r>
        <w:rPr>
          <w:rFonts w:ascii="Arial" w:cs="Arial" w:eastAsia="Arial" w:hAnsi="Arial"/>
          <w:sz w:val="18"/>
          <w:szCs w:val="18"/>
          <w:color w:val="auto"/>
        </w:rPr>
        <w:t>Dated: March 27,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3761105</wp:posOffset>
            </wp:positionH>
            <wp:positionV relativeFrom="paragraph">
              <wp:posOffset>10795</wp:posOffset>
            </wp:positionV>
            <wp:extent cx="3490595"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3490595" cy="8890"/>
                    </a:xfrm>
                    <a:prstGeom prst="rect">
                      <a:avLst/>
                    </a:prstGeom>
                    <a:noFill/>
                  </pic:spPr>
                </pic:pic>
              </a:graphicData>
            </a:graphic>
          </wp:anchor>
        </w:drawing>
      </w:r>
    </w:p>
    <w:p>
      <w:pPr>
        <w:jc w:val="center"/>
        <w:ind w:left="6060"/>
        <w:spacing w:after="0"/>
        <w:rPr>
          <w:sz w:val="20"/>
          <w:szCs w:val="20"/>
          <w:color w:val="auto"/>
        </w:rPr>
      </w:pPr>
      <w:r>
        <w:rPr>
          <w:rFonts w:ascii="Arial" w:cs="Arial" w:eastAsia="Arial" w:hAnsi="Arial"/>
          <w:sz w:val="14"/>
          <w:szCs w:val="14"/>
          <w:b w:val="1"/>
          <w:bCs w:val="1"/>
          <w:color w:val="auto"/>
        </w:rPr>
        <w:t>Dr. Sehat Sutardja</w:t>
      </w:r>
    </w:p>
    <w:p>
      <w:pPr>
        <w:spacing w:after="0" w:line="1" w:lineRule="exact"/>
        <w:rPr>
          <w:sz w:val="20"/>
          <w:szCs w:val="20"/>
          <w:color w:val="auto"/>
        </w:rPr>
      </w:pPr>
    </w:p>
    <w:p>
      <w:pPr>
        <w:jc w:val="center"/>
        <w:ind w:left="6060"/>
        <w:spacing w:after="0"/>
        <w:rPr>
          <w:sz w:val="20"/>
          <w:szCs w:val="20"/>
          <w:color w:val="auto"/>
        </w:rPr>
      </w:pPr>
      <w:r>
        <w:rPr>
          <w:rFonts w:ascii="Arial" w:cs="Arial" w:eastAsia="Arial" w:hAnsi="Arial"/>
          <w:sz w:val="14"/>
          <w:szCs w:val="14"/>
          <w:b w:val="1"/>
          <w:bCs w:val="1"/>
          <w:i w:val="1"/>
          <w:iCs w:val="1"/>
          <w:color w:val="auto"/>
        </w:rPr>
        <w:t>Chief Executive Officer</w:t>
      </w:r>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Dr. Sehat Sutardja and Michael Rashkin, and each of them individually, as his attorney-in-fact, each with full power of substitution, for him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60" w:type="dxa"/>
            <w:vAlign w:val="bottom"/>
          </w:tcPr>
          <w:p>
            <w:pPr>
              <w:spacing w:after="0"/>
              <w:rPr>
                <w:sz w:val="14"/>
                <w:szCs w:val="14"/>
                <w:color w:val="auto"/>
              </w:rPr>
            </w:pPr>
          </w:p>
        </w:tc>
        <w:tc>
          <w:tcPr>
            <w:tcW w:w="1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Name and Signature</w:t>
            </w:r>
          </w:p>
        </w:tc>
        <w:tc>
          <w:tcPr>
            <w:tcW w:w="166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Title</w:t>
            </w:r>
          </w:p>
        </w:tc>
        <w:tc>
          <w:tcPr>
            <w:tcW w:w="23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Date</w:t>
            </w:r>
          </w:p>
        </w:tc>
        <w:tc>
          <w:tcPr>
            <w:tcW w:w="420" w:type="dxa"/>
            <w:vAlign w:val="bottom"/>
          </w:tcPr>
          <w:p>
            <w:pPr>
              <w:spacing w:after="0"/>
              <w:rPr>
                <w:sz w:val="14"/>
                <w:szCs w:val="14"/>
                <w:color w:val="auto"/>
              </w:rPr>
            </w:pPr>
          </w:p>
        </w:tc>
      </w:tr>
      <w:tr>
        <w:trPr>
          <w:trHeight w:val="424"/>
        </w:trPr>
        <w:tc>
          <w:tcPr>
            <w:tcW w:w="1660" w:type="dxa"/>
            <w:vAlign w:val="bottom"/>
            <w:tcBorders>
              <w:bottom w:val="single" w:sz="8" w:color="auto"/>
            </w:tcBorders>
          </w:tcPr>
          <w:p>
            <w:pPr>
              <w:ind w:left="1480"/>
              <w:spacing w:after="0"/>
              <w:rPr>
                <w:sz w:val="20"/>
                <w:szCs w:val="20"/>
                <w:color w:val="auto"/>
              </w:rPr>
            </w:pPr>
            <w:r>
              <w:rPr>
                <w:rFonts w:ascii="Arial" w:cs="Arial" w:eastAsia="Arial" w:hAnsi="Arial"/>
                <w:sz w:val="18"/>
                <w:szCs w:val="18"/>
                <w:color w:val="auto"/>
                <w:w w:val="82"/>
              </w:rPr>
              <w:t>/</w:t>
            </w:r>
            <w:r>
              <w:rPr>
                <w:rFonts w:ascii="Arial" w:cs="Arial" w:eastAsia="Arial" w:hAnsi="Arial"/>
                <w:sz w:val="14"/>
                <w:szCs w:val="14"/>
                <w:color w:val="auto"/>
                <w:w w:val="82"/>
              </w:rPr>
              <w:t>S</w:t>
            </w:r>
            <w:r>
              <w:rPr>
                <w:rFonts w:ascii="Arial" w:cs="Arial" w:eastAsia="Arial" w:hAnsi="Arial"/>
                <w:sz w:val="18"/>
                <w:szCs w:val="18"/>
                <w:color w:val="auto"/>
                <w:w w:val="82"/>
              </w:rPr>
              <w:t>/</w:t>
            </w:r>
          </w:p>
        </w:tc>
        <w:tc>
          <w:tcPr>
            <w:tcW w:w="2920" w:type="dxa"/>
            <w:vAlign w:val="bottom"/>
            <w:tcBorders>
              <w:bottom w:val="single" w:sz="8" w:color="auto"/>
            </w:tcBorders>
            <w:gridSpan w:val="2"/>
          </w:tcPr>
          <w:p>
            <w:pPr>
              <w:jc w:val="center"/>
              <w:ind w:right="1300"/>
              <w:spacing w:after="0"/>
              <w:rPr>
                <w:sz w:val="20"/>
                <w:szCs w:val="20"/>
                <w:color w:val="auto"/>
              </w:rPr>
            </w:pPr>
            <w:r>
              <w:rPr>
                <w:rFonts w:ascii="Arial" w:cs="Arial" w:eastAsia="Arial" w:hAnsi="Arial"/>
                <w:sz w:val="18"/>
                <w:szCs w:val="18"/>
                <w:color w:val="auto"/>
                <w:w w:val="96"/>
              </w:rPr>
              <w:t>S</w:t>
            </w:r>
            <w:r>
              <w:rPr>
                <w:rFonts w:ascii="Arial" w:cs="Arial" w:eastAsia="Arial" w:hAnsi="Arial"/>
                <w:sz w:val="14"/>
                <w:szCs w:val="14"/>
                <w:color w:val="auto"/>
                <w:w w:val="96"/>
              </w:rPr>
              <w:t>EHAT</w:t>
            </w:r>
            <w:r>
              <w:rPr>
                <w:rFonts w:ascii="Arial" w:cs="Arial" w:eastAsia="Arial" w:hAnsi="Arial"/>
                <w:sz w:val="18"/>
                <w:szCs w:val="18"/>
                <w:color w:val="auto"/>
                <w:w w:val="96"/>
              </w:rPr>
              <w:t xml:space="preserve"> S</w:t>
            </w:r>
            <w:r>
              <w:rPr>
                <w:rFonts w:ascii="Arial" w:cs="Arial" w:eastAsia="Arial" w:hAnsi="Arial"/>
                <w:sz w:val="14"/>
                <w:szCs w:val="14"/>
                <w:color w:val="auto"/>
                <w:w w:val="96"/>
              </w:rPr>
              <w:t>UTARDJA</w:t>
            </w:r>
          </w:p>
        </w:tc>
        <w:tc>
          <w:tcPr>
            <w:tcW w:w="4980" w:type="dxa"/>
            <w:vAlign w:val="bottom"/>
            <w:gridSpan w:val="3"/>
          </w:tcPr>
          <w:p>
            <w:pPr>
              <w:jc w:val="center"/>
              <w:ind w:right="40"/>
              <w:spacing w:after="0"/>
              <w:rPr>
                <w:sz w:val="20"/>
                <w:szCs w:val="20"/>
                <w:color w:val="auto"/>
              </w:rPr>
            </w:pPr>
            <w:r>
              <w:rPr>
                <w:rFonts w:ascii="Arial" w:cs="Arial" w:eastAsia="Arial" w:hAnsi="Arial"/>
                <w:sz w:val="18"/>
                <w:szCs w:val="18"/>
                <w:color w:val="auto"/>
                <w:w w:val="90"/>
              </w:rPr>
              <w:t>Chairman of the Board and Chief Executive Officer (Principal</w:t>
            </w:r>
          </w:p>
        </w:tc>
        <w:tc>
          <w:tcPr>
            <w:tcW w:w="1460" w:type="dxa"/>
            <w:vAlign w:val="bottom"/>
            <w:gridSpan w:val="3"/>
          </w:tcPr>
          <w:p>
            <w:pPr>
              <w:jc w:val="center"/>
              <w:ind w:left="252"/>
              <w:spacing w:after="0"/>
              <w:rPr>
                <w:sz w:val="20"/>
                <w:szCs w:val="20"/>
                <w:color w:val="auto"/>
              </w:rPr>
            </w:pPr>
            <w:r>
              <w:rPr>
                <w:rFonts w:ascii="Arial" w:cs="Arial" w:eastAsia="Arial" w:hAnsi="Arial"/>
                <w:sz w:val="18"/>
                <w:szCs w:val="18"/>
                <w:color w:val="auto"/>
                <w:w w:val="89"/>
              </w:rPr>
              <w:t>March 27, 2014</w:t>
            </w:r>
          </w:p>
        </w:tc>
      </w:tr>
      <w:tr>
        <w:trPr>
          <w:trHeight w:val="202"/>
        </w:trPr>
        <w:tc>
          <w:tcPr>
            <w:tcW w:w="1660" w:type="dxa"/>
            <w:vAlign w:val="bottom"/>
          </w:tcPr>
          <w:p>
            <w:pPr>
              <w:spacing w:after="0"/>
              <w:rPr>
                <w:sz w:val="17"/>
                <w:szCs w:val="17"/>
                <w:color w:val="auto"/>
              </w:rPr>
            </w:pPr>
          </w:p>
        </w:tc>
        <w:tc>
          <w:tcPr>
            <w:tcW w:w="2920" w:type="dxa"/>
            <w:vAlign w:val="bottom"/>
            <w:gridSpan w:val="2"/>
          </w:tcPr>
          <w:p>
            <w:pPr>
              <w:jc w:val="center"/>
              <w:ind w:right="1640"/>
              <w:spacing w:after="0"/>
              <w:rPr>
                <w:sz w:val="20"/>
                <w:szCs w:val="20"/>
                <w:color w:val="auto"/>
              </w:rPr>
            </w:pPr>
            <w:r>
              <w:rPr>
                <w:rFonts w:ascii="Arial" w:cs="Arial" w:eastAsia="Arial" w:hAnsi="Arial"/>
                <w:sz w:val="14"/>
                <w:szCs w:val="14"/>
                <w:b w:val="1"/>
                <w:bCs w:val="1"/>
                <w:color w:val="auto"/>
                <w:w w:val="88"/>
              </w:rPr>
              <w:t>Dr. Sehat Sutardja</w:t>
            </w:r>
          </w:p>
        </w:tc>
        <w:tc>
          <w:tcPr>
            <w:tcW w:w="4980" w:type="dxa"/>
            <w:vAlign w:val="bottom"/>
            <w:gridSpan w:val="3"/>
          </w:tcPr>
          <w:p>
            <w:pPr>
              <w:jc w:val="center"/>
              <w:ind w:right="40"/>
              <w:spacing w:after="0" w:line="202" w:lineRule="exact"/>
              <w:rPr>
                <w:sz w:val="20"/>
                <w:szCs w:val="20"/>
                <w:color w:val="auto"/>
              </w:rPr>
            </w:pPr>
            <w:r>
              <w:rPr>
                <w:rFonts w:ascii="Arial" w:cs="Arial" w:eastAsia="Arial" w:hAnsi="Arial"/>
                <w:sz w:val="18"/>
                <w:szCs w:val="18"/>
                <w:color w:val="auto"/>
                <w:w w:val="91"/>
              </w:rPr>
              <w:t>Executive Officer)</w:t>
            </w:r>
          </w:p>
        </w:tc>
        <w:tc>
          <w:tcPr>
            <w:tcW w:w="7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26"/>
        </w:trPr>
        <w:tc>
          <w:tcPr>
            <w:tcW w:w="1660" w:type="dxa"/>
            <w:vAlign w:val="bottom"/>
            <w:tcBorders>
              <w:bottom w:val="single" w:sz="8" w:color="auto"/>
            </w:tcBorders>
          </w:tcPr>
          <w:p>
            <w:pPr>
              <w:ind w:left="142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20" w:type="dxa"/>
            <w:vAlign w:val="bottom"/>
            <w:tcBorders>
              <w:bottom w:val="single" w:sz="8" w:color="auto"/>
            </w:tcBorders>
            <w:gridSpan w:val="2"/>
          </w:tcPr>
          <w:p>
            <w:pPr>
              <w:jc w:val="center"/>
              <w:ind w:right="128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ICHAEL</w:t>
            </w:r>
            <w:r>
              <w:rPr>
                <w:rFonts w:ascii="Arial" w:cs="Arial" w:eastAsia="Arial" w:hAnsi="Arial"/>
                <w:sz w:val="18"/>
                <w:szCs w:val="18"/>
                <w:color w:val="auto"/>
              </w:rPr>
              <w:t xml:space="preserve"> R</w:t>
            </w:r>
            <w:r>
              <w:rPr>
                <w:rFonts w:ascii="Arial" w:cs="Arial" w:eastAsia="Arial" w:hAnsi="Arial"/>
                <w:sz w:val="14"/>
                <w:szCs w:val="14"/>
                <w:color w:val="auto"/>
              </w:rPr>
              <w:t>ASHKIN</w:t>
            </w:r>
          </w:p>
        </w:tc>
        <w:tc>
          <w:tcPr>
            <w:tcW w:w="4980" w:type="dxa"/>
            <w:vAlign w:val="bottom"/>
            <w:gridSpan w:val="3"/>
          </w:tcPr>
          <w:p>
            <w:pPr>
              <w:jc w:val="center"/>
              <w:ind w:right="60"/>
              <w:spacing w:after="0"/>
              <w:rPr>
                <w:sz w:val="20"/>
                <w:szCs w:val="20"/>
                <w:color w:val="auto"/>
              </w:rPr>
            </w:pPr>
            <w:r>
              <w:rPr>
                <w:rFonts w:ascii="Arial" w:cs="Arial" w:eastAsia="Arial" w:hAnsi="Arial"/>
                <w:sz w:val="18"/>
                <w:szCs w:val="18"/>
                <w:color w:val="auto"/>
                <w:w w:val="92"/>
              </w:rPr>
              <w:t>Chief Financial Officer</w:t>
            </w:r>
          </w:p>
        </w:tc>
        <w:tc>
          <w:tcPr>
            <w:tcW w:w="1460" w:type="dxa"/>
            <w:vAlign w:val="bottom"/>
            <w:gridSpan w:val="3"/>
          </w:tcPr>
          <w:p>
            <w:pPr>
              <w:jc w:val="center"/>
              <w:ind w:left="252"/>
              <w:spacing w:after="0"/>
              <w:rPr>
                <w:sz w:val="20"/>
                <w:szCs w:val="20"/>
                <w:color w:val="auto"/>
              </w:rPr>
            </w:pPr>
            <w:r>
              <w:rPr>
                <w:rFonts w:ascii="Arial" w:cs="Arial" w:eastAsia="Arial" w:hAnsi="Arial"/>
                <w:sz w:val="18"/>
                <w:szCs w:val="18"/>
                <w:color w:val="auto"/>
                <w:w w:val="89"/>
              </w:rPr>
              <w:t>March 27, 2014</w:t>
            </w:r>
          </w:p>
        </w:tc>
      </w:tr>
      <w:tr>
        <w:trPr>
          <w:trHeight w:val="202"/>
        </w:trPr>
        <w:tc>
          <w:tcPr>
            <w:tcW w:w="1660" w:type="dxa"/>
            <w:vAlign w:val="bottom"/>
          </w:tcPr>
          <w:p>
            <w:pPr>
              <w:spacing w:after="0"/>
              <w:rPr>
                <w:sz w:val="17"/>
                <w:szCs w:val="17"/>
                <w:color w:val="auto"/>
              </w:rPr>
            </w:pPr>
          </w:p>
        </w:tc>
        <w:tc>
          <w:tcPr>
            <w:tcW w:w="2920" w:type="dxa"/>
            <w:vAlign w:val="bottom"/>
            <w:gridSpan w:val="2"/>
          </w:tcPr>
          <w:p>
            <w:pPr>
              <w:jc w:val="center"/>
              <w:ind w:right="1660"/>
              <w:spacing w:after="0"/>
              <w:rPr>
                <w:sz w:val="20"/>
                <w:szCs w:val="20"/>
                <w:color w:val="auto"/>
              </w:rPr>
            </w:pPr>
            <w:r>
              <w:rPr>
                <w:rFonts w:ascii="Arial" w:cs="Arial" w:eastAsia="Arial" w:hAnsi="Arial"/>
                <w:sz w:val="14"/>
                <w:szCs w:val="14"/>
                <w:b w:val="1"/>
                <w:bCs w:val="1"/>
                <w:color w:val="auto"/>
                <w:w w:val="89"/>
              </w:rPr>
              <w:t>Michael Rashkin</w:t>
            </w:r>
          </w:p>
        </w:tc>
        <w:tc>
          <w:tcPr>
            <w:tcW w:w="4980" w:type="dxa"/>
            <w:vAlign w:val="bottom"/>
            <w:gridSpan w:val="3"/>
          </w:tcPr>
          <w:p>
            <w:pPr>
              <w:jc w:val="center"/>
              <w:ind w:right="60"/>
              <w:spacing w:after="0" w:line="202" w:lineRule="exact"/>
              <w:rPr>
                <w:sz w:val="20"/>
                <w:szCs w:val="20"/>
                <w:color w:val="auto"/>
              </w:rPr>
            </w:pPr>
            <w:r>
              <w:rPr>
                <w:rFonts w:ascii="Arial" w:cs="Arial" w:eastAsia="Arial" w:hAnsi="Arial"/>
                <w:sz w:val="18"/>
                <w:szCs w:val="18"/>
                <w:color w:val="auto"/>
                <w:w w:val="91"/>
              </w:rPr>
              <w:t>(Principal Financial and Accounting Officer)</w:t>
            </w:r>
          </w:p>
        </w:tc>
        <w:tc>
          <w:tcPr>
            <w:tcW w:w="7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40"/>
        </w:trPr>
        <w:tc>
          <w:tcPr>
            <w:tcW w:w="1660" w:type="dxa"/>
            <w:vAlign w:val="bottom"/>
            <w:tcBorders>
              <w:bottom w:val="single" w:sz="8" w:color="auto"/>
            </w:tcBorders>
          </w:tcPr>
          <w:p>
            <w:pPr>
              <w:ind w:left="144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20" w:type="dxa"/>
            <w:vAlign w:val="bottom"/>
            <w:tcBorders>
              <w:bottom w:val="single" w:sz="8" w:color="auto"/>
            </w:tcBorders>
            <w:gridSpan w:val="2"/>
          </w:tcPr>
          <w:p>
            <w:pPr>
              <w:jc w:val="center"/>
              <w:ind w:right="1280"/>
              <w:spacing w:after="0"/>
              <w:rPr>
                <w:sz w:val="20"/>
                <w:szCs w:val="20"/>
                <w:color w:val="auto"/>
              </w:rPr>
            </w:pPr>
            <w:r>
              <w:rPr>
                <w:rFonts w:ascii="Arial" w:cs="Arial" w:eastAsia="Arial" w:hAnsi="Arial"/>
                <w:sz w:val="18"/>
                <w:szCs w:val="18"/>
                <w:color w:val="auto"/>
                <w:w w:val="97"/>
              </w:rPr>
              <w:t>J</w:t>
            </w:r>
            <w:r>
              <w:rPr>
                <w:rFonts w:ascii="Arial" w:cs="Arial" w:eastAsia="Arial" w:hAnsi="Arial"/>
                <w:sz w:val="14"/>
                <w:szCs w:val="14"/>
                <w:color w:val="auto"/>
                <w:w w:val="97"/>
              </w:rPr>
              <w:t>UERGEN</w:t>
            </w:r>
            <w:r>
              <w:rPr>
                <w:rFonts w:ascii="Arial" w:cs="Arial" w:eastAsia="Arial" w:hAnsi="Arial"/>
                <w:sz w:val="18"/>
                <w:szCs w:val="18"/>
                <w:color w:val="auto"/>
                <w:w w:val="97"/>
              </w:rPr>
              <w:t xml:space="preserve"> G</w:t>
            </w:r>
            <w:r>
              <w:rPr>
                <w:rFonts w:ascii="Arial" w:cs="Arial" w:eastAsia="Arial" w:hAnsi="Arial"/>
                <w:sz w:val="14"/>
                <w:szCs w:val="14"/>
                <w:color w:val="auto"/>
                <w:w w:val="97"/>
              </w:rPr>
              <w:t>ROMER</w:t>
            </w:r>
          </w:p>
        </w:tc>
        <w:tc>
          <w:tcPr>
            <w:tcW w:w="4980" w:type="dxa"/>
            <w:vAlign w:val="bottom"/>
            <w:gridSpan w:val="3"/>
          </w:tcPr>
          <w:p>
            <w:pPr>
              <w:jc w:val="center"/>
              <w:ind w:right="40"/>
              <w:spacing w:after="0"/>
              <w:rPr>
                <w:sz w:val="20"/>
                <w:szCs w:val="20"/>
                <w:color w:val="auto"/>
              </w:rPr>
            </w:pPr>
            <w:r>
              <w:rPr>
                <w:rFonts w:ascii="Arial" w:cs="Arial" w:eastAsia="Arial" w:hAnsi="Arial"/>
                <w:sz w:val="18"/>
                <w:szCs w:val="18"/>
                <w:color w:val="auto"/>
                <w:w w:val="91"/>
              </w:rPr>
              <w:t>Director</w:t>
            </w:r>
          </w:p>
        </w:tc>
        <w:tc>
          <w:tcPr>
            <w:tcW w:w="1460" w:type="dxa"/>
            <w:vAlign w:val="bottom"/>
            <w:gridSpan w:val="3"/>
          </w:tcPr>
          <w:p>
            <w:pPr>
              <w:jc w:val="center"/>
              <w:ind w:left="252"/>
              <w:spacing w:after="0"/>
              <w:rPr>
                <w:sz w:val="20"/>
                <w:szCs w:val="20"/>
                <w:color w:val="auto"/>
              </w:rPr>
            </w:pPr>
            <w:r>
              <w:rPr>
                <w:rFonts w:ascii="Arial" w:cs="Arial" w:eastAsia="Arial" w:hAnsi="Arial"/>
                <w:sz w:val="18"/>
                <w:szCs w:val="18"/>
                <w:color w:val="auto"/>
                <w:w w:val="89"/>
              </w:rPr>
              <w:t>March 27, 2014</w:t>
            </w:r>
          </w:p>
        </w:tc>
      </w:tr>
      <w:tr>
        <w:trPr>
          <w:trHeight w:val="169"/>
        </w:trPr>
        <w:tc>
          <w:tcPr>
            <w:tcW w:w="1660" w:type="dxa"/>
            <w:vAlign w:val="bottom"/>
          </w:tcPr>
          <w:p>
            <w:pPr>
              <w:spacing w:after="0"/>
              <w:rPr>
                <w:sz w:val="14"/>
                <w:szCs w:val="14"/>
                <w:color w:val="auto"/>
              </w:rPr>
            </w:pPr>
          </w:p>
        </w:tc>
        <w:tc>
          <w:tcPr>
            <w:tcW w:w="2920" w:type="dxa"/>
            <w:vAlign w:val="bottom"/>
            <w:gridSpan w:val="2"/>
          </w:tcPr>
          <w:p>
            <w:pPr>
              <w:jc w:val="center"/>
              <w:ind w:right="1640"/>
              <w:spacing w:after="0"/>
              <w:rPr>
                <w:sz w:val="20"/>
                <w:szCs w:val="20"/>
                <w:color w:val="auto"/>
              </w:rPr>
            </w:pPr>
            <w:r>
              <w:rPr>
                <w:rFonts w:ascii="Arial" w:cs="Arial" w:eastAsia="Arial" w:hAnsi="Arial"/>
                <w:sz w:val="14"/>
                <w:szCs w:val="14"/>
                <w:b w:val="1"/>
                <w:bCs w:val="1"/>
                <w:color w:val="auto"/>
                <w:w w:val="87"/>
              </w:rPr>
              <w:t>Dr. Juergen Gromer</w:t>
            </w:r>
          </w:p>
        </w:tc>
        <w:tc>
          <w:tcPr>
            <w:tcW w:w="2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660" w:type="dxa"/>
            <w:vAlign w:val="bottom"/>
            <w:tcBorders>
              <w:bottom w:val="single" w:sz="8" w:color="auto"/>
            </w:tcBorders>
          </w:tcPr>
          <w:p>
            <w:pPr>
              <w:ind w:left="13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20" w:type="dxa"/>
            <w:vAlign w:val="bottom"/>
            <w:tcBorders>
              <w:bottom w:val="single" w:sz="8" w:color="auto"/>
            </w:tcBorders>
            <w:gridSpan w:val="2"/>
          </w:tcPr>
          <w:p>
            <w:pPr>
              <w:jc w:val="center"/>
              <w:ind w:right="1300"/>
              <w:spacing w:after="0"/>
              <w:rPr>
                <w:sz w:val="20"/>
                <w:szCs w:val="20"/>
                <w:color w:val="auto"/>
              </w:rPr>
            </w:pPr>
            <w:r>
              <w:rPr>
                <w:rFonts w:ascii="Arial" w:cs="Arial" w:eastAsia="Arial" w:hAnsi="Arial"/>
                <w:sz w:val="18"/>
                <w:szCs w:val="18"/>
                <w:color w:val="auto"/>
                <w:w w:val="99"/>
              </w:rPr>
              <w:t>J</w:t>
            </w:r>
            <w:r>
              <w:rPr>
                <w:rFonts w:ascii="Arial" w:cs="Arial" w:eastAsia="Arial" w:hAnsi="Arial"/>
                <w:sz w:val="14"/>
                <w:szCs w:val="14"/>
                <w:color w:val="auto"/>
                <w:w w:val="99"/>
              </w:rPr>
              <w:t>OHN</w:t>
            </w:r>
            <w:r>
              <w:rPr>
                <w:rFonts w:ascii="Arial" w:cs="Arial" w:eastAsia="Arial" w:hAnsi="Arial"/>
                <w:sz w:val="18"/>
                <w:szCs w:val="18"/>
                <w:color w:val="auto"/>
                <w:w w:val="99"/>
              </w:rPr>
              <w:t xml:space="preserve"> G. K</w:t>
            </w:r>
            <w:r>
              <w:rPr>
                <w:rFonts w:ascii="Arial" w:cs="Arial" w:eastAsia="Arial" w:hAnsi="Arial"/>
                <w:sz w:val="14"/>
                <w:szCs w:val="14"/>
                <w:color w:val="auto"/>
                <w:w w:val="99"/>
              </w:rPr>
              <w:t>ASSAKIAN</w:t>
            </w:r>
          </w:p>
        </w:tc>
        <w:tc>
          <w:tcPr>
            <w:tcW w:w="4980" w:type="dxa"/>
            <w:vAlign w:val="bottom"/>
            <w:gridSpan w:val="3"/>
          </w:tcPr>
          <w:p>
            <w:pPr>
              <w:jc w:val="center"/>
              <w:ind w:right="40"/>
              <w:spacing w:after="0"/>
              <w:rPr>
                <w:sz w:val="20"/>
                <w:szCs w:val="20"/>
                <w:color w:val="auto"/>
              </w:rPr>
            </w:pPr>
            <w:r>
              <w:rPr>
                <w:rFonts w:ascii="Arial" w:cs="Arial" w:eastAsia="Arial" w:hAnsi="Arial"/>
                <w:sz w:val="18"/>
                <w:szCs w:val="18"/>
                <w:color w:val="auto"/>
                <w:w w:val="91"/>
              </w:rPr>
              <w:t>Director</w:t>
            </w:r>
          </w:p>
        </w:tc>
        <w:tc>
          <w:tcPr>
            <w:tcW w:w="1460" w:type="dxa"/>
            <w:vAlign w:val="bottom"/>
            <w:gridSpan w:val="3"/>
          </w:tcPr>
          <w:p>
            <w:pPr>
              <w:jc w:val="center"/>
              <w:ind w:left="252"/>
              <w:spacing w:after="0"/>
              <w:rPr>
                <w:sz w:val="20"/>
                <w:szCs w:val="20"/>
                <w:color w:val="auto"/>
              </w:rPr>
            </w:pPr>
            <w:r>
              <w:rPr>
                <w:rFonts w:ascii="Arial" w:cs="Arial" w:eastAsia="Arial" w:hAnsi="Arial"/>
                <w:sz w:val="18"/>
                <w:szCs w:val="18"/>
                <w:color w:val="auto"/>
                <w:w w:val="89"/>
              </w:rPr>
              <w:t>March 27, 2014</w:t>
            </w:r>
          </w:p>
        </w:tc>
      </w:tr>
      <w:tr>
        <w:trPr>
          <w:trHeight w:val="169"/>
        </w:trPr>
        <w:tc>
          <w:tcPr>
            <w:tcW w:w="45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7"/>
              </w:rPr>
              <w:t>Dr. John G. Kassakian</w:t>
            </w:r>
          </w:p>
        </w:tc>
        <w:tc>
          <w:tcPr>
            <w:tcW w:w="2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660" w:type="dxa"/>
            <w:vAlign w:val="bottom"/>
            <w:tcBorders>
              <w:bottom w:val="single" w:sz="8" w:color="auto"/>
            </w:tcBorders>
          </w:tcPr>
          <w:p>
            <w:pPr>
              <w:ind w:left="144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20" w:type="dxa"/>
            <w:vAlign w:val="bottom"/>
            <w:tcBorders>
              <w:bottom w:val="single" w:sz="8" w:color="auto"/>
            </w:tcBorders>
            <w:gridSpan w:val="2"/>
          </w:tcPr>
          <w:p>
            <w:pPr>
              <w:jc w:val="center"/>
              <w:ind w:right="1300"/>
              <w:spacing w:after="0"/>
              <w:rPr>
                <w:sz w:val="20"/>
                <w:szCs w:val="20"/>
                <w:color w:val="auto"/>
              </w:rPr>
            </w:pPr>
            <w:r>
              <w:rPr>
                <w:rFonts w:ascii="Arial" w:cs="Arial" w:eastAsia="Arial" w:hAnsi="Arial"/>
                <w:sz w:val="18"/>
                <w:szCs w:val="18"/>
                <w:color w:val="auto"/>
                <w:w w:val="99"/>
              </w:rPr>
              <w:t>A</w:t>
            </w:r>
            <w:r>
              <w:rPr>
                <w:rFonts w:ascii="Arial" w:cs="Arial" w:eastAsia="Arial" w:hAnsi="Arial"/>
                <w:sz w:val="14"/>
                <w:szCs w:val="14"/>
                <w:color w:val="auto"/>
                <w:w w:val="99"/>
              </w:rPr>
              <w:t>RTURO</w:t>
            </w:r>
            <w:r>
              <w:rPr>
                <w:rFonts w:ascii="Arial" w:cs="Arial" w:eastAsia="Arial" w:hAnsi="Arial"/>
                <w:sz w:val="18"/>
                <w:szCs w:val="18"/>
                <w:color w:val="auto"/>
                <w:w w:val="99"/>
              </w:rPr>
              <w:t xml:space="preserve"> K</w:t>
            </w:r>
            <w:r>
              <w:rPr>
                <w:rFonts w:ascii="Arial" w:cs="Arial" w:eastAsia="Arial" w:hAnsi="Arial"/>
                <w:sz w:val="14"/>
                <w:szCs w:val="14"/>
                <w:color w:val="auto"/>
                <w:w w:val="99"/>
              </w:rPr>
              <w:t>RUEGER</w:t>
            </w:r>
          </w:p>
        </w:tc>
        <w:tc>
          <w:tcPr>
            <w:tcW w:w="4980" w:type="dxa"/>
            <w:vAlign w:val="bottom"/>
            <w:gridSpan w:val="3"/>
          </w:tcPr>
          <w:p>
            <w:pPr>
              <w:jc w:val="center"/>
              <w:ind w:right="40"/>
              <w:spacing w:after="0"/>
              <w:rPr>
                <w:sz w:val="20"/>
                <w:szCs w:val="20"/>
                <w:color w:val="auto"/>
              </w:rPr>
            </w:pPr>
            <w:r>
              <w:rPr>
                <w:rFonts w:ascii="Arial" w:cs="Arial" w:eastAsia="Arial" w:hAnsi="Arial"/>
                <w:sz w:val="18"/>
                <w:szCs w:val="18"/>
                <w:color w:val="auto"/>
                <w:w w:val="91"/>
              </w:rPr>
              <w:t>Director</w:t>
            </w:r>
          </w:p>
        </w:tc>
        <w:tc>
          <w:tcPr>
            <w:tcW w:w="1460" w:type="dxa"/>
            <w:vAlign w:val="bottom"/>
            <w:gridSpan w:val="3"/>
          </w:tcPr>
          <w:p>
            <w:pPr>
              <w:jc w:val="center"/>
              <w:ind w:left="252"/>
              <w:spacing w:after="0"/>
              <w:rPr>
                <w:sz w:val="20"/>
                <w:szCs w:val="20"/>
                <w:color w:val="auto"/>
              </w:rPr>
            </w:pPr>
            <w:r>
              <w:rPr>
                <w:rFonts w:ascii="Arial" w:cs="Arial" w:eastAsia="Arial" w:hAnsi="Arial"/>
                <w:sz w:val="18"/>
                <w:szCs w:val="18"/>
                <w:color w:val="auto"/>
                <w:w w:val="89"/>
              </w:rPr>
              <w:t>March 27, 2014</w:t>
            </w:r>
          </w:p>
        </w:tc>
      </w:tr>
      <w:tr>
        <w:trPr>
          <w:trHeight w:val="169"/>
        </w:trPr>
        <w:tc>
          <w:tcPr>
            <w:tcW w:w="1660" w:type="dxa"/>
            <w:vAlign w:val="bottom"/>
          </w:tcPr>
          <w:p>
            <w:pPr>
              <w:spacing w:after="0"/>
              <w:rPr>
                <w:sz w:val="14"/>
                <w:szCs w:val="14"/>
                <w:color w:val="auto"/>
              </w:rPr>
            </w:pPr>
          </w:p>
        </w:tc>
        <w:tc>
          <w:tcPr>
            <w:tcW w:w="2920" w:type="dxa"/>
            <w:vAlign w:val="bottom"/>
            <w:gridSpan w:val="2"/>
          </w:tcPr>
          <w:p>
            <w:pPr>
              <w:jc w:val="center"/>
              <w:ind w:right="1640"/>
              <w:spacing w:after="0"/>
              <w:rPr>
                <w:sz w:val="20"/>
                <w:szCs w:val="20"/>
                <w:color w:val="auto"/>
              </w:rPr>
            </w:pPr>
            <w:r>
              <w:rPr>
                <w:rFonts w:ascii="Arial" w:cs="Arial" w:eastAsia="Arial" w:hAnsi="Arial"/>
                <w:sz w:val="14"/>
                <w:szCs w:val="14"/>
                <w:b w:val="1"/>
                <w:bCs w:val="1"/>
                <w:color w:val="auto"/>
                <w:w w:val="91"/>
              </w:rPr>
              <w:t>Arturo Krueger</w:t>
            </w:r>
          </w:p>
        </w:tc>
        <w:tc>
          <w:tcPr>
            <w:tcW w:w="2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419"/>
        </w:trPr>
        <w:tc>
          <w:tcPr>
            <w:tcW w:w="1660" w:type="dxa"/>
            <w:vAlign w:val="bottom"/>
            <w:tcBorders>
              <w:bottom w:val="single" w:sz="8" w:color="auto"/>
            </w:tcBorders>
          </w:tcPr>
          <w:p>
            <w:pPr>
              <w:ind w:left="144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2920" w:type="dxa"/>
            <w:vAlign w:val="bottom"/>
            <w:tcBorders>
              <w:bottom w:val="single" w:sz="8" w:color="auto"/>
            </w:tcBorders>
            <w:gridSpan w:val="2"/>
          </w:tcPr>
          <w:p>
            <w:pPr>
              <w:jc w:val="center"/>
              <w:ind w:right="1280"/>
              <w:spacing w:after="0"/>
              <w:rPr>
                <w:sz w:val="20"/>
                <w:szCs w:val="20"/>
                <w:color w:val="auto"/>
              </w:rPr>
            </w:pPr>
            <w:r>
              <w:rPr>
                <w:rFonts w:ascii="Arial" w:cs="Arial" w:eastAsia="Arial" w:hAnsi="Arial"/>
                <w:sz w:val="18"/>
                <w:szCs w:val="18"/>
                <w:color w:val="auto"/>
              </w:rPr>
              <w:t>R</w:t>
            </w:r>
            <w:r>
              <w:rPr>
                <w:rFonts w:ascii="Arial" w:cs="Arial" w:eastAsia="Arial" w:hAnsi="Arial"/>
                <w:sz w:val="14"/>
                <w:szCs w:val="14"/>
                <w:color w:val="auto"/>
              </w:rPr>
              <w:t>ANDHIR</w:t>
            </w:r>
            <w:r>
              <w:rPr>
                <w:rFonts w:ascii="Arial" w:cs="Arial" w:eastAsia="Arial" w:hAnsi="Arial"/>
                <w:sz w:val="18"/>
                <w:szCs w:val="18"/>
                <w:color w:val="auto"/>
              </w:rPr>
              <w:t xml:space="preserve"> T</w:t>
            </w:r>
            <w:r>
              <w:rPr>
                <w:rFonts w:ascii="Arial" w:cs="Arial" w:eastAsia="Arial" w:hAnsi="Arial"/>
                <w:sz w:val="14"/>
                <w:szCs w:val="14"/>
                <w:color w:val="auto"/>
              </w:rPr>
              <w:t>HAKUR</w:t>
            </w:r>
          </w:p>
        </w:tc>
        <w:tc>
          <w:tcPr>
            <w:tcW w:w="4980" w:type="dxa"/>
            <w:vAlign w:val="bottom"/>
            <w:gridSpan w:val="3"/>
          </w:tcPr>
          <w:p>
            <w:pPr>
              <w:jc w:val="center"/>
              <w:ind w:right="40"/>
              <w:spacing w:after="0"/>
              <w:rPr>
                <w:sz w:val="20"/>
                <w:szCs w:val="20"/>
                <w:color w:val="auto"/>
              </w:rPr>
            </w:pPr>
            <w:r>
              <w:rPr>
                <w:rFonts w:ascii="Arial" w:cs="Arial" w:eastAsia="Arial" w:hAnsi="Arial"/>
                <w:sz w:val="18"/>
                <w:szCs w:val="18"/>
                <w:color w:val="auto"/>
                <w:w w:val="91"/>
              </w:rPr>
              <w:t>Director</w:t>
            </w:r>
          </w:p>
        </w:tc>
        <w:tc>
          <w:tcPr>
            <w:tcW w:w="1460" w:type="dxa"/>
            <w:vAlign w:val="bottom"/>
            <w:gridSpan w:val="3"/>
          </w:tcPr>
          <w:p>
            <w:pPr>
              <w:jc w:val="center"/>
              <w:ind w:left="252"/>
              <w:spacing w:after="0"/>
              <w:rPr>
                <w:sz w:val="20"/>
                <w:szCs w:val="20"/>
                <w:color w:val="auto"/>
              </w:rPr>
            </w:pPr>
            <w:r>
              <w:rPr>
                <w:rFonts w:ascii="Arial" w:cs="Arial" w:eastAsia="Arial" w:hAnsi="Arial"/>
                <w:sz w:val="18"/>
                <w:szCs w:val="18"/>
                <w:color w:val="auto"/>
                <w:w w:val="89"/>
              </w:rPr>
              <w:t>March 27, 2014</w:t>
            </w:r>
          </w:p>
        </w:tc>
      </w:tr>
      <w:tr>
        <w:trPr>
          <w:trHeight w:val="169"/>
        </w:trPr>
        <w:tc>
          <w:tcPr>
            <w:tcW w:w="1660" w:type="dxa"/>
            <w:vAlign w:val="bottom"/>
          </w:tcPr>
          <w:p>
            <w:pPr>
              <w:spacing w:after="0"/>
              <w:rPr>
                <w:sz w:val="14"/>
                <w:szCs w:val="14"/>
                <w:color w:val="auto"/>
              </w:rPr>
            </w:pPr>
          </w:p>
        </w:tc>
        <w:tc>
          <w:tcPr>
            <w:tcW w:w="2920" w:type="dxa"/>
            <w:vAlign w:val="bottom"/>
            <w:gridSpan w:val="2"/>
          </w:tcPr>
          <w:p>
            <w:pPr>
              <w:jc w:val="center"/>
              <w:ind w:right="1640"/>
              <w:spacing w:after="0"/>
              <w:rPr>
                <w:sz w:val="20"/>
                <w:szCs w:val="20"/>
                <w:color w:val="auto"/>
              </w:rPr>
            </w:pPr>
            <w:r>
              <w:rPr>
                <w:rFonts w:ascii="Arial" w:cs="Arial" w:eastAsia="Arial" w:hAnsi="Arial"/>
                <w:sz w:val="14"/>
                <w:szCs w:val="14"/>
                <w:b w:val="1"/>
                <w:bCs w:val="1"/>
                <w:color w:val="auto"/>
                <w:w w:val="92"/>
              </w:rPr>
              <w:t>Randhir Thakur</w:t>
            </w:r>
          </w:p>
        </w:tc>
        <w:tc>
          <w:tcPr>
            <w:tcW w:w="2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r>
      <w:tr>
        <w:trPr>
          <w:trHeight w:val="350"/>
        </w:trPr>
        <w:tc>
          <w:tcPr>
            <w:tcW w:w="16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320" w:type="dxa"/>
            <w:vAlign w:val="bottom"/>
          </w:tcPr>
          <w:p>
            <w:pPr>
              <w:jc w:val="right"/>
              <w:ind w:right="972"/>
              <w:spacing w:after="0"/>
              <w:rPr>
                <w:sz w:val="20"/>
                <w:szCs w:val="20"/>
                <w:color w:val="auto"/>
              </w:rPr>
            </w:pPr>
            <w:r>
              <w:rPr>
                <w:rFonts w:ascii="Arial" w:cs="Arial" w:eastAsia="Arial" w:hAnsi="Arial"/>
                <w:sz w:val="18"/>
                <w:szCs w:val="18"/>
                <w:color w:val="auto"/>
              </w:rPr>
              <w:t>110</w:t>
            </w:r>
          </w:p>
        </w:tc>
        <w:tc>
          <w:tcPr>
            <w:tcW w:w="280" w:type="dxa"/>
            <w:vAlign w:val="bottom"/>
          </w:tcPr>
          <w:p>
            <w:pPr>
              <w:spacing w:after="0"/>
              <w:rPr>
                <w:sz w:val="24"/>
                <w:szCs w:val="24"/>
                <w:color w:val="auto"/>
              </w:rPr>
            </w:pPr>
          </w:p>
        </w:tc>
        <w:tc>
          <w:tcPr>
            <w:tcW w:w="23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SCHEDULE II</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0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10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85"/>
              </w:rPr>
              <w:t>Balance at</w:t>
            </w: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5"/>
              </w:rPr>
              <w:t>Balance at</w:t>
            </w:r>
          </w:p>
        </w:tc>
        <w:tc>
          <w:tcPr>
            <w:tcW w:w="0" w:type="dxa"/>
            <w:vAlign w:val="bottom"/>
          </w:tcPr>
          <w:p>
            <w:pPr>
              <w:spacing w:after="0"/>
              <w:rPr>
                <w:sz w:val="1"/>
                <w:szCs w:val="1"/>
                <w:color w:val="auto"/>
              </w:rPr>
            </w:pPr>
          </w:p>
        </w:tc>
      </w:tr>
      <w:tr>
        <w:trPr>
          <w:trHeight w:val="149"/>
        </w:trPr>
        <w:tc>
          <w:tcPr>
            <w:tcW w:w="480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10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4"/>
              </w:rPr>
              <w:t>Beginning</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End of</w:t>
            </w:r>
          </w:p>
        </w:tc>
        <w:tc>
          <w:tcPr>
            <w:tcW w:w="0" w:type="dxa"/>
            <w:vAlign w:val="bottom"/>
          </w:tcPr>
          <w:p>
            <w:pPr>
              <w:spacing w:after="0"/>
              <w:rPr>
                <w:sz w:val="1"/>
                <w:szCs w:val="1"/>
                <w:color w:val="auto"/>
              </w:rPr>
            </w:pPr>
          </w:p>
        </w:tc>
      </w:tr>
      <w:tr>
        <w:trPr>
          <w:trHeight w:val="161"/>
        </w:trPr>
        <w:tc>
          <w:tcPr>
            <w:tcW w:w="480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8"/>
              </w:rPr>
              <w:t>of Year</w:t>
            </w:r>
          </w:p>
        </w:tc>
        <w:tc>
          <w:tcPr>
            <w:tcW w:w="580" w:type="dxa"/>
            <w:vAlign w:val="bottom"/>
            <w:gridSpan w:val="2"/>
          </w:tcPr>
          <w:p>
            <w:pPr>
              <w:ind w:left="20"/>
              <w:spacing w:after="0"/>
              <w:rPr>
                <w:sz w:val="20"/>
                <w:szCs w:val="20"/>
                <w:color w:val="auto"/>
              </w:rPr>
            </w:pPr>
            <w:r>
              <w:rPr>
                <w:rFonts w:ascii="Arial" w:cs="Arial" w:eastAsia="Arial" w:hAnsi="Arial"/>
                <w:sz w:val="14"/>
                <w:szCs w:val="14"/>
                <w:b w:val="1"/>
                <w:bCs w:val="1"/>
                <w:color w:val="auto"/>
                <w:w w:val="83"/>
              </w:rPr>
              <w:t>Additions</w:t>
            </w:r>
          </w:p>
        </w:tc>
        <w:tc>
          <w:tcPr>
            <w:tcW w:w="44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rPr>
              <w:t>Deductions</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Year</w:t>
            </w:r>
          </w:p>
        </w:tc>
        <w:tc>
          <w:tcPr>
            <w:tcW w:w="0" w:type="dxa"/>
            <w:vAlign w:val="bottom"/>
          </w:tcPr>
          <w:p>
            <w:pPr>
              <w:spacing w:after="0"/>
              <w:rPr>
                <w:sz w:val="1"/>
                <w:szCs w:val="1"/>
                <w:color w:val="auto"/>
              </w:rPr>
            </w:pPr>
          </w:p>
        </w:tc>
      </w:tr>
      <w:tr>
        <w:trPr>
          <w:trHeight w:val="196"/>
        </w:trPr>
        <w:tc>
          <w:tcPr>
            <w:tcW w:w="48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Fiscal year ended February 1, 2014</w:t>
            </w:r>
          </w:p>
        </w:tc>
        <w:tc>
          <w:tcPr>
            <w:tcW w:w="26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80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7,921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3,808</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(9,435)</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2,294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6"/>
              </w:rPr>
              <w:t>299,449</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36,441</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335,890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vMerge w:val="restart"/>
          </w:tcPr>
          <w:p>
            <w:pPr>
              <w:spacing w:after="0"/>
              <w:rPr>
                <w:sz w:val="20"/>
                <w:szCs w:val="20"/>
                <w:color w:val="auto"/>
              </w:rPr>
            </w:pPr>
            <w:r>
              <w:rPr>
                <w:rFonts w:ascii="Arial" w:cs="Arial" w:eastAsia="Arial" w:hAnsi="Arial"/>
                <w:sz w:val="18"/>
                <w:szCs w:val="18"/>
                <w:color w:val="auto"/>
              </w:rPr>
              <w:t>Fiscal year ended February 2, 2013</w:t>
            </w: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800" w:type="dxa"/>
            <w:vAlign w:val="bottom"/>
            <w:vMerge w:val="continue"/>
          </w:tcPr>
          <w:p>
            <w:pPr>
              <w:spacing w:after="0"/>
              <w:rPr>
                <w:sz w:val="18"/>
                <w:szCs w:val="18"/>
                <w:color w:val="auto"/>
              </w:rPr>
            </w:pPr>
          </w:p>
        </w:tc>
        <w:tc>
          <w:tcPr>
            <w:tcW w:w="2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2,663</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9,024</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4"/>
              </w:rPr>
              <w:t>(3,766)</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vMerge w:val="restart"/>
          </w:tcPr>
          <w:p>
            <w:pPr>
              <w:spacing w:after="0"/>
              <w:rPr>
                <w:sz w:val="20"/>
                <w:szCs w:val="20"/>
                <w:color w:val="auto"/>
              </w:rPr>
            </w:pPr>
            <w:r>
              <w:rPr>
                <w:rFonts w:ascii="Arial" w:cs="Arial" w:eastAsia="Arial" w:hAnsi="Arial"/>
                <w:sz w:val="18"/>
                <w:szCs w:val="18"/>
                <w:color w:val="auto"/>
              </w:rPr>
              <w:t>Deferred tax valuation</w:t>
            </w: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00" w:type="dxa"/>
            <w:vAlign w:val="bottom"/>
            <w:vMerge w:val="continue"/>
          </w:tcPr>
          <w:p>
            <w:pPr>
              <w:spacing w:after="0"/>
              <w:rPr>
                <w:sz w:val="18"/>
                <w:szCs w:val="18"/>
                <w:color w:val="auto"/>
              </w:rPr>
            </w:pPr>
          </w:p>
        </w:tc>
        <w:tc>
          <w:tcPr>
            <w:tcW w:w="27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w w:val="86"/>
              </w:rPr>
              <w:t>259,316</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40,133</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299,449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January 28, 2012</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0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7,366</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4,393</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w w:val="94"/>
              </w:rPr>
              <w:t>(9,096)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2,663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6"/>
              </w:rPr>
              <w:t>224,853</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34,694</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(231)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259,316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tcPr>
          <w:p>
            <w:pPr>
              <w:spacing w:after="0" w:line="20" w:lineRule="exact"/>
              <w:rPr>
                <w:sz w:val="1"/>
                <w:szCs w:val="1"/>
                <w:color w:val="auto"/>
              </w:rPr>
            </w:pPr>
          </w:p>
        </w:tc>
        <w:tc>
          <w:tcPr>
            <w:tcW w:w="2640" w:type="dxa"/>
            <w:vAlign w:val="bottom"/>
            <w:vMerge w:val="restart"/>
          </w:tcPr>
          <w:p>
            <w:pPr>
              <w:jc w:val="right"/>
              <w:ind w:right="1512"/>
              <w:spacing w:after="0"/>
              <w:rPr>
                <w:sz w:val="20"/>
                <w:szCs w:val="20"/>
                <w:color w:val="auto"/>
              </w:rPr>
            </w:pPr>
            <w:r>
              <w:rPr>
                <w:rFonts w:ascii="Arial" w:cs="Arial" w:eastAsia="Arial" w:hAnsi="Arial"/>
                <w:sz w:val="18"/>
                <w:szCs w:val="18"/>
                <w:color w:val="auto"/>
              </w:rPr>
              <w:t>111</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800" w:type="dxa"/>
            <w:vAlign w:val="bottom"/>
          </w:tcPr>
          <w:p>
            <w:pPr>
              <w:spacing w:after="0"/>
              <w:rPr>
                <w:sz w:val="24"/>
                <w:szCs w:val="24"/>
                <w:color w:val="auto"/>
              </w:rPr>
            </w:pPr>
          </w:p>
        </w:tc>
        <w:tc>
          <w:tcPr>
            <w:tcW w:w="26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420" w:type="dxa"/>
            <w:vAlign w:val="bottom"/>
          </w:tcPr>
          <w:p>
            <w:pPr>
              <w:jc w:val="center"/>
              <w:ind w:right="1812"/>
              <w:spacing w:after="0"/>
              <w:rPr>
                <w:sz w:val="20"/>
                <w:szCs w:val="20"/>
                <w:color w:val="auto"/>
              </w:rPr>
            </w:pPr>
            <w:r>
              <w:rPr>
                <w:rFonts w:ascii="Arial" w:cs="Arial" w:eastAsia="Arial" w:hAnsi="Arial"/>
                <w:sz w:val="18"/>
                <w:szCs w:val="18"/>
                <w:b w:val="1"/>
                <w:bCs w:val="1"/>
                <w:color w:val="auto"/>
              </w:rPr>
              <w:t>INDEX TO EXHIBITS</w:t>
            </w:r>
          </w:p>
        </w:tc>
      </w:tr>
      <w:tr>
        <w:trPr>
          <w:trHeight w:val="340"/>
        </w:trPr>
        <w:tc>
          <w:tcPr>
            <w:tcW w:w="120" w:type="dxa"/>
            <w:vAlign w:val="bottom"/>
          </w:tcPr>
          <w:p>
            <w:pPr>
              <w:spacing w:after="0"/>
              <w:rPr>
                <w:sz w:val="24"/>
                <w:szCs w:val="2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6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20" w:type="dxa"/>
            <w:vAlign w:val="bottom"/>
          </w:tcPr>
          <w:p>
            <w:pPr>
              <w:spacing w:after="0"/>
              <w:rPr>
                <w:sz w:val="24"/>
                <w:szCs w:val="24"/>
                <w:color w:val="auto"/>
              </w:rPr>
            </w:pPr>
          </w:p>
        </w:tc>
      </w:tr>
      <w:tr>
        <w:trPr>
          <w:trHeight w:val="161"/>
        </w:trPr>
        <w:tc>
          <w:tcPr>
            <w:tcW w:w="12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420" w:type="dxa"/>
            <w:vAlign w:val="bottom"/>
          </w:tcPr>
          <w:p>
            <w:pPr>
              <w:spacing w:after="0"/>
              <w:rPr>
                <w:sz w:val="14"/>
                <w:szCs w:val="14"/>
                <w:color w:val="auto"/>
              </w:rPr>
            </w:pPr>
          </w:p>
        </w:tc>
      </w:tr>
      <w:tr>
        <w:trPr>
          <w:trHeight w:val="309"/>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3.1</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4"/>
              </w:rPr>
              <w:t>Memorandum of Association of Marvell Technology Group Ltd., incorporated by reference to Exhibit 3.1 of the registrant’s Registration</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Statement on Form S-1 (file no. 333-33086) as filed on March 23, 2000</w:t>
            </w:r>
          </w:p>
        </w:tc>
      </w:tr>
      <w:tr>
        <w:trPr>
          <w:trHeight w:val="318"/>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3.2</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Third Amended and Restated Bye-Laws of Marvell Technology Group Ltd., incorporated by reference to Exhibit 3.1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580" w:type="dxa"/>
            <w:vAlign w:val="bottom"/>
            <w:gridSpan w:val="2"/>
          </w:tcPr>
          <w:p>
            <w:pPr>
              <w:ind w:left="100"/>
              <w:spacing w:after="0"/>
              <w:rPr>
                <w:sz w:val="20"/>
                <w:szCs w:val="20"/>
                <w:color w:val="auto"/>
              </w:rPr>
            </w:pPr>
            <w:r>
              <w:rPr>
                <w:rFonts w:ascii="Arial" w:cs="Arial" w:eastAsia="Arial" w:hAnsi="Arial"/>
                <w:sz w:val="18"/>
                <w:szCs w:val="18"/>
                <w:color w:val="auto"/>
              </w:rPr>
              <w:t>3.3</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3"/>
              </w:rPr>
              <w:t>Memorandum of Increase of Share Capital of Marvell Technology Group Ltd., incorporated by reference to Exhibit 3.1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3"/>
              </w:rPr>
              <w:t>1997 Directors’ Stock Option Plan, incorporated by reference to Exhibit 10.2 of the registrant’s Registration Statement on Form S-1 (file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10.2#</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Form of Notice of Stock Option Grants, Nonstatutory Stock Option Agreement, Exercise Notice and Restricted Stock Purchase Agreement for</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use under the 1997 Directors’ Stock Option Plan, incorporated by reference to Exhibit 10.7 of the registrant’s Registration Statement on Form</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S-8 (file no. 333-148621) as filed on January 11,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10.3#</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2"/>
              </w:rPr>
              <w:t>2000 Employee Stock Purchase Plan (as amended and restated as of October 31, 2011), incorporated by reference to Exhibit 10.1 of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10.4#</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1"/>
              </w:rPr>
              <w:t>2000 Employee Stock Purchase Plan Form of Subscription Agreement, incorporated by reference to Exhibit 10.4 of the registrant’s Annual</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Report on Form 10-K for the year ended February 2, 2013 as filed on March 29, 2013</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10.5#</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Amended and Restated 1995 Stock Option Plan, incorporated by reference to Exhibit 10.1 of the registrant’s Current Report on Form 8-K as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filed on September 26, 2013</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10.6#</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1"/>
              </w:rPr>
              <w:t>Amended and Restated 1995 Stock Option Plan Restricted Stock Agreement, incorporated by reference to Exhibit 10.20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10.7#</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Form of Option Agreement for use with the Amended and Restated 1995 Stock Option Plan, incorporated by reference to Exhibit 10.21 of the</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registrant’s Annual Report on Form 10-K for the year ended January 28, 2006 as filed on April 13, 2006 (for options granted prior to December</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380" w:type="dxa"/>
            <w:vAlign w:val="bottom"/>
            <w:gridSpan w:val="2"/>
          </w:tcPr>
          <w:p>
            <w:pPr>
              <w:ind w:left="680"/>
              <w:spacing w:after="0"/>
              <w:rPr>
                <w:sz w:val="20"/>
                <w:szCs w:val="20"/>
                <w:color w:val="auto"/>
              </w:rPr>
            </w:pPr>
            <w:r>
              <w:rPr>
                <w:rFonts w:ascii="Arial" w:cs="Arial" w:eastAsia="Arial" w:hAnsi="Arial"/>
                <w:sz w:val="18"/>
                <w:szCs w:val="18"/>
                <w:color w:val="auto"/>
              </w:rPr>
              <w:t>4, 2008)</w:t>
            </w:r>
          </w:p>
        </w:tc>
        <w:tc>
          <w:tcPr>
            <w:tcW w:w="9420" w:type="dxa"/>
            <w:vAlign w:val="bottom"/>
          </w:tcPr>
          <w:p>
            <w:pPr>
              <w:spacing w:after="0"/>
              <w:rPr>
                <w:sz w:val="19"/>
                <w:szCs w:val="19"/>
                <w:color w:val="auto"/>
              </w:rPr>
            </w:pP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10.7.1#</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Stock Option Plan, incorporated by reference to Exhibit 10.1 of the registrant’s Current Report on Form 8-K as filed on December 17, 2008 (for</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options granted on or after December 4,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10.7.2#</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Stock Option Plan, incorporated by reference to Exhibit 10.3 of the registrant’s quarterly report on 10-Q for the period ended July 31, 2010 as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filed on September 3, 2010 (for options granted on or after August 2, 2010)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10.7.3#</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1"/>
              </w:rPr>
              <w:t>Stock Option Plan (for options granted on or after September 20, 2013), incorporated by reference to Exhibit 10.1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Report on Form 8-K as filed on September 26, 2013</w:t>
            </w:r>
          </w:p>
        </w:tc>
      </w:tr>
      <w:tr>
        <w:trPr>
          <w:trHeight w:val="365"/>
        </w:trPr>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800" w:type="dxa"/>
            <w:vAlign w:val="bottom"/>
            <w:gridSpan w:val="3"/>
          </w:tcPr>
          <w:p>
            <w:pPr>
              <w:jc w:val="right"/>
              <w:ind w:right="5452"/>
              <w:spacing w:after="0"/>
              <w:rPr>
                <w:sz w:val="20"/>
                <w:szCs w:val="20"/>
                <w:color w:val="auto"/>
              </w:rPr>
            </w:pPr>
            <w:r>
              <w:rPr>
                <w:rFonts w:ascii="Arial" w:cs="Arial" w:eastAsia="Arial" w:hAnsi="Arial"/>
                <w:sz w:val="18"/>
                <w:szCs w:val="18"/>
                <w:color w:val="auto"/>
              </w:rPr>
              <w:t>112</w:t>
            </w:r>
          </w:p>
        </w:tc>
      </w:tr>
    </w:tbl>
    <w:p>
      <w:pPr>
        <w:sectPr>
          <w:pgSz w:w="11900" w:h="16838" w:orient="portrait"/>
          <w:cols w:equalWidth="0" w:num="1">
            <w:col w:w="11380"/>
          </w:cols>
          <w:pgMar w:left="240" w:top="459" w:right="27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80" w:type="dxa"/>
            <w:vAlign w:val="bottom"/>
          </w:tcPr>
          <w:p>
            <w:pPr>
              <w:spacing w:after="0"/>
              <w:rPr>
                <w:sz w:val="14"/>
                <w:szCs w:val="14"/>
                <w:color w:val="auto"/>
              </w:rPr>
            </w:pPr>
          </w:p>
        </w:tc>
      </w:tr>
      <w:tr>
        <w:trPr>
          <w:trHeight w:val="161"/>
        </w:trPr>
        <w:tc>
          <w:tcPr>
            <w:tcW w:w="18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80" w:type="dxa"/>
            <w:vAlign w:val="bottom"/>
          </w:tcPr>
          <w:p>
            <w:pPr>
              <w:spacing w:after="0"/>
              <w:rPr>
                <w:sz w:val="14"/>
                <w:szCs w:val="14"/>
                <w:color w:val="auto"/>
              </w:rPr>
            </w:pPr>
          </w:p>
        </w:tc>
      </w:tr>
      <w:tr>
        <w:trPr>
          <w:trHeight w:val="309"/>
        </w:trPr>
        <w:tc>
          <w:tcPr>
            <w:tcW w:w="640" w:type="dxa"/>
            <w:vAlign w:val="bottom"/>
            <w:gridSpan w:val="2"/>
          </w:tcPr>
          <w:p>
            <w:pPr>
              <w:spacing w:after="0"/>
              <w:rPr>
                <w:sz w:val="20"/>
                <w:szCs w:val="20"/>
                <w:color w:val="auto"/>
              </w:rPr>
            </w:pPr>
            <w:r>
              <w:rPr>
                <w:rFonts w:ascii="Arial" w:cs="Arial" w:eastAsia="Arial" w:hAnsi="Arial"/>
                <w:sz w:val="18"/>
                <w:szCs w:val="18"/>
                <w:color w:val="auto"/>
              </w:rPr>
              <w:t>10.8#</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Restricted Stock Unit Agreement for use with the Amended and Restated 1995 Stock Option Plan, incorporated by reference to</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Exhibit 10.34 of the registrant’s Annual Report on Form 10-K for the year ended January 27, 2007 as filed on July 2, 2007 (for RSUs granted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prior to December 4,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10.8.1#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Option Plan, incorporated by reference to Exhibit 10.2 of the registrant’s Current Report on Form 8-K as filed on December 17, 2008 (for</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10.8.2#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Option Plan, incorporated by reference to Exhibit 10.4 of the registrant’s quarterly report on 10-Q for the period ended July 31, 2010 as filed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on September 3, 2010 (for RSUs granted on or after August 2, 2010)</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10.9#</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6"/>
              </w:rPr>
              <w:t>Form of Notice of Grant of Stock Options – Performance-Based, for use with the Amended and Restated 1995 Stock Option Plan,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December 19, 2008</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10.10#</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Reformation of Stock Option Agreement dated December 27, 2006 by and between Sehat Sutardja and Marvell Technology Group Ltd.,</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6"/>
              </w:rPr>
              <w:t>Reformation of Stock Option Agreement dated December 27, 2006 by and between Weili Dai and Marvell Technology Group Ltd.,</w:t>
            </w: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incorporated by reference to Exhibit 10.2 of the registrant’s current report on Form 8-K for the period dated December 27, 2006 as filed on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January 4,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8"/>
              </w:rPr>
              <w:t>Reformation of Stock Option Agreement dated May 6, 2007 between Marvell Technology Group Ltd. and Dr. Sehat Sutardja, incorporated by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reference to Exhibit 10.1 of the registrant’s Current Report on Form 8-K as filed on May 8,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10.13#</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5"/>
              </w:rPr>
              <w:t>Amendment of Stock Option Agreement dated May 6, 2007 between Marvell Technology Group Ltd. and Weili Dai, incorporated by</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8"/>
              </w:rPr>
              <w:t>reference to Exhibit 10.2 of the registrant’s current report on Form 8-K for the period dated May 2, 2007 as filed on May 8,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10.14#</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Marvell Technology Group Ltd. Executive Performance Incentive Plan, incorporated by reference to Exhibit 10.1 of the registrant’s Current</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Report on Form 8-K as filed on July 13, 2010</w:t>
            </w:r>
          </w:p>
        </w:tc>
      </w:tr>
      <w:tr>
        <w:trPr>
          <w:trHeight w:val="324"/>
        </w:trPr>
        <w:tc>
          <w:tcPr>
            <w:tcW w:w="640" w:type="dxa"/>
            <w:vAlign w:val="bottom"/>
            <w:gridSpan w:val="2"/>
          </w:tcPr>
          <w:p>
            <w:pPr>
              <w:spacing w:after="0"/>
              <w:rPr>
                <w:sz w:val="20"/>
                <w:szCs w:val="20"/>
                <w:color w:val="auto"/>
              </w:rPr>
            </w:pPr>
            <w:r>
              <w:rPr>
                <w:rFonts w:ascii="Arial" w:cs="Arial" w:eastAsia="Arial" w:hAnsi="Arial"/>
                <w:sz w:val="18"/>
                <w:szCs w:val="18"/>
                <w:color w:val="auto"/>
              </w:rPr>
              <w:t>10.15#</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2007 Director Stock Incentive Plan, as amended and restated effective March 11, 2014</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w w:val="88"/>
              </w:rPr>
              <w:t>10.16.1#</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6"/>
              </w:rPr>
              <w:t>Form of Stock Option Agreement for use with the 2007 Director Stock Incentive Plan — Initial Award, incorporated by reference to</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w w:val="88"/>
              </w:rPr>
              <w:t>10.16.2#</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5"/>
              </w:rPr>
              <w:t>Form of Stock Option Agreement for use with the 2007 Director Stock Incentive Plan — Annual Award, incorporated by reference to</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w w:val="88"/>
              </w:rPr>
              <w:t>10.16.3#</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2007 Director Stock Incentive Plan,</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incorporated by reference to Exhibit 10.2 of our Current Report on Form 8-K as filed on July 1, 2011</w:t>
            </w:r>
          </w:p>
        </w:tc>
      </w:tr>
      <w:tr>
        <w:trPr>
          <w:trHeight w:val="318"/>
        </w:trPr>
        <w:tc>
          <w:tcPr>
            <w:tcW w:w="640" w:type="dxa"/>
            <w:vAlign w:val="bottom"/>
            <w:gridSpan w:val="2"/>
          </w:tcPr>
          <w:p>
            <w:pPr>
              <w:spacing w:after="0"/>
              <w:rPr>
                <w:sz w:val="20"/>
                <w:szCs w:val="20"/>
                <w:color w:val="auto"/>
              </w:rPr>
            </w:pPr>
            <w:r>
              <w:rPr>
                <w:rFonts w:ascii="Arial" w:cs="Arial" w:eastAsia="Arial" w:hAnsi="Arial"/>
                <w:sz w:val="18"/>
                <w:szCs w:val="18"/>
                <w:color w:val="auto"/>
              </w:rPr>
              <w:t>10.17#</w:t>
            </w:r>
          </w:p>
        </w:tc>
        <w:tc>
          <w:tcPr>
            <w:tcW w:w="7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Policy for Non-Business Use of Corporate Aircraft, incorporated by reference to Exhibit 10.1 of the registrant’s Current Report on Form 8-K</w:t>
            </w:r>
          </w:p>
        </w:tc>
      </w:tr>
      <w:tr>
        <w:trPr>
          <w:trHeight w:val="222"/>
        </w:trPr>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as filed on May 23, 2008</w:t>
            </w:r>
          </w:p>
        </w:tc>
      </w:tr>
      <w:tr>
        <w:trPr>
          <w:trHeight w:val="365"/>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20" w:type="dxa"/>
            <w:vAlign w:val="bottom"/>
            <w:gridSpan w:val="3"/>
          </w:tcPr>
          <w:p>
            <w:pPr>
              <w:jc w:val="right"/>
              <w:ind w:right="5520"/>
              <w:spacing w:after="0"/>
              <w:rPr>
                <w:sz w:val="20"/>
                <w:szCs w:val="20"/>
                <w:color w:val="auto"/>
              </w:rPr>
            </w:pPr>
            <w:r>
              <w:rPr>
                <w:rFonts w:ascii="Arial" w:cs="Arial" w:eastAsia="Arial" w:hAnsi="Arial"/>
                <w:sz w:val="18"/>
                <w:szCs w:val="18"/>
                <w:color w:val="auto"/>
              </w:rPr>
              <w:t>113</w:t>
            </w:r>
          </w:p>
        </w:tc>
      </w:tr>
    </w:tbl>
    <w:p>
      <w:pPr>
        <w:sectPr>
          <w:pgSz w:w="11900" w:h="16838" w:orient="portrait"/>
          <w:cols w:equalWidth="0" w:num="1">
            <w:col w:w="11360"/>
          </w:cols>
          <w:pgMar w:left="240" w:top="459" w:right="29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0" w:type="dxa"/>
            <w:vAlign w:val="bottom"/>
          </w:tcPr>
          <w:p>
            <w:pPr>
              <w:spacing w:after="0"/>
              <w:rPr>
                <w:sz w:val="14"/>
                <w:szCs w:val="14"/>
                <w:color w:val="auto"/>
              </w:rPr>
            </w:pPr>
          </w:p>
        </w:tc>
        <w:tc>
          <w:tcPr>
            <w:tcW w:w="44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80" w:type="dxa"/>
            <w:vAlign w:val="bottom"/>
          </w:tcPr>
          <w:p>
            <w:pPr>
              <w:spacing w:after="0"/>
              <w:rPr>
                <w:sz w:val="14"/>
                <w:szCs w:val="14"/>
                <w:color w:val="auto"/>
              </w:rPr>
            </w:pPr>
          </w:p>
        </w:tc>
      </w:tr>
      <w:tr>
        <w:trPr>
          <w:trHeight w:val="161"/>
        </w:trPr>
        <w:tc>
          <w:tcPr>
            <w:tcW w:w="260" w:type="dxa"/>
            <w:vAlign w:val="bottom"/>
          </w:tcPr>
          <w:p>
            <w:pPr>
              <w:spacing w:after="0"/>
              <w:rPr>
                <w:sz w:val="14"/>
                <w:szCs w:val="14"/>
                <w:color w:val="auto"/>
              </w:rPr>
            </w:pPr>
          </w:p>
        </w:tc>
        <w:tc>
          <w:tcPr>
            <w:tcW w:w="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80" w:type="dxa"/>
            <w:vAlign w:val="bottom"/>
          </w:tcPr>
          <w:p>
            <w:pPr>
              <w:spacing w:after="0"/>
              <w:rPr>
                <w:sz w:val="14"/>
                <w:szCs w:val="14"/>
                <w:color w:val="auto"/>
              </w:rPr>
            </w:pPr>
          </w:p>
        </w:tc>
      </w:tr>
      <w:tr>
        <w:trPr>
          <w:trHeight w:val="309"/>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10.18#</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6"/>
              </w:rPr>
              <w:t>Description of Indemnification Rights for certain current and former directors, officers and employees, incorporated by reference to</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7"/>
              </w:rPr>
              <w:t>Exhibit 10.37 of the registrant’s Quarterly Report on Form 10-Q for the period ended July 28, 2007 as filed on September 6, 2007</w:t>
            </w:r>
          </w:p>
        </w:tc>
      </w:tr>
      <w:tr>
        <w:trPr>
          <w:trHeight w:val="318"/>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10.19#</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4"/>
              </w:rPr>
              <w:t>Form of Indemnification Agreement with Directors and Executive Officers, incorporated by reference to Exhibit 10.1 of the registrant’s</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October 10, 2008</w:t>
            </w:r>
          </w:p>
        </w:tc>
      </w:tr>
      <w:tr>
        <w:trPr>
          <w:trHeight w:val="318"/>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10.20#</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90"/>
              </w:rPr>
              <w:t>Indemnification Arrangement with Dr. Sehat Sutardja, incorporated by reference to Exhibit 10.1 of our Current Report on Form 8-K as filed</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on March 7, 2011</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21.1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23.1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24.1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31.1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31.2</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w:t>
            </w:r>
          </w:p>
        </w:tc>
      </w:tr>
      <w:tr>
        <w:trPr>
          <w:trHeight w:val="324"/>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32.2~</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w:t>
            </w:r>
          </w:p>
        </w:tc>
      </w:tr>
      <w:tr>
        <w:trPr>
          <w:trHeight w:val="318"/>
        </w:trPr>
        <w:tc>
          <w:tcPr>
            <w:tcW w:w="700" w:type="dxa"/>
            <w:vAlign w:val="bottom"/>
            <w:gridSpan w:val="2"/>
          </w:tcPr>
          <w:p>
            <w:pPr>
              <w:ind w:left="100"/>
              <w:spacing w:after="0"/>
              <w:rPr>
                <w:sz w:val="20"/>
                <w:szCs w:val="20"/>
                <w:color w:val="auto"/>
              </w:rPr>
            </w:pPr>
            <w:r>
              <w:rPr>
                <w:rFonts w:ascii="Arial" w:cs="Arial" w:eastAsia="Arial" w:hAnsi="Arial"/>
                <w:sz w:val="18"/>
                <w:szCs w:val="18"/>
                <w:color w:val="auto"/>
              </w:rPr>
              <w:t>99.1</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w w:val="89"/>
              </w:rPr>
              <w:t>Notice of Proposed Settlement of Derivative Action, incorporated by reference to Exhibit 99.1 of the registrant’s Current Report on Form 8-K</w:t>
            </w:r>
          </w:p>
        </w:tc>
      </w:tr>
      <w:tr>
        <w:trPr>
          <w:trHeight w:val="222"/>
        </w:trPr>
        <w:tc>
          <w:tcPr>
            <w:tcW w:w="2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as filed on May 28, 2009</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rPr>
              <w:t>101.INS</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3"/>
              </w:rPr>
              <w:t>101.SCH</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7"/>
              </w:rPr>
              <w:t>101.CAL</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5"/>
              </w:rPr>
              <w:t>101.DEF</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8"/>
              </w:rPr>
              <w:t>101.LAB</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700" w:type="dxa"/>
            <w:vAlign w:val="bottom"/>
            <w:gridSpan w:val="2"/>
          </w:tcPr>
          <w:p>
            <w:pPr>
              <w:spacing w:after="0"/>
              <w:rPr>
                <w:sz w:val="20"/>
                <w:szCs w:val="20"/>
                <w:color w:val="auto"/>
              </w:rPr>
            </w:pPr>
            <w:r>
              <w:rPr>
                <w:rFonts w:ascii="Arial" w:cs="Arial" w:eastAsia="Arial" w:hAnsi="Arial"/>
                <w:sz w:val="18"/>
                <w:szCs w:val="18"/>
                <w:color w:val="auto"/>
                <w:w w:val="94"/>
              </w:rPr>
              <w:t>101.PRE</w:t>
            </w:r>
          </w:p>
        </w:tc>
        <w:tc>
          <w:tcPr>
            <w:tcW w:w="68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100" w:hanging="452"/>
        <w:spacing w:after="0" w:line="253" w:lineRule="auto"/>
        <w:tabs>
          <w:tab w:leader="none" w:pos="4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114</w:t>
      </w:r>
    </w:p>
    <w:p>
      <w:pPr>
        <w:sectPr>
          <w:pgSz w:w="11900" w:h="16838" w:orient="portrait"/>
          <w:cols w:equalWidth="0" w:num="1">
            <w:col w:w="11360"/>
          </w:cols>
          <w:pgMar w:left="240" w:top="459" w:right="299" w:bottom="1440"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10.15</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2007 DIRECTOR STOCK INCENTIVE PLAN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AND RESTATED EFFECTIVE AS OF MARCH 11, 2014</w:t>
      </w:r>
    </w:p>
    <w:p>
      <w:pPr>
        <w:spacing w:after="0" w:line="225" w:lineRule="exact"/>
        <w:rPr>
          <w:sz w:val="20"/>
          <w:szCs w:val="20"/>
          <w:color w:val="auto"/>
        </w:rPr>
      </w:pPr>
    </w:p>
    <w:p>
      <w:pPr>
        <w:ind w:right="220" w:firstLine="464"/>
        <w:spacing w:after="0" w:line="266" w:lineRule="auto"/>
        <w:tabs>
          <w:tab w:leader="none" w:pos="636" w:val="left"/>
        </w:tabs>
        <w:numPr>
          <w:ilvl w:val="0"/>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Purposes of the Plan. </w:t>
      </w:r>
      <w:r>
        <w:rPr>
          <w:rFonts w:ascii="Arial" w:cs="Arial" w:eastAsia="Arial" w:hAnsi="Arial"/>
          <w:sz w:val="18"/>
          <w:szCs w:val="18"/>
          <w:color w:val="auto"/>
        </w:rPr>
        <w:t>The purposes of this 2007 Director Stock Incentive Plan are to attract and retain the best available personnel for service as</w:t>
      </w:r>
      <w:r>
        <w:rPr>
          <w:rFonts w:ascii="Arial" w:cs="Arial" w:eastAsia="Arial" w:hAnsi="Arial"/>
          <w:sz w:val="18"/>
          <w:szCs w:val="18"/>
          <w:b w:val="1"/>
          <w:bCs w:val="1"/>
          <w:color w:val="auto"/>
        </w:rPr>
        <w:t xml:space="preserve"> </w:t>
      </w:r>
      <w:r>
        <w:rPr>
          <w:rFonts w:ascii="Arial" w:cs="Arial" w:eastAsia="Arial" w:hAnsi="Arial"/>
          <w:sz w:val="18"/>
          <w:szCs w:val="18"/>
          <w:color w:val="auto"/>
        </w:rPr>
        <w:t>Outside Directors (as defined herein) of the Company, to provide additional incentive to the Outside Directors of the Company to serve as Directors, and to encourage their continued service on the Board.</w:t>
      </w:r>
    </w:p>
    <w:p>
      <w:pPr>
        <w:spacing w:after="0" w:line="176" w:lineRule="exact"/>
        <w:rPr>
          <w:rFonts w:ascii="Arial" w:cs="Arial" w:eastAsia="Arial" w:hAnsi="Arial"/>
          <w:sz w:val="18"/>
          <w:szCs w:val="18"/>
          <w:b w:val="1"/>
          <w:bCs w:val="1"/>
          <w:color w:val="auto"/>
        </w:rPr>
      </w:pPr>
    </w:p>
    <w:p>
      <w:pPr>
        <w:ind w:left="640" w:hanging="176"/>
        <w:spacing w:after="0"/>
        <w:tabs>
          <w:tab w:leader="none" w:pos="640" w:val="left"/>
        </w:tabs>
        <w:numPr>
          <w:ilvl w:val="0"/>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As used herein, the following definitions will apply:</w:t>
      </w:r>
    </w:p>
    <w:p>
      <w:pPr>
        <w:spacing w:after="0" w:line="229" w:lineRule="exact"/>
        <w:rPr>
          <w:rFonts w:ascii="Arial" w:cs="Arial" w:eastAsia="Arial" w:hAnsi="Arial"/>
          <w:sz w:val="18"/>
          <w:szCs w:val="18"/>
          <w:b w:val="1"/>
          <w:bCs w:val="1"/>
          <w:color w:val="auto"/>
        </w:rPr>
      </w:pPr>
    </w:p>
    <w:p>
      <w:pPr>
        <w:ind w:left="1160" w:hanging="239"/>
        <w:spacing w:after="0"/>
        <w:tabs>
          <w:tab w:leader="none" w:pos="1160" w:val="left"/>
        </w:tabs>
        <w:numPr>
          <w:ilvl w:val="1"/>
          <w:numId w:val="3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any of its Committees as will administer the Plan in accordance with Section 4 hereof.</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1"/>
          <w:numId w:val="3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Annual General Meeting</w:t>
      </w:r>
      <w:r>
        <w:rPr>
          <w:rFonts w:ascii="Arial" w:cs="Arial" w:eastAsia="Arial" w:hAnsi="Arial"/>
          <w:sz w:val="18"/>
          <w:szCs w:val="18"/>
          <w:color w:val="auto"/>
        </w:rPr>
        <w:t>” means the Company’s annual meeting of shareholders.</w:t>
      </w:r>
    </w:p>
    <w:p>
      <w:pPr>
        <w:spacing w:after="0" w:line="225" w:lineRule="exact"/>
        <w:rPr>
          <w:rFonts w:ascii="Arial" w:cs="Arial" w:eastAsia="Arial" w:hAnsi="Arial"/>
          <w:sz w:val="18"/>
          <w:szCs w:val="18"/>
          <w:color w:val="auto"/>
        </w:rPr>
      </w:pPr>
    </w:p>
    <w:p>
      <w:pPr>
        <w:ind w:right="20" w:firstLine="921"/>
        <w:spacing w:after="0" w:line="264" w:lineRule="auto"/>
        <w:tabs>
          <w:tab w:leader="none" w:pos="1158" w:val="left"/>
        </w:tabs>
        <w:numPr>
          <w:ilvl w:val="1"/>
          <w:numId w:val="3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Laws</w:t>
      </w:r>
      <w:r>
        <w:rPr>
          <w:rFonts w:ascii="Arial" w:cs="Arial" w:eastAsia="Arial" w:hAnsi="Arial"/>
          <w:sz w:val="18"/>
          <w:szCs w:val="18"/>
          <w:color w:val="auto"/>
        </w:rPr>
        <w:t>” means the requirements relating to the administration of equity-based awards under U.S. state corporate laws, U.S. federal and state securities laws, the Code, any stock exchange or quotation system on which the Common Stock is listed or quoted and the applicable laws of any foreign country or jurisdiction where Awards are, or will be, granted under the Plan.</w:t>
      </w:r>
    </w:p>
    <w:p>
      <w:pPr>
        <w:spacing w:after="0" w:line="181" w:lineRule="exact"/>
        <w:rPr>
          <w:rFonts w:ascii="Arial" w:cs="Arial" w:eastAsia="Arial" w:hAnsi="Arial"/>
          <w:sz w:val="18"/>
          <w:szCs w:val="18"/>
          <w:color w:val="auto"/>
        </w:rPr>
      </w:pPr>
    </w:p>
    <w:p>
      <w:pPr>
        <w:ind w:right="120" w:firstLine="921"/>
        <w:spacing w:after="0" w:line="277" w:lineRule="auto"/>
        <w:tabs>
          <w:tab w:leader="none" w:pos="1168" w:val="left"/>
        </w:tabs>
        <w:numPr>
          <w:ilvl w:val="1"/>
          <w:numId w:val="3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individually or collectively, a grant under the Plan of Options, Performance Shares, Performance Units, Stock Appreciation Rights, Restricted Stock or Restricted Stock Units.</w:t>
      </w:r>
    </w:p>
    <w:p>
      <w:pPr>
        <w:spacing w:after="0" w:line="170" w:lineRule="exact"/>
        <w:rPr>
          <w:rFonts w:ascii="Arial" w:cs="Arial" w:eastAsia="Arial" w:hAnsi="Arial"/>
          <w:sz w:val="18"/>
          <w:szCs w:val="18"/>
          <w:color w:val="auto"/>
        </w:rPr>
      </w:pPr>
    </w:p>
    <w:p>
      <w:pPr>
        <w:ind w:right="80" w:firstLine="921"/>
        <w:spacing w:after="0" w:line="277" w:lineRule="auto"/>
        <w:tabs>
          <w:tab w:leader="none" w:pos="1158" w:val="left"/>
        </w:tabs>
        <w:numPr>
          <w:ilvl w:val="1"/>
          <w:numId w:val="3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 Agreement</w:t>
      </w:r>
      <w:r>
        <w:rPr>
          <w:rFonts w:ascii="Arial" w:cs="Arial" w:eastAsia="Arial" w:hAnsi="Arial"/>
          <w:sz w:val="18"/>
          <w:szCs w:val="18"/>
          <w:color w:val="auto"/>
        </w:rPr>
        <w:t>” means the written or electronic agreement setting forth the terms and provisions applicable to each Award granted under the Plan. The Award Agreement is subject to the terms and conditions of the Plan.</w:t>
      </w:r>
    </w:p>
    <w:p>
      <w:pPr>
        <w:spacing w:after="0" w:line="170" w:lineRule="exact"/>
        <w:rPr>
          <w:rFonts w:ascii="Arial" w:cs="Arial" w:eastAsia="Arial" w:hAnsi="Arial"/>
          <w:sz w:val="18"/>
          <w:szCs w:val="18"/>
          <w:color w:val="auto"/>
        </w:rPr>
      </w:pPr>
    </w:p>
    <w:p>
      <w:pPr>
        <w:ind w:left="1140" w:hanging="219"/>
        <w:spacing w:after="0"/>
        <w:tabs>
          <w:tab w:leader="none" w:pos="1140" w:val="left"/>
        </w:tabs>
        <w:numPr>
          <w:ilvl w:val="1"/>
          <w:numId w:val="3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1"/>
          <w:numId w:val="3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the occurrence of any of the following events:</w:t>
      </w:r>
    </w:p>
    <w:p>
      <w:pPr>
        <w:spacing w:after="0" w:line="225" w:lineRule="exact"/>
        <w:rPr>
          <w:rFonts w:ascii="Arial" w:cs="Arial" w:eastAsia="Arial" w:hAnsi="Arial"/>
          <w:sz w:val="18"/>
          <w:szCs w:val="18"/>
          <w:color w:val="auto"/>
        </w:rPr>
      </w:pPr>
    </w:p>
    <w:p>
      <w:pPr>
        <w:ind w:right="200" w:firstLine="1492"/>
        <w:spacing w:after="0" w:line="264" w:lineRule="auto"/>
        <w:tabs>
          <w:tab w:leader="none" w:pos="1698" w:val="left"/>
        </w:tabs>
        <w:numPr>
          <w:ilvl w:val="2"/>
          <w:numId w:val="32"/>
        </w:numPr>
        <w:rPr>
          <w:rFonts w:ascii="Arial" w:cs="Arial" w:eastAsia="Arial" w:hAnsi="Arial"/>
          <w:sz w:val="18"/>
          <w:szCs w:val="18"/>
          <w:color w:val="auto"/>
        </w:rPr>
      </w:pPr>
      <w:r>
        <w:rPr>
          <w:rFonts w:ascii="Arial" w:cs="Arial" w:eastAsia="Arial" w:hAnsi="Arial"/>
          <w:sz w:val="18"/>
          <w:szCs w:val="18"/>
          <w:color w:val="auto"/>
        </w:rPr>
        <w:t>Any “person” (as such term is used in Sections 13(d) and 14(d) of the Exchange Act) becomes the “beneficial owner” (as defined in Rule 13d-3 of the Exchange Act), directly or indirectly, of securities of the Company representing fifty percent (50%) or more of the total voting power represented by the Company’s then outstanding voting securities; or</w:t>
      </w:r>
    </w:p>
    <w:p>
      <w:pPr>
        <w:spacing w:after="0" w:line="181" w:lineRule="exact"/>
        <w:rPr>
          <w:rFonts w:ascii="Arial" w:cs="Arial" w:eastAsia="Arial" w:hAnsi="Arial"/>
          <w:sz w:val="18"/>
          <w:szCs w:val="18"/>
          <w:color w:val="auto"/>
        </w:rPr>
      </w:pPr>
    </w:p>
    <w:p>
      <w:pPr>
        <w:ind w:left="1760" w:hanging="268"/>
        <w:spacing w:after="0"/>
        <w:tabs>
          <w:tab w:leader="none" w:pos="1760" w:val="left"/>
        </w:tabs>
        <w:numPr>
          <w:ilvl w:val="2"/>
          <w:numId w:val="32"/>
        </w:numPr>
        <w:rPr>
          <w:rFonts w:ascii="Arial" w:cs="Arial" w:eastAsia="Arial" w:hAnsi="Arial"/>
          <w:sz w:val="18"/>
          <w:szCs w:val="18"/>
          <w:color w:val="auto"/>
        </w:rPr>
      </w:pPr>
      <w:r>
        <w:rPr>
          <w:rFonts w:ascii="Arial" w:cs="Arial" w:eastAsia="Arial" w:hAnsi="Arial"/>
          <w:sz w:val="18"/>
          <w:szCs w:val="18"/>
          <w:color w:val="auto"/>
        </w:rPr>
        <w:t>The consummation of the sale or disposition by the Company of all or substantially all of the Company’s assets; or</w:t>
      </w:r>
    </w:p>
    <w:p>
      <w:pPr>
        <w:sectPr>
          <w:pgSz w:w="11900" w:h="16838" w:orient="portrait"/>
          <w:cols w:equalWidth="0" w:num="1">
            <w:col w:w="11420"/>
          </w:cols>
          <w:pgMar w:left="240" w:top="121" w:right="239" w:bottom="1440" w:gutter="0" w:footer="0" w:header="0"/>
        </w:sectPr>
      </w:pPr>
    </w:p>
    <w:bookmarkStart w:id="117" w:name="page118"/>
    <w:bookmarkEnd w:id="117"/>
    <w:p>
      <w:pPr>
        <w:ind w:left="-921" w:firstLine="1492"/>
        <w:spacing w:after="0" w:line="302" w:lineRule="auto"/>
        <w:tabs>
          <w:tab w:leader="none" w:pos="877" w:val="left"/>
        </w:tabs>
        <w:numPr>
          <w:ilvl w:val="1"/>
          <w:numId w:val="3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consummation of a merger or consolidation of the Company with any other corporation, other than a merger or consolidation which would result in the voting securities of the Company outstanding immediately prior thereto continuing to represent (either by remaining outstanding or by being converted into voting securities of the surviving entity or its parent) at least fifty percent (50%) of the total voting power represented by the voting securities of the Company or such surviving entity or its parent outstanding immediately after such merger or consolidation.</w:t>
      </w:r>
    </w:p>
    <w:p>
      <w:pPr>
        <w:spacing w:after="0" w:line="154" w:lineRule="exact"/>
        <w:rPr>
          <w:rFonts w:ascii="Arial" w:cs="Arial" w:eastAsia="Arial" w:hAnsi="Arial"/>
          <w:sz w:val="16"/>
          <w:szCs w:val="16"/>
          <w:color w:val="auto"/>
        </w:rPr>
      </w:pPr>
    </w:p>
    <w:p>
      <w:pPr>
        <w:ind w:left="-921" w:right="340" w:firstLine="1492"/>
        <w:spacing w:after="0" w:line="277" w:lineRule="auto"/>
        <w:tabs>
          <w:tab w:leader="none" w:pos="867" w:val="left"/>
        </w:tabs>
        <w:numPr>
          <w:ilvl w:val="1"/>
          <w:numId w:val="33"/>
        </w:numPr>
        <w:rPr>
          <w:rFonts w:ascii="Arial" w:cs="Arial" w:eastAsia="Arial" w:hAnsi="Arial"/>
          <w:sz w:val="18"/>
          <w:szCs w:val="18"/>
          <w:color w:val="auto"/>
        </w:rPr>
      </w:pPr>
      <w:r>
        <w:rPr>
          <w:rFonts w:ascii="Arial" w:cs="Arial" w:eastAsia="Arial" w:hAnsi="Arial"/>
          <w:sz w:val="18"/>
          <w:szCs w:val="18"/>
          <w:color w:val="auto"/>
        </w:rPr>
        <w:t>A change in the composition of the Board occurring within a two (2) year period, as a result of which less than a majority of the Directors are Incumbent Directors.</w:t>
      </w:r>
    </w:p>
    <w:p>
      <w:pPr>
        <w:spacing w:after="0" w:line="170" w:lineRule="exact"/>
        <w:rPr>
          <w:rFonts w:ascii="Arial" w:cs="Arial" w:eastAsia="Arial" w:hAnsi="Arial"/>
          <w:sz w:val="18"/>
          <w:szCs w:val="18"/>
          <w:color w:val="auto"/>
        </w:rPr>
      </w:pPr>
    </w:p>
    <w:p>
      <w:pPr>
        <w:ind w:left="-921" w:right="380" w:firstLine="921"/>
        <w:spacing w:after="0" w:line="277" w:lineRule="auto"/>
        <w:tabs>
          <w:tab w:leader="none" w:pos="247"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 Any reference to a section of the Code herein will be a reference to any successor or amended section of the Code.</w:t>
      </w:r>
    </w:p>
    <w:p>
      <w:pPr>
        <w:spacing w:after="0" w:line="170" w:lineRule="exact"/>
        <w:rPr>
          <w:rFonts w:ascii="Arial" w:cs="Arial" w:eastAsia="Arial" w:hAnsi="Arial"/>
          <w:sz w:val="18"/>
          <w:szCs w:val="18"/>
          <w:color w:val="auto"/>
        </w:rPr>
      </w:pPr>
    </w:p>
    <w:p>
      <w:pPr>
        <w:ind w:left="-921" w:right="100" w:firstLine="921"/>
        <w:spacing w:after="0" w:line="277" w:lineRule="auto"/>
        <w:tabs>
          <w:tab w:leader="none" w:pos="207"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Committee</w:t>
      </w:r>
      <w:r>
        <w:rPr>
          <w:rFonts w:ascii="Arial" w:cs="Arial" w:eastAsia="Arial" w:hAnsi="Arial"/>
          <w:sz w:val="18"/>
          <w:szCs w:val="18"/>
          <w:color w:val="auto"/>
        </w:rPr>
        <w:t>” means a committee of Directors or of other individuals satisfying Applicable Laws appointed by the Board in accordance with Section 4 hereof.</w:t>
      </w:r>
    </w:p>
    <w:p>
      <w:pPr>
        <w:spacing w:after="0" w:line="170" w:lineRule="exact"/>
        <w:rPr>
          <w:rFonts w:ascii="Arial" w:cs="Arial" w:eastAsia="Arial" w:hAnsi="Arial"/>
          <w:sz w:val="18"/>
          <w:szCs w:val="18"/>
          <w:color w:val="auto"/>
        </w:rPr>
      </w:pPr>
    </w:p>
    <w:p>
      <w:pPr>
        <w:ind w:left="219" w:hanging="219"/>
        <w:spacing w:after="0"/>
        <w:tabs>
          <w:tab w:leader="none" w:pos="219"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225" w:lineRule="exact"/>
        <w:rPr>
          <w:rFonts w:ascii="Arial" w:cs="Arial" w:eastAsia="Arial" w:hAnsi="Arial"/>
          <w:sz w:val="18"/>
          <w:szCs w:val="18"/>
          <w:color w:val="auto"/>
        </w:rPr>
      </w:pPr>
    </w:p>
    <w:p>
      <w:pPr>
        <w:ind w:left="259" w:hanging="259"/>
        <w:spacing w:after="0"/>
        <w:tabs>
          <w:tab w:leader="none" w:pos="259"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company.</w:t>
      </w:r>
    </w:p>
    <w:p>
      <w:pPr>
        <w:spacing w:after="0" w:line="225" w:lineRule="exact"/>
        <w:rPr>
          <w:rFonts w:ascii="Arial" w:cs="Arial" w:eastAsia="Arial" w:hAnsi="Arial"/>
          <w:sz w:val="18"/>
          <w:szCs w:val="18"/>
          <w:color w:val="auto"/>
        </w:rPr>
      </w:pPr>
    </w:p>
    <w:p>
      <w:pPr>
        <w:ind w:left="-921" w:right="180" w:firstLine="921"/>
        <w:spacing w:after="0" w:line="277" w:lineRule="auto"/>
        <w:tabs>
          <w:tab w:leader="none" w:pos="207"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natural person, including an advisor, engaged by the Company or a Parent or Subsidiary of the Company to render services to such entity.</w:t>
      </w:r>
    </w:p>
    <w:p>
      <w:pPr>
        <w:spacing w:after="0" w:line="170" w:lineRule="exact"/>
        <w:rPr>
          <w:rFonts w:ascii="Arial" w:cs="Arial" w:eastAsia="Arial" w:hAnsi="Arial"/>
          <w:sz w:val="18"/>
          <w:szCs w:val="18"/>
          <w:color w:val="auto"/>
        </w:rPr>
      </w:pPr>
    </w:p>
    <w:p>
      <w:pPr>
        <w:ind w:left="299" w:hanging="299"/>
        <w:spacing w:after="0"/>
        <w:tabs>
          <w:tab w:leader="none" w:pos="299"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w:t>
      </w:r>
      <w:r>
        <w:rPr>
          <w:rFonts w:ascii="Arial" w:cs="Arial" w:eastAsia="Arial" w:hAnsi="Arial"/>
          <w:sz w:val="18"/>
          <w:szCs w:val="18"/>
          <w:color w:val="auto"/>
        </w:rPr>
        <w:t>” means a member of the Board.</w:t>
      </w:r>
    </w:p>
    <w:p>
      <w:pPr>
        <w:spacing w:after="0" w:line="225" w:lineRule="exact"/>
        <w:rPr>
          <w:rFonts w:ascii="Arial" w:cs="Arial" w:eastAsia="Arial" w:hAnsi="Arial"/>
          <w:sz w:val="18"/>
          <w:szCs w:val="18"/>
          <w:color w:val="auto"/>
        </w:rPr>
      </w:pPr>
    </w:p>
    <w:p>
      <w:pPr>
        <w:ind w:left="259" w:hanging="259"/>
        <w:spacing w:after="0"/>
        <w:tabs>
          <w:tab w:leader="none" w:pos="259"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Disability</w:t>
      </w:r>
      <w:r>
        <w:rPr>
          <w:rFonts w:ascii="Arial" w:cs="Arial" w:eastAsia="Arial" w:hAnsi="Arial"/>
          <w:sz w:val="18"/>
          <w:szCs w:val="18"/>
          <w:color w:val="auto"/>
        </w:rPr>
        <w:t>” means total and permanent disability as defined in Section 22(e)(3) of the Code.</w:t>
      </w:r>
    </w:p>
    <w:p>
      <w:pPr>
        <w:spacing w:after="0" w:line="225" w:lineRule="exact"/>
        <w:rPr>
          <w:rFonts w:ascii="Arial" w:cs="Arial" w:eastAsia="Arial" w:hAnsi="Arial"/>
          <w:sz w:val="18"/>
          <w:szCs w:val="18"/>
          <w:color w:val="auto"/>
        </w:rPr>
      </w:pPr>
    </w:p>
    <w:p>
      <w:pPr>
        <w:ind w:left="-921" w:right="240" w:firstLine="921"/>
        <w:spacing w:after="0" w:line="264" w:lineRule="auto"/>
        <w:tabs>
          <w:tab w:leader="none" w:pos="247"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Employee</w:t>
      </w:r>
      <w:r>
        <w:rPr>
          <w:rFonts w:ascii="Arial" w:cs="Arial" w:eastAsia="Arial" w:hAnsi="Arial"/>
          <w:sz w:val="18"/>
          <w:szCs w:val="18"/>
          <w:color w:val="auto"/>
        </w:rPr>
        <w:t>” means any person, including Officers and Directors, employed by the Company or any Parent or Subsidiary of the Company. Neither service as a Director nor the payment of a Director’s fee by the Company will be sufficient in and of itself to constitute “employment” by the Company.</w:t>
      </w:r>
    </w:p>
    <w:p>
      <w:pPr>
        <w:spacing w:after="0" w:line="181" w:lineRule="exact"/>
        <w:rPr>
          <w:rFonts w:ascii="Arial" w:cs="Arial" w:eastAsia="Arial" w:hAnsi="Arial"/>
          <w:sz w:val="18"/>
          <w:szCs w:val="18"/>
          <w:color w:val="auto"/>
        </w:rPr>
      </w:pPr>
    </w:p>
    <w:p>
      <w:pPr>
        <w:ind w:left="259" w:hanging="259"/>
        <w:spacing w:after="0"/>
        <w:tabs>
          <w:tab w:leader="none" w:pos="259"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225" w:lineRule="exact"/>
        <w:rPr>
          <w:rFonts w:ascii="Arial" w:cs="Arial" w:eastAsia="Arial" w:hAnsi="Arial"/>
          <w:sz w:val="18"/>
          <w:szCs w:val="18"/>
          <w:color w:val="auto"/>
        </w:rPr>
      </w:pPr>
    </w:p>
    <w:p>
      <w:pPr>
        <w:ind w:left="-921" w:right="20" w:firstLine="921"/>
        <w:spacing w:after="0" w:line="257" w:lineRule="auto"/>
        <w:tabs>
          <w:tab w:leader="none" w:pos="247"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Program</w:t>
      </w:r>
      <w:r>
        <w:rPr>
          <w:rFonts w:ascii="Arial" w:cs="Arial" w:eastAsia="Arial" w:hAnsi="Arial"/>
          <w:sz w:val="18"/>
          <w:szCs w:val="18"/>
          <w:color w:val="auto"/>
        </w:rPr>
        <w:t>” means a program under which (i) outstanding Awards are surrendered or cancelled in exchange for Awards of the same type (which may have lower exercise prices and different terms), Awards of a different type, and/or cash, (ii) Participants would have the opportunity to transfer any outstanding Awards to a financial institution or other person or entity selected by the Administrator, and/or (iii) the exercise price of an outstanding Award is reduced. The Administrator will determine the terms and conditions of any Exchange Program in its sole discretion, subject to Section 4.</w:t>
      </w:r>
    </w:p>
    <w:p>
      <w:pPr>
        <w:sectPr>
          <w:pgSz w:w="11900" w:h="16838" w:orient="portrait"/>
          <w:cols w:equalWidth="0" w:num="1">
            <w:col w:w="10419"/>
          </w:cols>
          <w:pgMar w:left="1161" w:top="274" w:right="319" w:bottom="1440" w:gutter="0" w:footer="0" w:header="0"/>
        </w:sectPr>
      </w:pPr>
    </w:p>
    <w:bookmarkStart w:id="118" w:name="page119"/>
    <w:bookmarkEnd w:id="118"/>
    <w:p>
      <w:pPr>
        <w:ind w:left="1140" w:hanging="219"/>
        <w:spacing w:after="0"/>
        <w:tabs>
          <w:tab w:leader="none" w:pos="1140" w:val="left"/>
        </w:tabs>
        <w:numPr>
          <w:ilvl w:val="0"/>
          <w:numId w:val="3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a share of Common Stock determined as follows:</w:t>
      </w:r>
    </w:p>
    <w:p>
      <w:pPr>
        <w:spacing w:after="0" w:line="225" w:lineRule="exact"/>
        <w:rPr>
          <w:rFonts w:ascii="Arial" w:cs="Arial" w:eastAsia="Arial" w:hAnsi="Arial"/>
          <w:sz w:val="18"/>
          <w:szCs w:val="18"/>
          <w:color w:val="auto"/>
        </w:rPr>
      </w:pPr>
    </w:p>
    <w:p>
      <w:pPr>
        <w:ind w:firstLine="1492"/>
        <w:spacing w:after="0" w:line="279" w:lineRule="auto"/>
        <w:tabs>
          <w:tab w:leader="none" w:pos="1698" w:val="left"/>
        </w:tabs>
        <w:numPr>
          <w:ilvl w:val="1"/>
          <w:numId w:val="35"/>
        </w:numPr>
        <w:rPr>
          <w:rFonts w:ascii="Arial" w:cs="Arial" w:eastAsia="Arial" w:hAnsi="Arial"/>
          <w:sz w:val="17"/>
          <w:szCs w:val="17"/>
          <w:color w:val="auto"/>
        </w:rPr>
      </w:pPr>
      <w:r>
        <w:rPr>
          <w:rFonts w:ascii="Arial" w:cs="Arial" w:eastAsia="Arial" w:hAnsi="Arial"/>
          <w:sz w:val="17"/>
          <w:szCs w:val="17"/>
          <w:color w:val="auto"/>
        </w:rPr>
        <w:t xml:space="preserve">If the Common Stock is listed on any established stock exchange or a national market system, including without limitation the Nasdaq Global Market, the Nasdaq Global Select Market or the Nasdaq Capital Market, its Fair Market Value shall be the closing sales price for such stock (or, if no closing sales price was reported on that date, as applicable, on the last trading date such closing sales price was reported) as quoted on such exchange or system on the day of determination, as reported in </w:t>
      </w:r>
      <w:r>
        <w:rPr>
          <w:rFonts w:ascii="Arial" w:cs="Arial" w:eastAsia="Arial" w:hAnsi="Arial"/>
          <w:sz w:val="17"/>
          <w:szCs w:val="17"/>
          <w:i w:val="1"/>
          <w:iCs w:val="1"/>
          <w:color w:val="auto"/>
        </w:rPr>
        <w:t>The Wall Street Journal</w:t>
      </w:r>
      <w:r>
        <w:rPr>
          <w:rFonts w:ascii="Arial" w:cs="Arial" w:eastAsia="Arial" w:hAnsi="Arial"/>
          <w:sz w:val="17"/>
          <w:szCs w:val="17"/>
          <w:color w:val="auto"/>
        </w:rPr>
        <w:t xml:space="preserve"> or such other source as the Administrator deems reliable;</w:t>
      </w:r>
    </w:p>
    <w:p>
      <w:pPr>
        <w:spacing w:after="0" w:line="171" w:lineRule="exact"/>
        <w:rPr>
          <w:rFonts w:ascii="Arial" w:cs="Arial" w:eastAsia="Arial" w:hAnsi="Arial"/>
          <w:sz w:val="17"/>
          <w:szCs w:val="17"/>
          <w:color w:val="auto"/>
        </w:rPr>
      </w:pPr>
    </w:p>
    <w:p>
      <w:pPr>
        <w:ind w:right="40" w:firstLine="1492"/>
        <w:spacing w:after="0" w:line="264" w:lineRule="auto"/>
        <w:tabs>
          <w:tab w:leader="none" w:pos="1748" w:val="left"/>
        </w:tabs>
        <w:numPr>
          <w:ilvl w:val="1"/>
          <w:numId w:val="35"/>
        </w:numPr>
        <w:rPr>
          <w:rFonts w:ascii="Arial" w:cs="Arial" w:eastAsia="Arial" w:hAnsi="Arial"/>
          <w:sz w:val="18"/>
          <w:szCs w:val="18"/>
          <w:color w:val="auto"/>
        </w:rPr>
      </w:pPr>
      <w:r>
        <w:rPr>
          <w:rFonts w:ascii="Arial" w:cs="Arial" w:eastAsia="Arial" w:hAnsi="Arial"/>
          <w:sz w:val="18"/>
          <w:szCs w:val="18"/>
          <w:color w:val="auto"/>
        </w:rPr>
        <w:t>If the Common Stock is regularly quoted by a recognized securities dealer but selling prices are not reported, its Fair Market Value shall be the mean between the high bid and low asked prices for the Common Stock on the day of determination (or, if no bids and asks were reported on that date, as applicable, on the last trading date such bids and asks were reported); or</w:t>
      </w:r>
    </w:p>
    <w:p>
      <w:pPr>
        <w:spacing w:after="0" w:line="181" w:lineRule="exact"/>
        <w:rPr>
          <w:rFonts w:ascii="Arial" w:cs="Arial" w:eastAsia="Arial" w:hAnsi="Arial"/>
          <w:sz w:val="18"/>
          <w:szCs w:val="18"/>
          <w:color w:val="auto"/>
        </w:rPr>
      </w:pPr>
    </w:p>
    <w:p>
      <w:pPr>
        <w:ind w:left="1800" w:hanging="308"/>
        <w:spacing w:after="0"/>
        <w:tabs>
          <w:tab w:leader="none" w:pos="1800" w:val="left"/>
        </w:tabs>
        <w:numPr>
          <w:ilvl w:val="1"/>
          <w:numId w:val="35"/>
        </w:numPr>
        <w:rPr>
          <w:rFonts w:ascii="Arial" w:cs="Arial" w:eastAsia="Arial" w:hAnsi="Arial"/>
          <w:sz w:val="16"/>
          <w:szCs w:val="16"/>
          <w:color w:val="auto"/>
        </w:rPr>
      </w:pPr>
      <w:r>
        <w:rPr>
          <w:rFonts w:ascii="Arial" w:cs="Arial" w:eastAsia="Arial" w:hAnsi="Arial"/>
          <w:sz w:val="16"/>
          <w:szCs w:val="16"/>
          <w:color w:val="auto"/>
        </w:rPr>
        <w:t>In the absence of an established market for the Common Stock, the Fair Market Value thereof shall be determined in good faith by</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the Administrator.</w:t>
      </w:r>
    </w:p>
    <w:p>
      <w:pPr>
        <w:spacing w:after="0" w:line="210" w:lineRule="exact"/>
        <w:rPr>
          <w:rFonts w:ascii="Arial" w:cs="Arial" w:eastAsia="Arial" w:hAnsi="Arial"/>
          <w:sz w:val="16"/>
          <w:szCs w:val="16"/>
          <w:color w:val="auto"/>
        </w:rPr>
      </w:pPr>
    </w:p>
    <w:p>
      <w:pPr>
        <w:ind w:right="300" w:firstLine="921"/>
        <w:spacing w:after="0" w:line="312" w:lineRule="auto"/>
        <w:tabs>
          <w:tab w:leader="none" w:pos="1148" w:val="left"/>
        </w:tabs>
        <w:numPr>
          <w:ilvl w:val="0"/>
          <w:numId w:val="35"/>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Incumbent Director</w:t>
      </w:r>
      <w:r>
        <w:rPr>
          <w:rFonts w:ascii="Arial" w:cs="Arial" w:eastAsia="Arial" w:hAnsi="Arial"/>
          <w:sz w:val="16"/>
          <w:szCs w:val="16"/>
          <w:color w:val="auto"/>
        </w:rPr>
        <w:t>” means a Director who either (A) is a Director as of the effective date of the Plan, or (B) is elected, or nominated for election, to the Board with the affirmative votes of at least a majority of the Directors at the time of such election or nomination (but will not include an individual whose election or nomination is in connection with an actual or threatened proxy contest relating to the election of Directors to the Company).</w:t>
      </w:r>
    </w:p>
    <w:p>
      <w:pPr>
        <w:spacing w:after="0" w:line="146" w:lineRule="exact"/>
        <w:rPr>
          <w:rFonts w:ascii="Arial" w:cs="Arial" w:eastAsia="Arial" w:hAnsi="Arial"/>
          <w:sz w:val="16"/>
          <w:szCs w:val="16"/>
          <w:color w:val="auto"/>
        </w:rPr>
      </w:pPr>
    </w:p>
    <w:p>
      <w:pPr>
        <w:ind w:left="1140" w:hanging="219"/>
        <w:spacing w:after="0"/>
        <w:tabs>
          <w:tab w:leader="none" w:pos="11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Inside Director</w:t>
      </w:r>
      <w:r>
        <w:rPr>
          <w:rFonts w:ascii="Arial" w:cs="Arial" w:eastAsia="Arial" w:hAnsi="Arial"/>
          <w:sz w:val="18"/>
          <w:szCs w:val="18"/>
          <w:color w:val="auto"/>
        </w:rPr>
        <w:t>” means a Director who is an Employee.</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0"/>
          <w:numId w:val="35"/>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Nonstatutory Stock Option</w:t>
      </w:r>
      <w:r>
        <w:rPr>
          <w:rFonts w:ascii="Arial" w:cs="Arial" w:eastAsia="Arial" w:hAnsi="Arial"/>
          <w:sz w:val="17"/>
          <w:szCs w:val="17"/>
          <w:color w:val="auto"/>
        </w:rPr>
        <w:t>” means an Option that by its terms does not qualify or is not intended to qualify as an incentive stock option.</w:t>
      </w:r>
    </w:p>
    <w:p>
      <w:pPr>
        <w:spacing w:after="0" w:line="236" w:lineRule="exact"/>
        <w:rPr>
          <w:rFonts w:ascii="Arial" w:cs="Arial" w:eastAsia="Arial" w:hAnsi="Arial"/>
          <w:sz w:val="17"/>
          <w:szCs w:val="17"/>
          <w:color w:val="auto"/>
        </w:rPr>
      </w:pPr>
    </w:p>
    <w:p>
      <w:pPr>
        <w:ind w:right="680" w:firstLine="921"/>
        <w:spacing w:after="0" w:line="277" w:lineRule="auto"/>
        <w:tabs>
          <w:tab w:leader="none" w:pos="1168"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170" w:lineRule="exact"/>
        <w:rPr>
          <w:rFonts w:ascii="Arial" w:cs="Arial" w:eastAsia="Arial" w:hAnsi="Arial"/>
          <w:sz w:val="18"/>
          <w:szCs w:val="18"/>
          <w:color w:val="auto"/>
        </w:rPr>
      </w:pPr>
    </w:p>
    <w:p>
      <w:pPr>
        <w:ind w:left="1220" w:hanging="299"/>
        <w:spacing w:after="0"/>
        <w:tabs>
          <w:tab w:leader="none" w:pos="1220" w:val="left"/>
        </w:tabs>
        <w:numPr>
          <w:ilvl w:val="0"/>
          <w:numId w:val="35"/>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Option</w:t>
      </w:r>
      <w:r>
        <w:rPr>
          <w:rFonts w:ascii="Arial" w:cs="Arial" w:eastAsia="Arial" w:hAnsi="Arial"/>
          <w:sz w:val="17"/>
          <w:szCs w:val="17"/>
          <w:color w:val="auto"/>
        </w:rPr>
        <w:t>” means a stock option granted pursuant to the Plan. All Options granted under the Plan will be Nonstatutory Stock Options.</w:t>
      </w:r>
    </w:p>
    <w:p>
      <w:pPr>
        <w:spacing w:after="0" w:line="236" w:lineRule="exact"/>
        <w:rPr>
          <w:rFonts w:ascii="Arial" w:cs="Arial" w:eastAsia="Arial" w:hAnsi="Arial"/>
          <w:sz w:val="17"/>
          <w:szCs w:val="17"/>
          <w:color w:val="auto"/>
        </w:rPr>
      </w:pPr>
    </w:p>
    <w:p>
      <w:pPr>
        <w:ind w:left="1180" w:hanging="259"/>
        <w:spacing w:after="0"/>
        <w:tabs>
          <w:tab w:leader="none" w:pos="11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Director who is not an Employee of the Company or any affiliate of the Company.</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225" w:lineRule="exact"/>
        <w:rPr>
          <w:rFonts w:ascii="Arial" w:cs="Arial" w:eastAsia="Arial" w:hAnsi="Arial"/>
          <w:sz w:val="18"/>
          <w:szCs w:val="18"/>
          <w:color w:val="auto"/>
        </w:rPr>
      </w:pPr>
    </w:p>
    <w:p>
      <w:pPr>
        <w:ind w:left="1160" w:hanging="239"/>
        <w:spacing w:after="0"/>
        <w:tabs>
          <w:tab w:leader="none" w:pos="11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the holder of an outstanding Award.</w:t>
      </w:r>
    </w:p>
    <w:p>
      <w:pPr>
        <w:sectPr>
          <w:pgSz w:w="11900" w:h="16838" w:orient="portrait"/>
          <w:cols w:equalWidth="0" w:num="1">
            <w:col w:w="11380"/>
          </w:cols>
          <w:pgMar w:left="240" w:top="274" w:right="279" w:bottom="1440" w:gutter="0" w:footer="0" w:header="0"/>
        </w:sectPr>
      </w:pPr>
    </w:p>
    <w:bookmarkStart w:id="119" w:name="page120"/>
    <w:bookmarkEnd w:id="119"/>
    <w:p>
      <w:pPr>
        <w:ind w:left="-464" w:right="400" w:firstLine="921"/>
        <w:spacing w:after="0" w:line="308" w:lineRule="auto"/>
        <w:tabs>
          <w:tab w:leader="none" w:pos="773" w:val="left"/>
        </w:tabs>
        <w:numPr>
          <w:ilvl w:val="1"/>
          <w:numId w:val="3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7"/>
          <w:szCs w:val="17"/>
          <w:u w:val="single" w:color="auto"/>
          <w:color w:val="auto"/>
        </w:rPr>
        <w:t>Performance Share</w:t>
      </w:r>
      <w:r>
        <w:rPr>
          <w:rFonts w:ascii="Arial" w:cs="Arial" w:eastAsia="Arial" w:hAnsi="Arial"/>
          <w:sz w:val="17"/>
          <w:szCs w:val="17"/>
          <w:color w:val="auto"/>
        </w:rPr>
        <w:t>” means an Award denominated in Shares which may be earned in whole or in part upon attainment of performance goals or other vesting criteria as the Administrator may determine pursuant to Section 13.</w:t>
      </w:r>
    </w:p>
    <w:p>
      <w:pPr>
        <w:spacing w:after="0" w:line="146" w:lineRule="exact"/>
        <w:rPr>
          <w:rFonts w:ascii="Arial" w:cs="Arial" w:eastAsia="Arial" w:hAnsi="Arial"/>
          <w:sz w:val="17"/>
          <w:szCs w:val="17"/>
          <w:color w:val="auto"/>
        </w:rPr>
      </w:pPr>
    </w:p>
    <w:p>
      <w:pPr>
        <w:ind w:left="-464" w:firstLine="921"/>
        <w:spacing w:after="0" w:line="342" w:lineRule="auto"/>
        <w:tabs>
          <w:tab w:leader="none" w:pos="793" w:val="left"/>
        </w:tabs>
        <w:numPr>
          <w:ilvl w:val="1"/>
          <w:numId w:val="36"/>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Performance Unit</w:t>
      </w:r>
      <w:r>
        <w:rPr>
          <w:rFonts w:ascii="Arial" w:cs="Arial" w:eastAsia="Arial" w:hAnsi="Arial"/>
          <w:sz w:val="16"/>
          <w:szCs w:val="16"/>
          <w:color w:val="auto"/>
        </w:rPr>
        <w:t>” means an Award which may be earned in whole or in part upon attainment of performance goals or other vesting criteria as the Administrator may determine and which may be settled for cash, Shares or other securities, or a combination of the foregoing pursuant to Section 13.</w:t>
      </w:r>
    </w:p>
    <w:p>
      <w:pPr>
        <w:spacing w:after="0" w:line="123" w:lineRule="exact"/>
        <w:rPr>
          <w:rFonts w:ascii="Arial" w:cs="Arial" w:eastAsia="Arial" w:hAnsi="Arial"/>
          <w:sz w:val="16"/>
          <w:szCs w:val="16"/>
          <w:color w:val="auto"/>
        </w:rPr>
      </w:pPr>
    </w:p>
    <w:p>
      <w:pPr>
        <w:ind w:left="776" w:hanging="319"/>
        <w:spacing w:after="0"/>
        <w:tabs>
          <w:tab w:leader="none" w:pos="776" w:val="left"/>
        </w:tabs>
        <w:numPr>
          <w:ilvl w:val="1"/>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2007 Director Stock Incentive Plan.</w:t>
      </w:r>
    </w:p>
    <w:p>
      <w:pPr>
        <w:spacing w:after="0" w:line="225" w:lineRule="exact"/>
        <w:rPr>
          <w:rFonts w:ascii="Arial" w:cs="Arial" w:eastAsia="Arial" w:hAnsi="Arial"/>
          <w:sz w:val="18"/>
          <w:szCs w:val="18"/>
          <w:color w:val="auto"/>
        </w:rPr>
      </w:pPr>
    </w:p>
    <w:p>
      <w:pPr>
        <w:ind w:left="796" w:hanging="339"/>
        <w:spacing w:after="0"/>
        <w:tabs>
          <w:tab w:leader="none" w:pos="796" w:val="left"/>
        </w:tabs>
        <w:numPr>
          <w:ilvl w:val="1"/>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Stock</w:t>
      </w:r>
      <w:r>
        <w:rPr>
          <w:rFonts w:ascii="Arial" w:cs="Arial" w:eastAsia="Arial" w:hAnsi="Arial"/>
          <w:sz w:val="18"/>
          <w:szCs w:val="18"/>
          <w:color w:val="auto"/>
        </w:rPr>
        <w:t>” means Shares issued pursuant to a Restricted Stock Award under the Plan.</w:t>
      </w:r>
    </w:p>
    <w:p>
      <w:pPr>
        <w:spacing w:after="0" w:line="225" w:lineRule="exact"/>
        <w:rPr>
          <w:rFonts w:ascii="Arial" w:cs="Arial" w:eastAsia="Arial" w:hAnsi="Arial"/>
          <w:sz w:val="18"/>
          <w:szCs w:val="18"/>
          <w:color w:val="auto"/>
        </w:rPr>
      </w:pPr>
    </w:p>
    <w:p>
      <w:pPr>
        <w:ind w:left="-464" w:right="140" w:firstLine="921"/>
        <w:spacing w:after="0" w:line="308" w:lineRule="auto"/>
        <w:tabs>
          <w:tab w:leader="none" w:pos="773" w:val="left"/>
        </w:tabs>
        <w:numPr>
          <w:ilvl w:val="1"/>
          <w:numId w:val="36"/>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Restricted Stock Unit</w:t>
      </w:r>
      <w:r>
        <w:rPr>
          <w:rFonts w:ascii="Arial" w:cs="Arial" w:eastAsia="Arial" w:hAnsi="Arial"/>
          <w:sz w:val="17"/>
          <w:szCs w:val="17"/>
          <w:color w:val="auto"/>
        </w:rPr>
        <w:t>” or “</w:t>
      </w:r>
      <w:r>
        <w:rPr>
          <w:rFonts w:ascii="Arial" w:cs="Arial" w:eastAsia="Arial" w:hAnsi="Arial"/>
          <w:sz w:val="17"/>
          <w:szCs w:val="17"/>
          <w:u w:val="single" w:color="auto"/>
          <w:color w:val="auto"/>
        </w:rPr>
        <w:t>RSU</w:t>
      </w:r>
      <w:r>
        <w:rPr>
          <w:rFonts w:ascii="Arial" w:cs="Arial" w:eastAsia="Arial" w:hAnsi="Arial"/>
          <w:sz w:val="17"/>
          <w:szCs w:val="17"/>
          <w:color w:val="auto"/>
        </w:rPr>
        <w:t>” means a bookkeeping entry representing an amount equal to the Fair Market Value of one Share, granted pursuant to the Plan. Each Restricted Stock Unit represents an unfunded and unsecured obligation of the Company.</w:t>
      </w:r>
    </w:p>
    <w:p>
      <w:pPr>
        <w:spacing w:after="0" w:line="146" w:lineRule="exact"/>
        <w:rPr>
          <w:rFonts w:ascii="Arial" w:cs="Arial" w:eastAsia="Arial" w:hAnsi="Arial"/>
          <w:sz w:val="17"/>
          <w:szCs w:val="17"/>
          <w:color w:val="auto"/>
        </w:rPr>
      </w:pPr>
    </w:p>
    <w:p>
      <w:pPr>
        <w:ind w:left="736" w:hanging="279"/>
        <w:spacing w:after="0"/>
        <w:tabs>
          <w:tab w:leader="none" w:pos="736" w:val="left"/>
        </w:tabs>
        <w:numPr>
          <w:ilvl w:val="1"/>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Service Provider</w:t>
      </w:r>
      <w:r>
        <w:rPr>
          <w:rFonts w:ascii="Arial" w:cs="Arial" w:eastAsia="Arial" w:hAnsi="Arial"/>
          <w:sz w:val="18"/>
          <w:szCs w:val="18"/>
          <w:color w:val="auto"/>
        </w:rPr>
        <w:t>” means an Employee, Director or Consultant.</w:t>
      </w:r>
    </w:p>
    <w:p>
      <w:pPr>
        <w:spacing w:after="0" w:line="225" w:lineRule="exact"/>
        <w:rPr>
          <w:rFonts w:ascii="Arial" w:cs="Arial" w:eastAsia="Arial" w:hAnsi="Arial"/>
          <w:sz w:val="18"/>
          <w:szCs w:val="18"/>
          <w:color w:val="auto"/>
        </w:rPr>
      </w:pPr>
    </w:p>
    <w:p>
      <w:pPr>
        <w:ind w:left="796" w:hanging="339"/>
        <w:spacing w:after="0"/>
        <w:tabs>
          <w:tab w:leader="none" w:pos="796" w:val="left"/>
        </w:tabs>
        <w:numPr>
          <w:ilvl w:val="1"/>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Common Stock, as adjusted in accordance with Section 18 hereof.</w:t>
      </w:r>
    </w:p>
    <w:p>
      <w:pPr>
        <w:spacing w:after="0" w:line="225" w:lineRule="exact"/>
        <w:rPr>
          <w:rFonts w:ascii="Arial" w:cs="Arial" w:eastAsia="Arial" w:hAnsi="Arial"/>
          <w:sz w:val="18"/>
          <w:szCs w:val="18"/>
          <w:color w:val="auto"/>
        </w:rPr>
      </w:pPr>
    </w:p>
    <w:p>
      <w:pPr>
        <w:ind w:left="-464" w:right="180" w:firstLine="921"/>
        <w:spacing w:after="0" w:line="277" w:lineRule="auto"/>
        <w:tabs>
          <w:tab w:leader="none" w:pos="793" w:val="left"/>
        </w:tabs>
        <w:numPr>
          <w:ilvl w:val="1"/>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 Appreciation Right</w:t>
      </w:r>
      <w:r>
        <w:rPr>
          <w:rFonts w:ascii="Arial" w:cs="Arial" w:eastAsia="Arial" w:hAnsi="Arial"/>
          <w:sz w:val="18"/>
          <w:szCs w:val="18"/>
          <w:color w:val="auto"/>
        </w:rPr>
        <w:t>” means an Award granted under the Plan, granted alone or in connection with an Option, that is designated as a Stock Appreciation Right.</w:t>
      </w:r>
    </w:p>
    <w:p>
      <w:pPr>
        <w:spacing w:after="0" w:line="170" w:lineRule="exact"/>
        <w:rPr>
          <w:rFonts w:ascii="Arial" w:cs="Arial" w:eastAsia="Arial" w:hAnsi="Arial"/>
          <w:sz w:val="18"/>
          <w:szCs w:val="18"/>
          <w:color w:val="auto"/>
        </w:rPr>
      </w:pPr>
    </w:p>
    <w:p>
      <w:pPr>
        <w:ind w:left="716" w:hanging="259"/>
        <w:spacing w:after="0"/>
        <w:tabs>
          <w:tab w:leader="none" w:pos="716" w:val="left"/>
        </w:tabs>
        <w:numPr>
          <w:ilvl w:val="1"/>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“subsidiary corporation,” whether now or hereafter existing, as defined in Section 424(f) of the Code.</w:t>
      </w:r>
    </w:p>
    <w:p>
      <w:pPr>
        <w:spacing w:after="0" w:line="329" w:lineRule="exact"/>
        <w:rPr>
          <w:rFonts w:ascii="Arial" w:cs="Arial" w:eastAsia="Arial" w:hAnsi="Arial"/>
          <w:sz w:val="18"/>
          <w:szCs w:val="18"/>
          <w:color w:val="auto"/>
        </w:rPr>
      </w:pPr>
    </w:p>
    <w:p>
      <w:pPr>
        <w:ind w:left="176" w:hanging="176"/>
        <w:spacing w:after="0"/>
        <w:tabs>
          <w:tab w:leader="none" w:pos="176" w:val="left"/>
        </w:tabs>
        <w:numPr>
          <w:ilvl w:val="0"/>
          <w:numId w:val="37"/>
        </w:numPr>
        <w:rPr>
          <w:rFonts w:ascii="Arial" w:cs="Arial" w:eastAsia="Arial" w:hAnsi="Arial"/>
          <w:sz w:val="18"/>
          <w:szCs w:val="18"/>
          <w:b w:val="1"/>
          <w:bCs w:val="1"/>
          <w:color w:val="auto"/>
        </w:rPr>
      </w:pPr>
      <w:r>
        <w:rPr>
          <w:rFonts w:ascii="Arial" w:cs="Arial" w:eastAsia="Arial" w:hAnsi="Arial"/>
          <w:sz w:val="18"/>
          <w:szCs w:val="18"/>
          <w:b w:val="1"/>
          <w:bCs w:val="1"/>
          <w:color w:val="auto"/>
        </w:rPr>
        <w:t>Stock Subject to the Plan.</w:t>
      </w:r>
    </w:p>
    <w:p>
      <w:pPr>
        <w:spacing w:after="0" w:line="121" w:lineRule="exact"/>
        <w:rPr>
          <w:rFonts w:ascii="Arial" w:cs="Arial" w:eastAsia="Arial" w:hAnsi="Arial"/>
          <w:sz w:val="18"/>
          <w:szCs w:val="18"/>
          <w:b w:val="1"/>
          <w:bCs w:val="1"/>
          <w:color w:val="auto"/>
        </w:rPr>
      </w:pPr>
    </w:p>
    <w:p>
      <w:pPr>
        <w:ind w:left="-464" w:right="560" w:firstLine="921"/>
        <w:spacing w:after="0" w:line="277" w:lineRule="auto"/>
        <w:tabs>
          <w:tab w:leader="none" w:pos="693"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Plan Pool</w:t>
      </w:r>
      <w:r>
        <w:rPr>
          <w:rFonts w:ascii="Arial" w:cs="Arial" w:eastAsia="Arial" w:hAnsi="Arial"/>
          <w:sz w:val="18"/>
          <w:szCs w:val="18"/>
          <w:color w:val="auto"/>
        </w:rPr>
        <w:t>. The maximum aggregate number of Shares which may be granted pursuant to Awards under the Plan is seven hundred-fifty thousand (750,000) Shares. The Shares may be authorized, but unissued, or reacquired Common Stock.</w:t>
      </w:r>
    </w:p>
    <w:p>
      <w:pPr>
        <w:spacing w:after="0" w:line="170" w:lineRule="exact"/>
        <w:rPr>
          <w:rFonts w:ascii="Arial" w:cs="Arial" w:eastAsia="Arial" w:hAnsi="Arial"/>
          <w:sz w:val="18"/>
          <w:szCs w:val="18"/>
          <w:color w:val="auto"/>
        </w:rPr>
      </w:pPr>
    </w:p>
    <w:p>
      <w:pPr>
        <w:ind w:left="-464" w:right="100" w:firstLine="921"/>
        <w:spacing w:after="0" w:line="271" w:lineRule="auto"/>
        <w:tabs>
          <w:tab w:leader="none" w:pos="703" w:val="left"/>
        </w:tabs>
        <w:numPr>
          <w:ilvl w:val="1"/>
          <w:numId w:val="37"/>
        </w:numPr>
        <w:rPr>
          <w:rFonts w:ascii="Arial" w:cs="Arial" w:eastAsia="Arial" w:hAnsi="Arial"/>
          <w:sz w:val="17"/>
          <w:szCs w:val="17"/>
          <w:color w:val="auto"/>
        </w:rPr>
      </w:pPr>
      <w:r>
        <w:rPr>
          <w:rFonts w:ascii="Arial" w:cs="Arial" w:eastAsia="Arial" w:hAnsi="Arial"/>
          <w:sz w:val="17"/>
          <w:szCs w:val="17"/>
          <w:u w:val="single" w:color="auto"/>
          <w:color w:val="auto"/>
        </w:rPr>
        <w:t>Lapsed Awards</w:t>
      </w:r>
      <w:r>
        <w:rPr>
          <w:rFonts w:ascii="Arial" w:cs="Arial" w:eastAsia="Arial" w:hAnsi="Arial"/>
          <w:sz w:val="17"/>
          <w:szCs w:val="17"/>
          <w:color w:val="auto"/>
        </w:rPr>
        <w:t>. If an Award expires or becomes unexercisable without having been exercised in full, is surrendered pursuant to an Exchange Program, or, with respect to Performance Shares, Performance Units, Restricted Stock or Restricted Stock Units, is forfeited to or repurchased by the Company due to failure to vest, the unpurchased Shares (or for Awards other than Options or Stock Appreciation Rights the forfeited or repurchased Shares) which were subject thereto will become available for future grant or sale under the Plan (unless the Plan has terminated). Shares that have actually been issued under the Plan under any Award will not be returned to the Plan and will not become available for future distribution under the Plan; provided, however, that if Shares issued pursuant to Awards are repurchased by the Company or are forfeited to the Company due to their failure to vest, such Shares will become available for future grant under the Plan. Shares used to pay the exercise price of an Award or to satisfy the minimum statutory withholding obligations related to an Award will not become</w:t>
      </w:r>
    </w:p>
    <w:p>
      <w:pPr>
        <w:sectPr>
          <w:pgSz w:w="11900" w:h="16838" w:orient="portrait"/>
          <w:cols w:equalWidth="0" w:num="1">
            <w:col w:w="10956"/>
          </w:cols>
          <w:pgMar w:left="704" w:top="274" w:right="239" w:bottom="1440" w:gutter="0" w:footer="0" w:header="0"/>
        </w:sectPr>
      </w:pPr>
    </w:p>
    <w:bookmarkStart w:id="120" w:name="page121"/>
    <w:bookmarkEnd w:id="120"/>
    <w:p>
      <w:pPr>
        <w:ind w:right="40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available for future grant or sale under the Plan. To the extent an Award under the Plan is paid out in cash rather than Shares, such cash payment will not result in reducing the number of Shares available for issuance under the Plan.</w:t>
      </w:r>
    </w:p>
    <w:p>
      <w:pPr>
        <w:spacing w:after="0" w:line="166" w:lineRule="exact"/>
        <w:rPr>
          <w:sz w:val="20"/>
          <w:szCs w:val="20"/>
          <w:color w:val="auto"/>
        </w:rPr>
      </w:pPr>
    </w:p>
    <w:p>
      <w:pPr>
        <w:ind w:right="100" w:firstLine="464"/>
        <w:spacing w:after="0" w:line="288" w:lineRule="auto"/>
        <w:tabs>
          <w:tab w:leader="none" w:pos="636" w:val="left"/>
        </w:tabs>
        <w:numPr>
          <w:ilvl w:val="0"/>
          <w:numId w:val="3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Administration. </w:t>
      </w:r>
      <w:r>
        <w:rPr>
          <w:rFonts w:ascii="Arial" w:cs="Arial" w:eastAsia="Arial" w:hAnsi="Arial"/>
          <w:sz w:val="16"/>
          <w:szCs w:val="16"/>
          <w:color w:val="auto"/>
        </w:rPr>
        <w:t>The Plan will be administered by (A) the Board or (B) a Committee, which will be constituted to satisfy Applicable Laws. Subject</w:t>
      </w:r>
      <w:r>
        <w:rPr>
          <w:rFonts w:ascii="Arial" w:cs="Arial" w:eastAsia="Arial" w:hAnsi="Arial"/>
          <w:sz w:val="16"/>
          <w:szCs w:val="16"/>
          <w:b w:val="1"/>
          <w:bCs w:val="1"/>
          <w:color w:val="auto"/>
        </w:rPr>
        <w:t xml:space="preserve"> </w:t>
      </w:r>
      <w:r>
        <w:rPr>
          <w:rFonts w:ascii="Arial" w:cs="Arial" w:eastAsia="Arial" w:hAnsi="Arial"/>
          <w:sz w:val="16"/>
          <w:szCs w:val="16"/>
          <w:color w:val="auto"/>
        </w:rPr>
        <w:t>to the provisions of the Plan, and in the case of a Committee, subject to the specific duties delegated by the Board to such Committee, the Administrator will have the authority, in its discretion: (i) to determine the Fair Market Value; (ii) to construe and interpret the terms of the Plan and Awards granted pursuant to the Plan; (iii) to prescribe, amend and rescind rules and regulations relating to the Plan, including the ability to accelerate the vesting of awards granted to Outside Directors who will not stand for reelection; (iv) to make such other determinations and take such other actions as permitted under the Plan; (v) to determine the terms and conditions of, and to institute, any Exchange Program, subject to the following sentence; and (vi) to make all other determinations deemed necessary or advisable for administering the Plan. Notwithstanding anything herein to the contrary, the Administrator may not (a) modify or amend an Award to reduce the exercise price of such Award after it has been granted; (b) cancel any Award and immediately replace it with any other Award with a lower exercise price; or (c) authorize the buyout of Options or Stock Appreciation Rights with exercise prices per share that are greater than the then-current Fair Market Value, in each case, unless such action is approved by the Company’s shareholders prior to such action. The Administrator’s decisions, determinations and interpretations will be final and binding on all Participants and any other holders of Awards.</w:t>
      </w:r>
    </w:p>
    <w:p>
      <w:pPr>
        <w:spacing w:after="0" w:line="272" w:lineRule="exact"/>
        <w:rPr>
          <w:rFonts w:ascii="Arial" w:cs="Arial" w:eastAsia="Arial" w:hAnsi="Arial"/>
          <w:sz w:val="16"/>
          <w:szCs w:val="16"/>
          <w:b w:val="1"/>
          <w:bCs w:val="1"/>
          <w:color w:val="auto"/>
        </w:rPr>
      </w:pPr>
    </w:p>
    <w:p>
      <w:pPr>
        <w:ind w:left="640" w:hanging="176"/>
        <w:spacing w:after="0"/>
        <w:tabs>
          <w:tab w:leader="none" w:pos="640" w:val="left"/>
        </w:tabs>
        <w:numPr>
          <w:ilvl w:val="0"/>
          <w:numId w:val="38"/>
        </w:numPr>
        <w:rPr>
          <w:rFonts w:ascii="Arial" w:cs="Arial" w:eastAsia="Arial" w:hAnsi="Arial"/>
          <w:sz w:val="18"/>
          <w:szCs w:val="18"/>
          <w:b w:val="1"/>
          <w:bCs w:val="1"/>
          <w:color w:val="auto"/>
        </w:rPr>
      </w:pPr>
      <w:r>
        <w:rPr>
          <w:rFonts w:ascii="Arial" w:cs="Arial" w:eastAsia="Arial" w:hAnsi="Arial"/>
          <w:sz w:val="18"/>
          <w:szCs w:val="18"/>
          <w:b w:val="1"/>
          <w:bCs w:val="1"/>
          <w:color w:val="auto"/>
        </w:rPr>
        <w:t>Grants of Awards under the Plan.</w:t>
      </w:r>
    </w:p>
    <w:p>
      <w:pPr>
        <w:spacing w:after="0" w:line="121" w:lineRule="exact"/>
        <w:rPr>
          <w:rFonts w:ascii="Arial" w:cs="Arial" w:eastAsia="Arial" w:hAnsi="Arial"/>
          <w:sz w:val="18"/>
          <w:szCs w:val="18"/>
          <w:b w:val="1"/>
          <w:bCs w:val="1"/>
          <w:color w:val="auto"/>
        </w:rPr>
      </w:pPr>
    </w:p>
    <w:p>
      <w:pPr>
        <w:ind w:left="1160" w:hanging="239"/>
        <w:spacing w:after="0"/>
        <w:tabs>
          <w:tab w:leader="none" w:pos="1160" w:val="left"/>
        </w:tabs>
        <w:numPr>
          <w:ilvl w:val="1"/>
          <w:numId w:val="38"/>
        </w:numPr>
        <w:rPr>
          <w:rFonts w:ascii="Arial" w:cs="Arial" w:eastAsia="Arial" w:hAnsi="Arial"/>
          <w:sz w:val="17"/>
          <w:szCs w:val="17"/>
          <w:color w:val="auto"/>
        </w:rPr>
      </w:pPr>
      <w:r>
        <w:rPr>
          <w:rFonts w:ascii="Arial" w:cs="Arial" w:eastAsia="Arial" w:hAnsi="Arial"/>
          <w:sz w:val="17"/>
          <w:szCs w:val="17"/>
          <w:u w:val="single" w:color="auto"/>
          <w:color w:val="auto"/>
        </w:rPr>
        <w:t>Procedure for Grants</w:t>
      </w:r>
      <w:r>
        <w:rPr>
          <w:rFonts w:ascii="Arial" w:cs="Arial" w:eastAsia="Arial" w:hAnsi="Arial"/>
          <w:sz w:val="17"/>
          <w:szCs w:val="17"/>
          <w:i w:val="1"/>
          <w:iCs w:val="1"/>
          <w:color w:val="auto"/>
        </w:rPr>
        <w:t>.</w:t>
      </w:r>
      <w:r>
        <w:rPr>
          <w:rFonts w:ascii="Arial" w:cs="Arial" w:eastAsia="Arial" w:hAnsi="Arial"/>
          <w:sz w:val="17"/>
          <w:szCs w:val="17"/>
          <w:color w:val="auto"/>
        </w:rPr>
        <w:t xml:space="preserve"> All grants of Awards to Outside Directors under this Plan shall be made strictly in accordance with the following</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provisions:</w:t>
      </w:r>
    </w:p>
    <w:p>
      <w:pPr>
        <w:spacing w:after="0" w:line="210" w:lineRule="exact"/>
        <w:rPr>
          <w:rFonts w:ascii="Arial" w:cs="Arial" w:eastAsia="Arial" w:hAnsi="Arial"/>
          <w:sz w:val="17"/>
          <w:szCs w:val="17"/>
          <w:color w:val="auto"/>
        </w:rPr>
      </w:pPr>
    </w:p>
    <w:p>
      <w:pPr>
        <w:ind w:firstLine="921"/>
        <w:spacing w:after="0" w:line="277" w:lineRule="auto"/>
        <w:tabs>
          <w:tab w:leader="none" w:pos="1168"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Type of Option</w:t>
      </w:r>
      <w:r>
        <w:rPr>
          <w:rFonts w:ascii="Arial" w:cs="Arial" w:eastAsia="Arial" w:hAnsi="Arial"/>
          <w:sz w:val="18"/>
          <w:szCs w:val="18"/>
          <w:color w:val="auto"/>
        </w:rPr>
        <w:t>. If Options are granted pursuant to the Plan they will be Nonstatutory Stock Options and, except as otherwise provided herein, will be subject to the other terms and conditions of the Plan.</w:t>
      </w:r>
    </w:p>
    <w:p>
      <w:pPr>
        <w:spacing w:after="0" w:line="170" w:lineRule="exact"/>
        <w:rPr>
          <w:rFonts w:ascii="Arial" w:cs="Arial" w:eastAsia="Arial" w:hAnsi="Arial"/>
          <w:sz w:val="18"/>
          <w:szCs w:val="18"/>
          <w:color w:val="auto"/>
        </w:rPr>
      </w:pPr>
    </w:p>
    <w:p>
      <w:pPr>
        <w:ind w:left="1160" w:hanging="239"/>
        <w:spacing w:after="0"/>
        <w:tabs>
          <w:tab w:leader="none" w:pos="1160"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Eligibility for Awards</w:t>
      </w:r>
      <w:r>
        <w:rPr>
          <w:rFonts w:ascii="Arial" w:cs="Arial" w:eastAsia="Arial" w:hAnsi="Arial"/>
          <w:sz w:val="18"/>
          <w:szCs w:val="18"/>
          <w:color w:val="auto"/>
        </w:rPr>
        <w:t>. Awards under the Plan shall be granted only to Outside Directors of the Company.</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Annual RSU Award</w:t>
      </w:r>
      <w:r>
        <w:rPr>
          <w:rFonts w:ascii="Arial" w:cs="Arial" w:eastAsia="Arial" w:hAnsi="Arial"/>
          <w:sz w:val="18"/>
          <w:szCs w:val="18"/>
          <w:color w:val="auto"/>
        </w:rPr>
        <w:t>. This Section 5(d) shall be effective for grants on and after the 2014 Annual General Meeting.</w:t>
      </w:r>
    </w:p>
    <w:p>
      <w:pPr>
        <w:spacing w:after="0" w:line="225" w:lineRule="exact"/>
        <w:rPr>
          <w:rFonts w:ascii="Arial" w:cs="Arial" w:eastAsia="Arial" w:hAnsi="Arial"/>
          <w:sz w:val="18"/>
          <w:szCs w:val="18"/>
          <w:color w:val="auto"/>
        </w:rPr>
      </w:pPr>
    </w:p>
    <w:p>
      <w:pPr>
        <w:ind w:firstLine="1492"/>
        <w:spacing w:after="0" w:line="255" w:lineRule="auto"/>
        <w:tabs>
          <w:tab w:leader="none" w:pos="1698" w:val="left"/>
        </w:tabs>
        <w:numPr>
          <w:ilvl w:val="2"/>
          <w:numId w:val="38"/>
        </w:numPr>
        <w:rPr>
          <w:rFonts w:ascii="Arial" w:cs="Arial" w:eastAsia="Arial" w:hAnsi="Arial"/>
          <w:sz w:val="18"/>
          <w:szCs w:val="18"/>
          <w:color w:val="auto"/>
        </w:rPr>
      </w:pPr>
      <w:r>
        <w:rPr>
          <w:rFonts w:ascii="Arial" w:cs="Arial" w:eastAsia="Arial" w:hAnsi="Arial"/>
          <w:sz w:val="18"/>
          <w:szCs w:val="18"/>
          <w:color w:val="auto"/>
        </w:rPr>
        <w:t>Each Outside Director who continues to serve as an Outside Director or who commences service as an Outside Director by reason of his or her election to the Board at an Annual General Meeting will be automatically granted such number of Shares subject to Restricted Stock Units as set forth in this Section 5(d)(i) (the “Annual RSU Award”) immediately following each Annual General Meeting. The Annual RSU Award will cover a number of Shares with an aggregate Fair Market Value equal to $220,000 on the grant date; provided that such number of Shares subject to the Annual RSU Award will be rounded down to the nearest whole number of Shares. For purposes of the calculation of the Shares subject to the Annual RSU Award, the Fair Market Value will be the closing trading price on the date of the</w:t>
      </w:r>
    </w:p>
    <w:p>
      <w:pPr>
        <w:sectPr>
          <w:pgSz w:w="11900" w:h="16838" w:orient="portrait"/>
          <w:cols w:equalWidth="0" w:num="1">
            <w:col w:w="11400"/>
          </w:cols>
          <w:pgMar w:left="240" w:top="274" w:right="259" w:bottom="1440" w:gutter="0" w:footer="0" w:header="0"/>
        </w:sectPr>
      </w:pPr>
    </w:p>
    <w:bookmarkStart w:id="121" w:name="page122"/>
    <w:bookmarkEnd w:id="121"/>
    <w:p>
      <w:pPr>
        <w:ind w:right="5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Annual General Meeting (or, if the Annual General Meeting is not on a trading day, the closing trading price on the last trading day prior to the Annual General Meeting), without adjustment for anticipated dividend payments.</w:t>
      </w:r>
    </w:p>
    <w:p>
      <w:pPr>
        <w:spacing w:after="0" w:line="170" w:lineRule="exact"/>
        <w:rPr>
          <w:sz w:val="20"/>
          <w:szCs w:val="20"/>
          <w:color w:val="auto"/>
        </w:rPr>
      </w:pPr>
    </w:p>
    <w:p>
      <w:pPr>
        <w:jc w:val="both"/>
        <w:ind w:firstLine="1492"/>
        <w:spacing w:after="0" w:line="288" w:lineRule="auto"/>
        <w:tabs>
          <w:tab w:leader="none" w:pos="1748" w:val="left"/>
        </w:tabs>
        <w:numPr>
          <w:ilvl w:val="2"/>
          <w:numId w:val="39"/>
        </w:numPr>
        <w:rPr>
          <w:rFonts w:ascii="Arial" w:cs="Arial" w:eastAsia="Arial" w:hAnsi="Arial"/>
          <w:sz w:val="16"/>
          <w:szCs w:val="16"/>
          <w:color w:val="auto"/>
        </w:rPr>
      </w:pPr>
      <w:r>
        <w:rPr>
          <w:rFonts w:ascii="Arial" w:cs="Arial" w:eastAsia="Arial" w:hAnsi="Arial"/>
          <w:sz w:val="16"/>
          <w:szCs w:val="16"/>
          <w:color w:val="auto"/>
        </w:rPr>
        <w:t>Each individual who is first elected or appointed as an Outside Director other than as a result of his or her initial election to the Board at an Annual General Meeting, shall, on the date he or she commences service as an Outside Director, automatically be granted such number of Shares subject to Restricted Stock Units as set for this Section 5(d)(ii) (the “Pro Rata RSU Award”). The Pro Rata RSU Award will cover a number of Shares determined by</w:t>
      </w:r>
    </w:p>
    <w:p>
      <w:pPr>
        <w:ind w:right="440" w:firstLine="8"/>
        <w:spacing w:after="0" w:line="255" w:lineRule="auto"/>
        <w:tabs>
          <w:tab w:leader="none" w:pos="215" w:val="left"/>
        </w:tabs>
        <w:numPr>
          <w:ilvl w:val="0"/>
          <w:numId w:val="40"/>
        </w:numPr>
        <w:rPr>
          <w:rFonts w:ascii="Arial" w:cs="Arial" w:eastAsia="Arial" w:hAnsi="Arial"/>
          <w:sz w:val="18"/>
          <w:szCs w:val="18"/>
          <w:color w:val="auto"/>
        </w:rPr>
      </w:pPr>
      <w:r>
        <w:rPr>
          <w:rFonts w:ascii="Arial" w:cs="Arial" w:eastAsia="Arial" w:hAnsi="Arial"/>
          <w:sz w:val="18"/>
          <w:szCs w:val="18"/>
          <w:color w:val="auto"/>
        </w:rPr>
        <w:t xml:space="preserve">first multiplying $220,000 by a fraction (x) the numerator of which is four, </w:t>
      </w:r>
      <w:r>
        <w:rPr>
          <w:rFonts w:ascii="Arial" w:cs="Arial" w:eastAsia="Arial" w:hAnsi="Arial"/>
          <w:sz w:val="18"/>
          <w:szCs w:val="18"/>
          <w:i w:val="1"/>
          <w:iCs w:val="1"/>
          <w:color w:val="auto"/>
        </w:rPr>
        <w:t>less</w:t>
      </w:r>
      <w:r>
        <w:rPr>
          <w:rFonts w:ascii="Arial" w:cs="Arial" w:eastAsia="Arial" w:hAnsi="Arial"/>
          <w:sz w:val="18"/>
          <w:szCs w:val="18"/>
          <w:color w:val="auto"/>
        </w:rPr>
        <w:t xml:space="preserve"> the number of quarters (including any portions of a quarter) that have lapsed since the last Annual General Meeting and (y) the denominator which is four quarters and (ii) then, by dividing the pro-rated dollar amount so calculated by the Fair Market Value per Share on such grant date.</w:t>
      </w:r>
    </w:p>
    <w:p>
      <w:pPr>
        <w:spacing w:after="0" w:line="190" w:lineRule="exact"/>
        <w:rPr>
          <w:rFonts w:ascii="Arial" w:cs="Arial" w:eastAsia="Arial" w:hAnsi="Arial"/>
          <w:sz w:val="18"/>
          <w:szCs w:val="18"/>
          <w:color w:val="auto"/>
        </w:rPr>
      </w:pPr>
    </w:p>
    <w:p>
      <w:pPr>
        <w:ind w:right="220" w:firstLine="1492"/>
        <w:spacing w:after="0" w:line="259" w:lineRule="auto"/>
        <w:tabs>
          <w:tab w:leader="none" w:pos="1798" w:val="left"/>
        </w:tabs>
        <w:numPr>
          <w:ilvl w:val="2"/>
          <w:numId w:val="40"/>
        </w:numPr>
        <w:rPr>
          <w:rFonts w:ascii="Arial" w:cs="Arial" w:eastAsia="Arial" w:hAnsi="Arial"/>
          <w:sz w:val="18"/>
          <w:szCs w:val="18"/>
          <w:color w:val="auto"/>
        </w:rPr>
      </w:pPr>
      <w:r>
        <w:rPr>
          <w:rFonts w:ascii="Arial" w:cs="Arial" w:eastAsia="Arial" w:hAnsi="Arial"/>
          <w:sz w:val="18"/>
          <w:szCs w:val="18"/>
          <w:color w:val="auto"/>
        </w:rPr>
        <w:t>Notwithstanding the foregoing, in no event shall any Outside Director be awarded an Annual RSU Award or Pro Rata RSU Award for more than 20,000 Shares (i.e., if determination of the Shares subject to an award under Section(s) 5(d)(i) and/or 5(d)(ii) result in an award in excess of 20,000 Shares, then the applicable award shall cover 20,000 Shares). There shall be no limit on the number of such Annual RSU Awards any one Outside Director may receive over his or her period of Board service.</w:t>
      </w:r>
    </w:p>
    <w:p>
      <w:pPr>
        <w:spacing w:after="0" w:line="186" w:lineRule="exact"/>
        <w:rPr>
          <w:rFonts w:ascii="Arial" w:cs="Arial" w:eastAsia="Arial" w:hAnsi="Arial"/>
          <w:sz w:val="18"/>
          <w:szCs w:val="18"/>
          <w:color w:val="auto"/>
        </w:rPr>
      </w:pPr>
    </w:p>
    <w:p>
      <w:pPr>
        <w:ind w:left="1160" w:hanging="239"/>
        <w:spacing w:after="0"/>
        <w:tabs>
          <w:tab w:leader="none" w:pos="1160" w:val="left"/>
        </w:tabs>
        <w:numPr>
          <w:ilvl w:val="1"/>
          <w:numId w:val="40"/>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Award granted pursuant to the Plan will be as follows:</w:t>
      </w:r>
    </w:p>
    <w:p>
      <w:pPr>
        <w:spacing w:after="0" w:line="225" w:lineRule="exact"/>
        <w:rPr>
          <w:rFonts w:ascii="Arial" w:cs="Arial" w:eastAsia="Arial" w:hAnsi="Arial"/>
          <w:sz w:val="18"/>
          <w:szCs w:val="18"/>
          <w:color w:val="auto"/>
        </w:rPr>
      </w:pPr>
    </w:p>
    <w:p>
      <w:pPr>
        <w:ind w:left="1700" w:hanging="208"/>
        <w:spacing w:after="0"/>
        <w:tabs>
          <w:tab w:leader="none" w:pos="1700" w:val="left"/>
        </w:tabs>
        <w:numPr>
          <w:ilvl w:val="2"/>
          <w:numId w:val="41"/>
        </w:numPr>
        <w:rPr>
          <w:rFonts w:ascii="Arial" w:cs="Arial" w:eastAsia="Arial" w:hAnsi="Arial"/>
          <w:sz w:val="16"/>
          <w:szCs w:val="16"/>
          <w:color w:val="auto"/>
        </w:rPr>
      </w:pPr>
      <w:r>
        <w:rPr>
          <w:rFonts w:ascii="Arial" w:cs="Arial" w:eastAsia="Arial" w:hAnsi="Arial"/>
          <w:sz w:val="16"/>
          <w:szCs w:val="16"/>
          <w:color w:val="auto"/>
        </w:rPr>
        <w:t>If the Award is an Option, the term of the Award will be ten (10) years; provided, however, that the Option may expire earlier pursuant</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to Section 8 hereof.</w:t>
      </w:r>
    </w:p>
    <w:p>
      <w:pPr>
        <w:spacing w:after="0" w:line="211" w:lineRule="exact"/>
        <w:rPr>
          <w:sz w:val="20"/>
          <w:szCs w:val="20"/>
          <w:color w:val="auto"/>
        </w:rPr>
      </w:pPr>
    </w:p>
    <w:p>
      <w:pPr>
        <w:ind w:left="1760" w:hanging="268"/>
        <w:spacing w:after="0"/>
        <w:tabs>
          <w:tab w:leader="none" w:pos="1760" w:val="left"/>
        </w:tabs>
        <w:numPr>
          <w:ilvl w:val="1"/>
          <w:numId w:val="42"/>
        </w:numPr>
        <w:rPr>
          <w:rFonts w:ascii="Arial" w:cs="Arial" w:eastAsia="Arial" w:hAnsi="Arial"/>
          <w:sz w:val="16"/>
          <w:szCs w:val="16"/>
          <w:color w:val="auto"/>
        </w:rPr>
      </w:pPr>
      <w:r>
        <w:rPr>
          <w:rFonts w:ascii="Arial" w:cs="Arial" w:eastAsia="Arial" w:hAnsi="Arial"/>
          <w:sz w:val="16"/>
          <w:szCs w:val="16"/>
          <w:color w:val="auto"/>
        </w:rPr>
        <w:t>To the extent not in conflict with the terms of this Section, the other terms and conditions of the Plan will apply to Awards granted</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pursuant to this Section.</w:t>
      </w:r>
    </w:p>
    <w:p>
      <w:pPr>
        <w:spacing w:after="0" w:line="210" w:lineRule="exact"/>
        <w:rPr>
          <w:rFonts w:ascii="Arial" w:cs="Arial" w:eastAsia="Arial" w:hAnsi="Arial"/>
          <w:sz w:val="16"/>
          <w:szCs w:val="16"/>
          <w:color w:val="auto"/>
        </w:rPr>
      </w:pPr>
    </w:p>
    <w:p>
      <w:pPr>
        <w:ind w:right="620" w:firstLine="921"/>
        <w:spacing w:after="0" w:line="308" w:lineRule="auto"/>
        <w:tabs>
          <w:tab w:leader="none" w:pos="1138" w:val="left"/>
        </w:tabs>
        <w:numPr>
          <w:ilvl w:val="0"/>
          <w:numId w:val="43"/>
        </w:numPr>
        <w:rPr>
          <w:rFonts w:ascii="Arial" w:cs="Arial" w:eastAsia="Arial" w:hAnsi="Arial"/>
          <w:sz w:val="17"/>
          <w:szCs w:val="17"/>
          <w:color w:val="auto"/>
        </w:rPr>
      </w:pPr>
      <w:r>
        <w:rPr>
          <w:rFonts w:ascii="Arial" w:cs="Arial" w:eastAsia="Arial" w:hAnsi="Arial"/>
          <w:sz w:val="17"/>
          <w:szCs w:val="17"/>
          <w:u w:val="single" w:color="auto"/>
          <w:color w:val="auto"/>
        </w:rPr>
        <w:t>Acceleration of Awards</w:t>
      </w:r>
      <w:r>
        <w:rPr>
          <w:rFonts w:ascii="Arial" w:cs="Arial" w:eastAsia="Arial" w:hAnsi="Arial"/>
          <w:sz w:val="17"/>
          <w:szCs w:val="17"/>
          <w:color w:val="auto"/>
        </w:rPr>
        <w:t>. If a Participant’s status as a Service Provider terminates as result of the Participant’s death or Disability, each outstanding Award granted to the Participant under the Plan shall be immediately vested in full as of the date of such termination.</w:t>
      </w:r>
    </w:p>
    <w:p>
      <w:pPr>
        <w:spacing w:after="0" w:line="146" w:lineRule="exact"/>
        <w:rPr>
          <w:rFonts w:ascii="Arial" w:cs="Arial" w:eastAsia="Arial" w:hAnsi="Arial"/>
          <w:sz w:val="17"/>
          <w:szCs w:val="17"/>
          <w:color w:val="auto"/>
        </w:rPr>
      </w:pPr>
    </w:p>
    <w:p>
      <w:pPr>
        <w:jc w:val="both"/>
        <w:ind w:right="160" w:firstLine="921"/>
        <w:spacing w:after="0" w:line="264" w:lineRule="auto"/>
        <w:tabs>
          <w:tab w:leader="none" w:pos="1168" w:val="left"/>
        </w:tabs>
        <w:numPr>
          <w:ilvl w:val="0"/>
          <w:numId w:val="43"/>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Payment of earned Performance Units or Restricted Stock Units granted under the Plan will be made as soon as practicable after the applicable vesting date. On the date set forth in the Award Agreement, all unvested Performance Units or Restricted Stock Units will be forfeited to the Company.</w:t>
      </w:r>
    </w:p>
    <w:p>
      <w:pPr>
        <w:spacing w:after="0" w:line="181" w:lineRule="exact"/>
        <w:rPr>
          <w:rFonts w:ascii="Arial" w:cs="Arial" w:eastAsia="Arial" w:hAnsi="Arial"/>
          <w:sz w:val="18"/>
          <w:szCs w:val="18"/>
          <w:color w:val="auto"/>
        </w:rPr>
      </w:pPr>
    </w:p>
    <w:p>
      <w:pPr>
        <w:ind w:right="140" w:firstLine="921"/>
        <w:spacing w:after="0" w:line="257" w:lineRule="auto"/>
        <w:tabs>
          <w:tab w:leader="none" w:pos="1168" w:val="left"/>
        </w:tabs>
        <w:numPr>
          <w:ilvl w:val="0"/>
          <w:numId w:val="43"/>
        </w:numPr>
        <w:rPr>
          <w:rFonts w:ascii="Arial" w:cs="Arial" w:eastAsia="Arial" w:hAnsi="Arial"/>
          <w:sz w:val="18"/>
          <w:szCs w:val="18"/>
          <w:color w:val="auto"/>
        </w:rPr>
      </w:pPr>
      <w:r>
        <w:rPr>
          <w:rFonts w:ascii="Arial" w:cs="Arial" w:eastAsia="Arial" w:hAnsi="Arial"/>
          <w:sz w:val="18"/>
          <w:szCs w:val="18"/>
          <w:u w:val="single" w:color="auto"/>
          <w:color w:val="auto"/>
        </w:rPr>
        <w:t>Amendment</w:t>
      </w:r>
      <w:r>
        <w:rPr>
          <w:rFonts w:ascii="Arial" w:cs="Arial" w:eastAsia="Arial" w:hAnsi="Arial"/>
          <w:sz w:val="18"/>
          <w:szCs w:val="18"/>
          <w:color w:val="auto"/>
        </w:rPr>
        <w:t>. The Administrator in its discretion may change and otherwise revise the terms of Awards granted under this Plan for Awards granted on or after the date the Administrator determines to make any such change or revision, including, without limitation, the allocation between types of equity Awards, the number of Shares subject to such Awards, the vesting schedule and the exercise or purchase price thereof. The Administrator will determine from time to time whether other service by Directors on committees of the Board not covered by the Plan warrants grants of Awards for such service, and will have the power and</w:t>
      </w:r>
    </w:p>
    <w:p>
      <w:pPr>
        <w:sectPr>
          <w:pgSz w:w="11900" w:h="16838" w:orient="portrait"/>
          <w:cols w:equalWidth="0" w:num="1">
            <w:col w:w="11400"/>
          </w:cols>
          <w:pgMar w:left="240" w:top="274" w:right="259" w:bottom="1440" w:gutter="0" w:footer="0" w:header="0"/>
        </w:sectPr>
      </w:pPr>
    </w:p>
    <w:bookmarkStart w:id="122" w:name="page123"/>
    <w:bookmarkEnd w:id="122"/>
    <w:p>
      <w:pPr>
        <w:ind w:right="20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authority to modify the Plan from time to time to establish non-discretionary, automatic award grants to be made to such committee members on such terms and at such times as the Administrator will determine.</w:t>
      </w:r>
    </w:p>
    <w:p>
      <w:pPr>
        <w:spacing w:after="0" w:line="166" w:lineRule="exact"/>
        <w:rPr>
          <w:sz w:val="20"/>
          <w:szCs w:val="20"/>
          <w:color w:val="auto"/>
        </w:rPr>
      </w:pPr>
    </w:p>
    <w:p>
      <w:pPr>
        <w:ind w:right="20" w:firstLine="464"/>
        <w:spacing w:after="0" w:line="295" w:lineRule="auto"/>
        <w:tabs>
          <w:tab w:leader="none" w:pos="636" w:val="left"/>
        </w:tabs>
        <w:numPr>
          <w:ilvl w:val="0"/>
          <w:numId w:val="4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Consideration. </w:t>
      </w:r>
      <w:r>
        <w:rPr>
          <w:rFonts w:ascii="Arial" w:cs="Arial" w:eastAsia="Arial" w:hAnsi="Arial"/>
          <w:sz w:val="16"/>
          <w:szCs w:val="16"/>
          <w:color w:val="auto"/>
        </w:rPr>
        <w:t>The consideration to be paid for the Shares to be issued upon exercise of an Award or the purchase of Shares thereunder shall consist</w:t>
      </w:r>
      <w:r>
        <w:rPr>
          <w:rFonts w:ascii="Arial" w:cs="Arial" w:eastAsia="Arial" w:hAnsi="Arial"/>
          <w:sz w:val="16"/>
          <w:szCs w:val="16"/>
          <w:b w:val="1"/>
          <w:bCs w:val="1"/>
          <w:color w:val="auto"/>
        </w:rPr>
        <w:t xml:space="preserve"> </w:t>
      </w:r>
      <w:r>
        <w:rPr>
          <w:rFonts w:ascii="Arial" w:cs="Arial" w:eastAsia="Arial" w:hAnsi="Arial"/>
          <w:sz w:val="16"/>
          <w:szCs w:val="16"/>
          <w:color w:val="auto"/>
        </w:rPr>
        <w:t>entirely of: (i) cash; (ii) check; (iii) other Shares, provided that such Shares have a Fair Market Value on the date of surrender equal to the aggregate exercise or purchase price of the Shares as to which such Awards shall be exercised and provided that accepting such Shares, in the sole discretion of the Administrator, shall not result in any adverse accounting consequences to the Company; (iv) consideration received by the Company under a broker-assisted (or other) cashless exercise program implemented by the Company in connection with the Plan; (v) such other consideration and method of payment for the issuance of Shares to the extent permitted by Applicable Laws; or (vi) any combination of the foregoing methods of payment.</w:t>
      </w:r>
    </w:p>
    <w:p>
      <w:pPr>
        <w:spacing w:after="0" w:line="155" w:lineRule="exact"/>
        <w:rPr>
          <w:rFonts w:ascii="Arial" w:cs="Arial" w:eastAsia="Arial" w:hAnsi="Arial"/>
          <w:sz w:val="16"/>
          <w:szCs w:val="16"/>
          <w:b w:val="1"/>
          <w:bCs w:val="1"/>
          <w:color w:val="auto"/>
        </w:rPr>
      </w:pPr>
    </w:p>
    <w:p>
      <w:pPr>
        <w:ind w:right="200" w:firstLine="464"/>
        <w:spacing w:after="0" w:line="289" w:lineRule="auto"/>
        <w:tabs>
          <w:tab w:leader="none" w:pos="636" w:val="left"/>
        </w:tabs>
        <w:numPr>
          <w:ilvl w:val="0"/>
          <w:numId w:val="4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Exercise of Options or Stock Appreciation Rights. </w:t>
      </w:r>
      <w:r>
        <w:rPr>
          <w:rFonts w:ascii="Arial" w:cs="Arial" w:eastAsia="Arial" w:hAnsi="Arial"/>
          <w:sz w:val="17"/>
          <w:szCs w:val="17"/>
          <w:color w:val="auto"/>
        </w:rPr>
        <w:t>Any Option or Stock Appreciation Right granted hereunder will be exercisable as set forth in</w:t>
      </w:r>
      <w:r>
        <w:rPr>
          <w:rFonts w:ascii="Arial" w:cs="Arial" w:eastAsia="Arial" w:hAnsi="Arial"/>
          <w:sz w:val="17"/>
          <w:szCs w:val="17"/>
          <w:b w:val="1"/>
          <w:bCs w:val="1"/>
          <w:color w:val="auto"/>
        </w:rPr>
        <w:t xml:space="preserve"> </w:t>
      </w:r>
      <w:r>
        <w:rPr>
          <w:rFonts w:ascii="Arial" w:cs="Arial" w:eastAsia="Arial" w:hAnsi="Arial"/>
          <w:sz w:val="17"/>
          <w:szCs w:val="17"/>
          <w:color w:val="auto"/>
        </w:rPr>
        <w:t>Section 5 hereof; provided, however, that no Option or Stock Appreciation Right shall be exercisable until shareholder approval of the Plan in accordance with Section 25 hereof has been obtained. An Option or Stock Appreciation Right may not be exercised for a fraction of a Share.</w:t>
      </w:r>
    </w:p>
    <w:p>
      <w:pPr>
        <w:spacing w:after="0" w:line="162" w:lineRule="exact"/>
        <w:rPr>
          <w:sz w:val="20"/>
          <w:szCs w:val="20"/>
          <w:color w:val="auto"/>
        </w:rPr>
      </w:pPr>
    </w:p>
    <w:p>
      <w:pPr>
        <w:ind w:right="20" w:firstLine="913"/>
        <w:spacing w:after="0" w:line="289" w:lineRule="auto"/>
        <w:rPr>
          <w:sz w:val="20"/>
          <w:szCs w:val="20"/>
          <w:color w:val="auto"/>
        </w:rPr>
      </w:pPr>
      <w:r>
        <w:rPr>
          <w:rFonts w:ascii="Arial" w:cs="Arial" w:eastAsia="Arial" w:hAnsi="Arial"/>
          <w:sz w:val="16"/>
          <w:szCs w:val="16"/>
          <w:color w:val="auto"/>
        </w:rPr>
        <w:t>An Option or Stock Appreciation Right will be deemed exercised when the Company receives: (i) notice of exercise (in such form as the Administrator specify from time to time) from the person entitled to exercise the Option, and (ii) full payment for the Shares with respect to which the Option or Stock Appreciation Right is exercised (together with applicable tax withholdings). Full payment may consist of any consideration and method of payment authorized under the Plan and Applicable Law. Shares issued upon exercise of an Option or Stock Appreciation Right will be issued in the name of the Participant or, if requested by the Participant, in the name of the Participant and his or her spouse. Until the Shares are issued (as evidenced by the appropriate entry on the books of the Company or of a duly authorized transfer agent of the Company), no right to vote or receive dividends or any other rights as a shareholder will exist with respect to the Shares subject to an Option or Stock Appreciation Right, notwithstanding the exercise of the Option or Stock Appreciation Right, as applicable. The Company will issue (or cause to be issued) such Shares promptly after the Option or Stock Appreciation Right, as applicable is exercised. No adjustment will be made for a dividend or other right for which the record date is prior to the date the Shares are issued.</w:t>
      </w:r>
    </w:p>
    <w:p>
      <w:pPr>
        <w:spacing w:after="0" w:line="167" w:lineRule="exact"/>
        <w:rPr>
          <w:sz w:val="20"/>
          <w:szCs w:val="20"/>
          <w:color w:val="auto"/>
        </w:rPr>
      </w:pPr>
    </w:p>
    <w:p>
      <w:pPr>
        <w:jc w:val="both"/>
        <w:ind w:firstLine="913"/>
        <w:spacing w:after="0" w:line="264" w:lineRule="auto"/>
        <w:rPr>
          <w:sz w:val="20"/>
          <w:szCs w:val="20"/>
          <w:color w:val="auto"/>
        </w:rPr>
      </w:pPr>
      <w:r>
        <w:rPr>
          <w:rFonts w:ascii="Arial" w:cs="Arial" w:eastAsia="Arial" w:hAnsi="Arial"/>
          <w:sz w:val="18"/>
          <w:szCs w:val="18"/>
          <w:color w:val="auto"/>
        </w:rPr>
        <w:t>Exercising an Option or Stock Appreciation Right in any manner will decrease the number of Shares thereafter available, both for purposes of the Plan and for sale under the Option or Stock Appreciation Right, as applicable, by the number of Shares as to which the Option or Stock Appreciation Right is exercised.</w:t>
      </w:r>
    </w:p>
    <w:p>
      <w:pPr>
        <w:spacing w:after="0" w:line="285" w:lineRule="exact"/>
        <w:rPr>
          <w:sz w:val="20"/>
          <w:szCs w:val="20"/>
          <w:color w:val="auto"/>
        </w:rPr>
      </w:pPr>
    </w:p>
    <w:p>
      <w:pPr>
        <w:ind w:left="640" w:hanging="176"/>
        <w:spacing w:after="0"/>
        <w:tabs>
          <w:tab w:leader="none" w:pos="640"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Termination of Status as a Service Provider.</w:t>
      </w:r>
    </w:p>
    <w:p>
      <w:pPr>
        <w:spacing w:after="0" w:line="121" w:lineRule="exact"/>
        <w:rPr>
          <w:rFonts w:ascii="Arial" w:cs="Arial" w:eastAsia="Arial" w:hAnsi="Arial"/>
          <w:sz w:val="18"/>
          <w:szCs w:val="18"/>
          <w:b w:val="1"/>
          <w:bCs w:val="1"/>
          <w:color w:val="auto"/>
        </w:rPr>
      </w:pPr>
    </w:p>
    <w:p>
      <w:pPr>
        <w:ind w:right="320" w:firstLine="921"/>
        <w:spacing w:after="0" w:line="277" w:lineRule="auto"/>
        <w:tabs>
          <w:tab w:leader="none" w:pos="1157" w:val="left"/>
        </w:tabs>
        <w:numPr>
          <w:ilvl w:val="1"/>
          <w:numId w:val="45"/>
        </w:numPr>
        <w:rPr>
          <w:rFonts w:ascii="Arial" w:cs="Arial" w:eastAsia="Arial" w:hAnsi="Arial"/>
          <w:sz w:val="18"/>
          <w:szCs w:val="18"/>
          <w:color w:val="auto"/>
        </w:rPr>
      </w:pPr>
      <w:r>
        <w:rPr>
          <w:rFonts w:ascii="Arial" w:cs="Arial" w:eastAsia="Arial" w:hAnsi="Arial"/>
          <w:sz w:val="18"/>
          <w:szCs w:val="18"/>
          <w:u w:val="single" w:color="auto"/>
          <w:color w:val="auto"/>
        </w:rPr>
        <w:t>Termination of Relationship as a Service Provider</w:t>
      </w:r>
      <w:r>
        <w:rPr>
          <w:rFonts w:ascii="Arial" w:cs="Arial" w:eastAsia="Arial" w:hAnsi="Arial"/>
          <w:sz w:val="18"/>
          <w:szCs w:val="18"/>
          <w:color w:val="auto"/>
        </w:rPr>
        <w:t>. If a Participant ceases to be a Service Provider, other than termination as a result of the Participant’s death or Disability, the Participant may exercise his or her Option or Stock Appreciation Right, as</w:t>
      </w:r>
    </w:p>
    <w:p>
      <w:pPr>
        <w:sectPr>
          <w:pgSz w:w="11900" w:h="16838" w:orient="portrait"/>
          <w:cols w:equalWidth="0" w:num="1">
            <w:col w:w="11420"/>
          </w:cols>
          <w:pgMar w:left="240" w:top="274" w:right="239" w:bottom="1440" w:gutter="0" w:footer="0" w:header="0"/>
        </w:sectPr>
      </w:pPr>
    </w:p>
    <w:bookmarkStart w:id="123" w:name="page124"/>
    <w:bookmarkEnd w:id="123"/>
    <w:p>
      <w:pPr>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applicable, within ninety (90) days following such termination to the extent that the Option or Stock Appreciation Right, as applicable, is vested on the date of termination (but in no event later than the expiration of the term of such Award, as set forth in the Award Agreement). If on the date of termination the Participant is not vested as to his or her entire Option or Stock Appreciation Right, as applicable, the Shares covered by the unvested portion of the Award will revert to the Plan. If after termination the Participant does not exercise his or her Option or Stock Appreciation Right, as applicable, within the above-specified time period, the Award will terminate, and the Shares covered by such Award will revert to the Plan.</w:t>
      </w:r>
    </w:p>
    <w:p>
      <w:pPr>
        <w:spacing w:after="0" w:line="173" w:lineRule="exact"/>
        <w:rPr>
          <w:sz w:val="20"/>
          <w:szCs w:val="20"/>
          <w:color w:val="auto"/>
        </w:rPr>
      </w:pPr>
    </w:p>
    <w:p>
      <w:pPr>
        <w:ind w:firstLine="921"/>
        <w:spacing w:after="0" w:line="253" w:lineRule="auto"/>
        <w:tabs>
          <w:tab w:leader="none" w:pos="1168" w:val="left"/>
        </w:tabs>
        <w:numPr>
          <w:ilvl w:val="1"/>
          <w:numId w:val="46"/>
        </w:numPr>
        <w:rPr>
          <w:rFonts w:ascii="Arial" w:cs="Arial" w:eastAsia="Arial" w:hAnsi="Arial"/>
          <w:sz w:val="18"/>
          <w:szCs w:val="18"/>
          <w:color w:val="auto"/>
        </w:rPr>
      </w:pPr>
      <w:r>
        <w:rPr>
          <w:rFonts w:ascii="Arial" w:cs="Arial" w:eastAsia="Arial" w:hAnsi="Arial"/>
          <w:sz w:val="18"/>
          <w:szCs w:val="18"/>
          <w:u w:val="single" w:color="auto"/>
          <w:color w:val="auto"/>
        </w:rPr>
        <w:t>Death or Disability of Participant</w:t>
      </w:r>
      <w:r>
        <w:rPr>
          <w:rFonts w:ascii="Arial" w:cs="Arial" w:eastAsia="Arial" w:hAnsi="Arial"/>
          <w:sz w:val="18"/>
          <w:szCs w:val="18"/>
          <w:color w:val="auto"/>
        </w:rPr>
        <w:t>. If a Participant ceases to be a Service Provider as a result of the Participant’s death or Disability, the Option or Stock Appreciation Right, as applicable, may be exercised following the Participant’s termination within six (6) months following the date of such termination to the extent that the Option or Stock Appreciation Right, as applicable, is vested on the date of termination (but in no event later than the expiration of the term of such Award as set forth in the Award Agreement), by the Participant or, in the case of the Participant’s death, the Participant’s designated beneficiary, provided such beneficiary has been designated prior to Participant’s death in a form acceptable to the Administrator. If no such beneficiary has been designated by the Participant, then such Award may be exercised by the personal representative of the Participant’s estate or by the person(s) to whom the Award is transferred pursuant to the Participant’s will or in accordance with the laws of descent and distribution. If the Option or Stock Appreciation Right, as applicable, is not so exercised within the above-specified time period, the Option will terminate, and the Shares covered by such Award will revert to the Plan.</w:t>
      </w:r>
    </w:p>
    <w:p>
      <w:pPr>
        <w:spacing w:after="0" w:line="301" w:lineRule="exact"/>
        <w:rPr>
          <w:rFonts w:ascii="Arial" w:cs="Arial" w:eastAsia="Arial" w:hAnsi="Arial"/>
          <w:sz w:val="18"/>
          <w:szCs w:val="18"/>
          <w:color w:val="auto"/>
        </w:rPr>
      </w:pPr>
    </w:p>
    <w:p>
      <w:pPr>
        <w:ind w:left="640" w:hanging="176"/>
        <w:spacing w:after="0"/>
        <w:tabs>
          <w:tab w:leader="none" w:pos="64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Options.</w:t>
      </w:r>
    </w:p>
    <w:p>
      <w:pPr>
        <w:spacing w:after="0" w:line="121" w:lineRule="exact"/>
        <w:rPr>
          <w:rFonts w:ascii="Arial" w:cs="Arial" w:eastAsia="Arial" w:hAnsi="Arial"/>
          <w:sz w:val="18"/>
          <w:szCs w:val="18"/>
          <w:b w:val="1"/>
          <w:bCs w:val="1"/>
          <w:color w:val="auto"/>
        </w:rPr>
      </w:pPr>
    </w:p>
    <w:p>
      <w:pPr>
        <w:jc w:val="both"/>
        <w:ind w:right="680" w:firstLine="921"/>
        <w:spacing w:after="0" w:line="264" w:lineRule="auto"/>
        <w:tabs>
          <w:tab w:leader="none" w:pos="1157" w:val="left"/>
        </w:tabs>
        <w:numPr>
          <w:ilvl w:val="1"/>
          <w:numId w:val="47"/>
        </w:numPr>
        <w:rPr>
          <w:rFonts w:ascii="Arial" w:cs="Arial" w:eastAsia="Arial" w:hAnsi="Arial"/>
          <w:sz w:val="18"/>
          <w:szCs w:val="18"/>
          <w:color w:val="auto"/>
        </w:rPr>
      </w:pPr>
      <w:r>
        <w:rPr>
          <w:rFonts w:ascii="Arial" w:cs="Arial" w:eastAsia="Arial" w:hAnsi="Arial"/>
          <w:sz w:val="18"/>
          <w:szCs w:val="18"/>
          <w:u w:val="single" w:color="auto"/>
          <w:color w:val="auto"/>
        </w:rPr>
        <w:t>Grant of Options</w:t>
      </w:r>
      <w:r>
        <w:rPr>
          <w:rFonts w:ascii="Arial" w:cs="Arial" w:eastAsia="Arial" w:hAnsi="Arial"/>
          <w:sz w:val="18"/>
          <w:szCs w:val="18"/>
          <w:color w:val="auto"/>
        </w:rPr>
        <w:t>. Subject to the terms and provisions of the Plan and pursuant to Section 5(i), the Administrator, may change or add automatic Awards granted pursuant to Section 5 to include different or additional Awards of Options in such amounts as the Administrator, in its sole discretion, will determine.</w:t>
      </w:r>
    </w:p>
    <w:p>
      <w:pPr>
        <w:spacing w:after="0" w:line="181" w:lineRule="exact"/>
        <w:rPr>
          <w:rFonts w:ascii="Arial" w:cs="Arial" w:eastAsia="Arial" w:hAnsi="Arial"/>
          <w:sz w:val="18"/>
          <w:szCs w:val="18"/>
          <w:color w:val="auto"/>
        </w:rPr>
      </w:pPr>
    </w:p>
    <w:p>
      <w:pPr>
        <w:ind w:left="1180" w:hanging="259"/>
        <w:spacing w:after="0"/>
        <w:tabs>
          <w:tab w:leader="none" w:pos="1180" w:val="left"/>
        </w:tabs>
        <w:numPr>
          <w:ilvl w:val="1"/>
          <w:numId w:val="47"/>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Option granted pursuant to the Plan will be as follows:</w:t>
      </w:r>
    </w:p>
    <w:p>
      <w:pPr>
        <w:spacing w:after="0" w:line="225" w:lineRule="exact"/>
        <w:rPr>
          <w:rFonts w:ascii="Arial" w:cs="Arial" w:eastAsia="Arial" w:hAnsi="Arial"/>
          <w:sz w:val="18"/>
          <w:szCs w:val="18"/>
          <w:color w:val="auto"/>
        </w:rPr>
      </w:pPr>
    </w:p>
    <w:p>
      <w:pPr>
        <w:ind w:left="1700" w:hanging="208"/>
        <w:spacing w:after="0"/>
        <w:tabs>
          <w:tab w:leader="none" w:pos="1700" w:val="left"/>
        </w:tabs>
        <w:numPr>
          <w:ilvl w:val="2"/>
          <w:numId w:val="47"/>
        </w:numPr>
        <w:rPr>
          <w:rFonts w:ascii="Arial" w:cs="Arial" w:eastAsia="Arial" w:hAnsi="Arial"/>
          <w:sz w:val="17"/>
          <w:szCs w:val="17"/>
          <w:color w:val="auto"/>
        </w:rPr>
      </w:pPr>
      <w:r>
        <w:rPr>
          <w:rFonts w:ascii="Arial" w:cs="Arial" w:eastAsia="Arial" w:hAnsi="Arial"/>
          <w:sz w:val="17"/>
          <w:szCs w:val="17"/>
          <w:color w:val="auto"/>
        </w:rPr>
        <w:t>The term of an Option will be ten (10) years; provided, however, that the Option may expire earlier pursuant to Section 8 hereof.</w:t>
      </w:r>
    </w:p>
    <w:p>
      <w:pPr>
        <w:spacing w:after="0" w:line="236" w:lineRule="exact"/>
        <w:rPr>
          <w:rFonts w:ascii="Arial" w:cs="Arial" w:eastAsia="Arial" w:hAnsi="Arial"/>
          <w:sz w:val="17"/>
          <w:szCs w:val="17"/>
          <w:color w:val="auto"/>
        </w:rPr>
      </w:pPr>
    </w:p>
    <w:p>
      <w:pPr>
        <w:ind w:left="1760" w:hanging="268"/>
        <w:spacing w:after="0"/>
        <w:tabs>
          <w:tab w:leader="none" w:pos="1760" w:val="left"/>
        </w:tabs>
        <w:numPr>
          <w:ilvl w:val="2"/>
          <w:numId w:val="47"/>
        </w:numPr>
        <w:rPr>
          <w:rFonts w:ascii="Arial" w:cs="Arial" w:eastAsia="Arial" w:hAnsi="Arial"/>
          <w:sz w:val="16"/>
          <w:szCs w:val="16"/>
          <w:color w:val="auto"/>
        </w:rPr>
      </w:pPr>
      <w:r>
        <w:rPr>
          <w:rFonts w:ascii="Arial" w:cs="Arial" w:eastAsia="Arial" w:hAnsi="Arial"/>
          <w:sz w:val="16"/>
          <w:szCs w:val="16"/>
          <w:color w:val="auto"/>
        </w:rPr>
        <w:t>The per share exercise price for Shares subject to Options will be one hundred percent (100%) of the Fair Market Value on the grant</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date.</w:t>
      </w:r>
    </w:p>
    <w:p>
      <w:pPr>
        <w:spacing w:after="0" w:line="210" w:lineRule="exact"/>
        <w:rPr>
          <w:rFonts w:ascii="Arial" w:cs="Arial" w:eastAsia="Arial" w:hAnsi="Arial"/>
          <w:sz w:val="16"/>
          <w:szCs w:val="16"/>
          <w:color w:val="auto"/>
        </w:rPr>
      </w:pPr>
    </w:p>
    <w:p>
      <w:pPr>
        <w:jc w:val="both"/>
        <w:ind w:right="580" w:firstLine="921"/>
        <w:spacing w:after="0" w:line="342" w:lineRule="auto"/>
        <w:tabs>
          <w:tab w:leader="none" w:pos="1157" w:val="left"/>
        </w:tabs>
        <w:numPr>
          <w:ilvl w:val="1"/>
          <w:numId w:val="47"/>
        </w:numPr>
        <w:rPr>
          <w:rFonts w:ascii="Arial" w:cs="Arial" w:eastAsia="Arial" w:hAnsi="Arial"/>
          <w:sz w:val="16"/>
          <w:szCs w:val="16"/>
          <w:color w:val="auto"/>
        </w:rPr>
      </w:pPr>
      <w:r>
        <w:rPr>
          <w:rFonts w:ascii="Arial" w:cs="Arial" w:eastAsia="Arial" w:hAnsi="Arial"/>
          <w:sz w:val="16"/>
          <w:szCs w:val="16"/>
          <w:u w:val="single" w:color="auto"/>
          <w:color w:val="auto"/>
        </w:rPr>
        <w:t>Option Agreement</w:t>
      </w:r>
      <w:r>
        <w:rPr>
          <w:rFonts w:ascii="Arial" w:cs="Arial" w:eastAsia="Arial" w:hAnsi="Arial"/>
          <w:sz w:val="16"/>
          <w:szCs w:val="16"/>
          <w:color w:val="auto"/>
        </w:rPr>
        <w:t>. Each Option will be evidenced by an Award Agreement that will specify the vesting criteria, the number of Shares covered by the Award, the applicable vesting schedule, and such other terms and conditions as the Administrator, in its sole discretion, will determine.</w:t>
      </w:r>
    </w:p>
    <w:p>
      <w:pPr>
        <w:spacing w:after="0" w:line="123" w:lineRule="exact"/>
        <w:rPr>
          <w:rFonts w:ascii="Arial" w:cs="Arial" w:eastAsia="Arial" w:hAnsi="Arial"/>
          <w:sz w:val="16"/>
          <w:szCs w:val="16"/>
          <w:color w:val="auto"/>
        </w:rPr>
      </w:pPr>
    </w:p>
    <w:p>
      <w:pPr>
        <w:ind w:right="40" w:firstLine="921"/>
        <w:spacing w:after="0" w:line="277" w:lineRule="auto"/>
        <w:tabs>
          <w:tab w:leader="none" w:pos="1168" w:val="left"/>
        </w:tabs>
        <w:numPr>
          <w:ilvl w:val="1"/>
          <w:numId w:val="47"/>
        </w:numPr>
        <w:rPr>
          <w:rFonts w:ascii="Arial" w:cs="Arial" w:eastAsia="Arial" w:hAnsi="Arial"/>
          <w:sz w:val="18"/>
          <w:szCs w:val="18"/>
          <w:color w:val="auto"/>
        </w:rPr>
      </w:pPr>
      <w:r>
        <w:rPr>
          <w:rFonts w:ascii="Arial" w:cs="Arial" w:eastAsia="Arial" w:hAnsi="Arial"/>
          <w:sz w:val="18"/>
          <w:szCs w:val="18"/>
          <w:u w:val="single" w:color="auto"/>
          <w:color w:val="auto"/>
        </w:rPr>
        <w:t>Expiration of Options</w:t>
      </w:r>
      <w:r>
        <w:rPr>
          <w:rFonts w:ascii="Arial" w:cs="Arial" w:eastAsia="Arial" w:hAnsi="Arial"/>
          <w:sz w:val="18"/>
          <w:szCs w:val="18"/>
          <w:color w:val="auto"/>
        </w:rPr>
        <w:t>. An Option granted under the Plan will expire upon the date determined by the Administrator, in its sole discretion, and set forth in the Award Agreement. Notwithstanding the foregoing, the rules of Section 8 also will apply to Options.</w:t>
      </w:r>
    </w:p>
    <w:p>
      <w:pPr>
        <w:sectPr>
          <w:pgSz w:w="11900" w:h="16838" w:orient="portrait"/>
          <w:cols w:equalWidth="0" w:num="1">
            <w:col w:w="11420"/>
          </w:cols>
          <w:pgMar w:left="240" w:top="274" w:right="239" w:bottom="1440" w:gutter="0" w:footer="0" w:header="0"/>
        </w:sectPr>
      </w:pPr>
    </w:p>
    <w:bookmarkStart w:id="124" w:name="page125"/>
    <w:bookmarkEnd w:id="124"/>
    <w:p>
      <w:pPr>
        <w:ind w:left="276" w:hanging="276"/>
        <w:spacing w:after="0"/>
        <w:tabs>
          <w:tab w:leader="none" w:pos="276" w:val="left"/>
        </w:tabs>
        <w:numPr>
          <w:ilvl w:val="0"/>
          <w:numId w:val="48"/>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Restricted Stock.</w:t>
      </w:r>
    </w:p>
    <w:p>
      <w:pPr>
        <w:spacing w:after="0" w:line="121" w:lineRule="exact"/>
        <w:rPr>
          <w:rFonts w:ascii="Arial" w:cs="Arial" w:eastAsia="Arial" w:hAnsi="Arial"/>
          <w:sz w:val="18"/>
          <w:szCs w:val="18"/>
          <w:b w:val="1"/>
          <w:bCs w:val="1"/>
          <w:color w:val="auto"/>
        </w:rPr>
      </w:pPr>
    </w:p>
    <w:p>
      <w:pPr>
        <w:ind w:left="-464" w:right="120" w:firstLine="921"/>
        <w:spacing w:after="0" w:line="264" w:lineRule="auto"/>
        <w:tabs>
          <w:tab w:leader="none" w:pos="693" w:val="left"/>
        </w:tabs>
        <w:numPr>
          <w:ilvl w:val="1"/>
          <w:numId w:val="48"/>
        </w:numPr>
        <w:rPr>
          <w:rFonts w:ascii="Arial" w:cs="Arial" w:eastAsia="Arial" w:hAnsi="Arial"/>
          <w:sz w:val="18"/>
          <w:szCs w:val="18"/>
          <w:color w:val="auto"/>
        </w:rPr>
      </w:pPr>
      <w:r>
        <w:rPr>
          <w:rFonts w:ascii="Arial" w:cs="Arial" w:eastAsia="Arial" w:hAnsi="Arial"/>
          <w:sz w:val="18"/>
          <w:szCs w:val="18"/>
          <w:u w:val="single" w:color="auto"/>
          <w:color w:val="auto"/>
        </w:rPr>
        <w:t>Grant of Restricted Stock</w:t>
      </w:r>
      <w:r>
        <w:rPr>
          <w:rFonts w:ascii="Arial" w:cs="Arial" w:eastAsia="Arial" w:hAnsi="Arial"/>
          <w:sz w:val="18"/>
          <w:szCs w:val="18"/>
          <w:color w:val="auto"/>
        </w:rPr>
        <w:t>. Subject to the terms and provisions of the Plan and pursuant to Section 5(i), the Administrator, may change or add automatic Awards granted pursuant to Section 5 to include Awards of Restricted Stock in such amounts as the Administrator, in its sole discretion, will determine.</w:t>
      </w:r>
    </w:p>
    <w:p>
      <w:pPr>
        <w:spacing w:after="0" w:line="181" w:lineRule="exact"/>
        <w:rPr>
          <w:rFonts w:ascii="Arial" w:cs="Arial" w:eastAsia="Arial" w:hAnsi="Arial"/>
          <w:sz w:val="18"/>
          <w:szCs w:val="18"/>
          <w:color w:val="auto"/>
        </w:rPr>
      </w:pPr>
    </w:p>
    <w:p>
      <w:pPr>
        <w:jc w:val="both"/>
        <w:ind w:left="-464" w:right="60" w:firstLine="921"/>
        <w:spacing w:after="0" w:line="259" w:lineRule="auto"/>
        <w:tabs>
          <w:tab w:leader="none" w:pos="703" w:val="left"/>
        </w:tabs>
        <w:numPr>
          <w:ilvl w:val="1"/>
          <w:numId w:val="48"/>
        </w:numPr>
        <w:rPr>
          <w:rFonts w:ascii="Arial" w:cs="Arial" w:eastAsia="Arial" w:hAnsi="Arial"/>
          <w:sz w:val="18"/>
          <w:szCs w:val="18"/>
          <w:color w:val="auto"/>
        </w:rPr>
      </w:pPr>
      <w:r>
        <w:rPr>
          <w:rFonts w:ascii="Arial" w:cs="Arial" w:eastAsia="Arial" w:hAnsi="Arial"/>
          <w:sz w:val="18"/>
          <w:szCs w:val="18"/>
          <w:u w:val="single" w:color="auto"/>
          <w:color w:val="auto"/>
        </w:rPr>
        <w:t>Restricted Stock Agreement</w:t>
      </w:r>
      <w:r>
        <w:rPr>
          <w:rFonts w:ascii="Arial" w:cs="Arial" w:eastAsia="Arial" w:hAnsi="Arial"/>
          <w:sz w:val="18"/>
          <w:szCs w:val="18"/>
          <w:color w:val="auto"/>
        </w:rPr>
        <w:t>. Each Award of Restricted Stock will be evidenced by an Award Agreement that will specify the vesting criteria, number of Shares granted, and such other terms and conditions as the Administrator, in its sole discretion, will determine. An Award of Restricted Stock will not be fully vested until the period of restriction (“Period of Restriction”) has lapsed. Unless the Administrator determines otherwise, the Company as escrow agent will hold Shares of Restricted Stock until the restrictions on such Shares have lapsed.</w:t>
      </w:r>
    </w:p>
    <w:p>
      <w:pPr>
        <w:spacing w:after="0" w:line="186" w:lineRule="exact"/>
        <w:rPr>
          <w:rFonts w:ascii="Arial" w:cs="Arial" w:eastAsia="Arial" w:hAnsi="Arial"/>
          <w:sz w:val="18"/>
          <w:szCs w:val="18"/>
          <w:color w:val="auto"/>
        </w:rPr>
      </w:pPr>
    </w:p>
    <w:p>
      <w:pPr>
        <w:ind w:left="-464" w:right="80" w:firstLine="921"/>
        <w:spacing w:after="0" w:line="277" w:lineRule="auto"/>
        <w:tabs>
          <w:tab w:leader="none" w:pos="693" w:val="left"/>
        </w:tabs>
        <w:numPr>
          <w:ilvl w:val="1"/>
          <w:numId w:val="48"/>
        </w:numPr>
        <w:rPr>
          <w:rFonts w:ascii="Arial" w:cs="Arial" w:eastAsia="Arial" w:hAnsi="Arial"/>
          <w:sz w:val="18"/>
          <w:szCs w:val="18"/>
          <w:color w:val="auto"/>
        </w:rPr>
      </w:pPr>
      <w:r>
        <w:rPr>
          <w:rFonts w:ascii="Arial" w:cs="Arial" w:eastAsia="Arial" w:hAnsi="Arial"/>
          <w:sz w:val="18"/>
          <w:szCs w:val="18"/>
          <w:u w:val="single" w:color="auto"/>
          <w:color w:val="auto"/>
        </w:rPr>
        <w:t>Other Restrictions</w:t>
      </w:r>
      <w:r>
        <w:rPr>
          <w:rFonts w:ascii="Arial" w:cs="Arial" w:eastAsia="Arial" w:hAnsi="Arial"/>
          <w:sz w:val="18"/>
          <w:szCs w:val="18"/>
          <w:color w:val="auto"/>
        </w:rPr>
        <w:t>. The Administrator, in its sole discretion, may impose such other restrictions on Shares of Restricted Stock as it may deem advisable or appropriate.</w:t>
      </w:r>
    </w:p>
    <w:p>
      <w:pPr>
        <w:spacing w:after="0" w:line="170" w:lineRule="exact"/>
        <w:rPr>
          <w:rFonts w:ascii="Arial" w:cs="Arial" w:eastAsia="Arial" w:hAnsi="Arial"/>
          <w:sz w:val="18"/>
          <w:szCs w:val="18"/>
          <w:color w:val="auto"/>
        </w:rPr>
      </w:pPr>
    </w:p>
    <w:p>
      <w:pPr>
        <w:ind w:left="-464" w:firstLine="921"/>
        <w:spacing w:after="0" w:line="264" w:lineRule="auto"/>
        <w:tabs>
          <w:tab w:leader="none" w:pos="703" w:val="left"/>
        </w:tabs>
        <w:numPr>
          <w:ilvl w:val="1"/>
          <w:numId w:val="48"/>
        </w:numPr>
        <w:rPr>
          <w:rFonts w:ascii="Arial" w:cs="Arial" w:eastAsia="Arial" w:hAnsi="Arial"/>
          <w:sz w:val="18"/>
          <w:szCs w:val="18"/>
          <w:color w:val="auto"/>
        </w:rPr>
      </w:pPr>
      <w:r>
        <w:rPr>
          <w:rFonts w:ascii="Arial" w:cs="Arial" w:eastAsia="Arial" w:hAnsi="Arial"/>
          <w:sz w:val="18"/>
          <w:szCs w:val="18"/>
          <w:u w:val="single" w:color="auto"/>
          <w:color w:val="auto"/>
        </w:rPr>
        <w:t>Removal of Restrictions</w:t>
      </w:r>
      <w:r>
        <w:rPr>
          <w:rFonts w:ascii="Arial" w:cs="Arial" w:eastAsia="Arial" w:hAnsi="Arial"/>
          <w:sz w:val="18"/>
          <w:szCs w:val="18"/>
          <w:color w:val="auto"/>
        </w:rPr>
        <w:t>. Except as otherwise provided in the Plan, Shares of Restricted Stock covered by each Restricted Stock grant made under the Plan will be released from escrow as soon as practicable after the last day of the Period of Restriction or at such other time as the Administrator may determine.</w:t>
      </w:r>
    </w:p>
    <w:p>
      <w:pPr>
        <w:spacing w:after="0" w:line="181" w:lineRule="exact"/>
        <w:rPr>
          <w:rFonts w:ascii="Arial" w:cs="Arial" w:eastAsia="Arial" w:hAnsi="Arial"/>
          <w:sz w:val="18"/>
          <w:szCs w:val="18"/>
          <w:color w:val="auto"/>
        </w:rPr>
      </w:pPr>
    </w:p>
    <w:p>
      <w:pPr>
        <w:ind w:left="-464" w:right="220" w:firstLine="921"/>
        <w:spacing w:after="0" w:line="277" w:lineRule="auto"/>
        <w:tabs>
          <w:tab w:leader="none" w:pos="693" w:val="left"/>
        </w:tabs>
        <w:numPr>
          <w:ilvl w:val="1"/>
          <w:numId w:val="48"/>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During the Period of Restriction, Participants holding Shares of Restricted Stock granted hereunder may exercise full voting rights with respect to those Shares, unless the Administrator determines otherwise.</w:t>
      </w:r>
    </w:p>
    <w:p>
      <w:pPr>
        <w:spacing w:after="0" w:line="170" w:lineRule="exact"/>
        <w:rPr>
          <w:rFonts w:ascii="Arial" w:cs="Arial" w:eastAsia="Arial" w:hAnsi="Arial"/>
          <w:sz w:val="18"/>
          <w:szCs w:val="18"/>
          <w:color w:val="auto"/>
        </w:rPr>
      </w:pPr>
    </w:p>
    <w:p>
      <w:pPr>
        <w:ind w:left="-464" w:right="20" w:firstLine="921"/>
        <w:spacing w:after="0" w:line="259" w:lineRule="auto"/>
        <w:tabs>
          <w:tab w:leader="none" w:pos="673" w:val="left"/>
        </w:tabs>
        <w:numPr>
          <w:ilvl w:val="1"/>
          <w:numId w:val="48"/>
        </w:numPr>
        <w:rPr>
          <w:rFonts w:ascii="Arial" w:cs="Arial" w:eastAsia="Arial" w:hAnsi="Arial"/>
          <w:sz w:val="18"/>
          <w:szCs w:val="18"/>
          <w:color w:val="auto"/>
        </w:rPr>
      </w:pPr>
      <w:r>
        <w:rPr>
          <w:rFonts w:ascii="Arial" w:cs="Arial" w:eastAsia="Arial" w:hAnsi="Arial"/>
          <w:sz w:val="18"/>
          <w:szCs w:val="18"/>
          <w:u w:val="single" w:color="auto"/>
          <w:color w:val="auto"/>
        </w:rPr>
        <w:t>Dividends and Other Distributions</w:t>
      </w:r>
      <w:r>
        <w:rPr>
          <w:rFonts w:ascii="Arial" w:cs="Arial" w:eastAsia="Arial" w:hAnsi="Arial"/>
          <w:sz w:val="18"/>
          <w:szCs w:val="18"/>
          <w:color w:val="auto"/>
        </w:rPr>
        <w:t>. During the Period of Restriction, Participants holding Shares of Restricted Stock will be entitled to receive all dividends and other distributions paid with respect to such Shares, unless the Administrator provides otherwise. If any such dividends or distributions are paid in Shares, the Shares will be subject to the same restrictions on transferability and forfeitability as the Shares of Restricted Stock with respect to which they were paid.</w:t>
      </w:r>
    </w:p>
    <w:p>
      <w:pPr>
        <w:spacing w:after="0" w:line="186" w:lineRule="exact"/>
        <w:rPr>
          <w:rFonts w:ascii="Arial" w:cs="Arial" w:eastAsia="Arial" w:hAnsi="Arial"/>
          <w:sz w:val="18"/>
          <w:szCs w:val="18"/>
          <w:color w:val="auto"/>
        </w:rPr>
      </w:pPr>
    </w:p>
    <w:p>
      <w:pPr>
        <w:ind w:left="-464" w:right="240" w:firstLine="921"/>
        <w:spacing w:after="0" w:line="277" w:lineRule="auto"/>
        <w:tabs>
          <w:tab w:leader="none" w:pos="703" w:val="left"/>
        </w:tabs>
        <w:numPr>
          <w:ilvl w:val="1"/>
          <w:numId w:val="48"/>
        </w:numPr>
        <w:rPr>
          <w:rFonts w:ascii="Arial" w:cs="Arial" w:eastAsia="Arial" w:hAnsi="Arial"/>
          <w:sz w:val="18"/>
          <w:szCs w:val="18"/>
          <w:color w:val="auto"/>
        </w:rPr>
      </w:pPr>
      <w:r>
        <w:rPr>
          <w:rFonts w:ascii="Arial" w:cs="Arial" w:eastAsia="Arial" w:hAnsi="Arial"/>
          <w:sz w:val="18"/>
          <w:szCs w:val="18"/>
          <w:u w:val="single" w:color="auto"/>
          <w:color w:val="auto"/>
        </w:rPr>
        <w:t>Return of Restricted Stock to Company</w:t>
      </w:r>
      <w:r>
        <w:rPr>
          <w:rFonts w:ascii="Arial" w:cs="Arial" w:eastAsia="Arial" w:hAnsi="Arial"/>
          <w:sz w:val="18"/>
          <w:szCs w:val="18"/>
          <w:color w:val="auto"/>
        </w:rPr>
        <w:t>. On the date set forth in the Award Agreement, the Restricted Stock for which restrictions have not lapsed will revert to the Company and again will become available for grant under the Plan.</w:t>
      </w:r>
    </w:p>
    <w:p>
      <w:pPr>
        <w:spacing w:after="0" w:line="274" w:lineRule="exact"/>
        <w:rPr>
          <w:rFonts w:ascii="Arial" w:cs="Arial" w:eastAsia="Arial" w:hAnsi="Arial"/>
          <w:sz w:val="18"/>
          <w:szCs w:val="18"/>
          <w:color w:val="auto"/>
        </w:rPr>
      </w:pPr>
    </w:p>
    <w:p>
      <w:pPr>
        <w:ind w:left="256" w:hanging="256"/>
        <w:spacing w:after="0"/>
        <w:tabs>
          <w:tab w:leader="none" w:pos="256" w:val="left"/>
        </w:tabs>
        <w:numPr>
          <w:ilvl w:val="0"/>
          <w:numId w:val="48"/>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 Units.</w:t>
      </w:r>
    </w:p>
    <w:p>
      <w:pPr>
        <w:spacing w:after="0" w:line="121" w:lineRule="exact"/>
        <w:rPr>
          <w:rFonts w:ascii="Arial" w:cs="Arial" w:eastAsia="Arial" w:hAnsi="Arial"/>
          <w:sz w:val="18"/>
          <w:szCs w:val="18"/>
          <w:b w:val="1"/>
          <w:bCs w:val="1"/>
          <w:color w:val="auto"/>
        </w:rPr>
      </w:pPr>
    </w:p>
    <w:p>
      <w:pPr>
        <w:ind w:left="-464" w:right="180" w:firstLine="921"/>
        <w:spacing w:after="0" w:line="264" w:lineRule="auto"/>
        <w:tabs>
          <w:tab w:leader="none" w:pos="693" w:val="left"/>
        </w:tabs>
        <w:numPr>
          <w:ilvl w:val="1"/>
          <w:numId w:val="48"/>
        </w:numPr>
        <w:rPr>
          <w:rFonts w:ascii="Arial" w:cs="Arial" w:eastAsia="Arial" w:hAnsi="Arial"/>
          <w:sz w:val="18"/>
          <w:szCs w:val="18"/>
          <w:color w:val="auto"/>
        </w:rPr>
      </w:pPr>
      <w:r>
        <w:rPr>
          <w:rFonts w:ascii="Arial" w:cs="Arial" w:eastAsia="Arial" w:hAnsi="Arial"/>
          <w:sz w:val="18"/>
          <w:szCs w:val="18"/>
          <w:u w:val="single" w:color="auto"/>
          <w:color w:val="auto"/>
        </w:rPr>
        <w:t>Grant of Restricted Stock Units</w:t>
      </w:r>
      <w:r>
        <w:rPr>
          <w:rFonts w:ascii="Arial" w:cs="Arial" w:eastAsia="Arial" w:hAnsi="Arial"/>
          <w:sz w:val="18"/>
          <w:szCs w:val="18"/>
          <w:color w:val="auto"/>
        </w:rPr>
        <w:t>. Subject to the terms and provisions of the Plan and pursuant to Section 5(i), the Administrator, may change or add automatic Awards granted pursuant to Section 5 to include different or additional Awards of Restricted Stock Units in such amounts as the Administrator, in its sole discretion, will determine.</w:t>
      </w:r>
    </w:p>
    <w:p>
      <w:pPr>
        <w:spacing w:after="0" w:line="181" w:lineRule="exact"/>
        <w:rPr>
          <w:rFonts w:ascii="Arial" w:cs="Arial" w:eastAsia="Arial" w:hAnsi="Arial"/>
          <w:sz w:val="18"/>
          <w:szCs w:val="18"/>
          <w:color w:val="auto"/>
        </w:rPr>
      </w:pPr>
    </w:p>
    <w:p>
      <w:pPr>
        <w:ind w:left="-464" w:right="440" w:firstLine="921"/>
        <w:spacing w:after="0" w:line="308" w:lineRule="auto"/>
        <w:tabs>
          <w:tab w:leader="none" w:pos="703" w:val="left"/>
        </w:tabs>
        <w:numPr>
          <w:ilvl w:val="1"/>
          <w:numId w:val="48"/>
        </w:numPr>
        <w:rPr>
          <w:rFonts w:ascii="Arial" w:cs="Arial" w:eastAsia="Arial" w:hAnsi="Arial"/>
          <w:sz w:val="17"/>
          <w:szCs w:val="17"/>
          <w:color w:val="auto"/>
        </w:rPr>
      </w:pPr>
      <w:r>
        <w:rPr>
          <w:rFonts w:ascii="Arial" w:cs="Arial" w:eastAsia="Arial" w:hAnsi="Arial"/>
          <w:sz w:val="17"/>
          <w:szCs w:val="17"/>
          <w:u w:val="single" w:color="auto"/>
          <w:color w:val="auto"/>
        </w:rPr>
        <w:t>Restricted Stock Unit Agreement</w:t>
      </w:r>
      <w:r>
        <w:rPr>
          <w:rFonts w:ascii="Arial" w:cs="Arial" w:eastAsia="Arial" w:hAnsi="Arial"/>
          <w:sz w:val="17"/>
          <w:szCs w:val="17"/>
          <w:color w:val="auto"/>
        </w:rPr>
        <w:t>. Each Award of Restricted Stock Units will be evidenced by an Award Agreement that will specify the vesting criteria, the number of Shares granted, and such other terms and conditions as the Administrator, in its sole discretion, will determine.</w:t>
      </w:r>
    </w:p>
    <w:p>
      <w:pPr>
        <w:sectPr>
          <w:pgSz w:w="11900" w:h="16838" w:orient="portrait"/>
          <w:cols w:equalWidth="0" w:num="1">
            <w:col w:w="10956"/>
          </w:cols>
          <w:pgMar w:left="704" w:top="270" w:right="239" w:bottom="1440" w:gutter="0" w:footer="0" w:header="0"/>
        </w:sectPr>
      </w:pPr>
    </w:p>
    <w:bookmarkStart w:id="125" w:name="page126"/>
    <w:bookmarkEnd w:id="125"/>
    <w:p>
      <w:pPr>
        <w:ind w:left="696" w:hanging="239"/>
        <w:spacing w:after="0"/>
        <w:tabs>
          <w:tab w:leader="none" w:pos="696" w:val="left"/>
        </w:tabs>
        <w:numPr>
          <w:ilvl w:val="1"/>
          <w:numId w:val="49"/>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Vesting Criteria and Other Terms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64" w:right="300" w:firstLine="1492"/>
        <w:spacing w:after="0" w:line="259" w:lineRule="auto"/>
        <w:tabs>
          <w:tab w:leader="none" w:pos="1234" w:val="left"/>
        </w:tabs>
        <w:numPr>
          <w:ilvl w:val="2"/>
          <w:numId w:val="49"/>
        </w:numPr>
        <w:rPr>
          <w:rFonts w:ascii="Arial" w:cs="Arial" w:eastAsia="Arial" w:hAnsi="Arial"/>
          <w:sz w:val="18"/>
          <w:szCs w:val="18"/>
          <w:color w:val="auto"/>
        </w:rPr>
      </w:pPr>
      <w:r>
        <w:rPr>
          <w:rFonts w:ascii="Arial" w:cs="Arial" w:eastAsia="Arial" w:hAnsi="Arial"/>
          <w:sz w:val="18"/>
          <w:szCs w:val="18"/>
          <w:color w:val="auto"/>
        </w:rPr>
        <w:t>The Administrator will set vesting criteria in its discretion, which, depending on the extent to which the criteria are met, will determine the number of Restricted Stock Units that will be paid out to the Participant. The Administrator may set vesting criteria based upon the achievement of Company-wide, business unit, or individual goals (including, but not limited to, continued employment or status as a Service Provider), or any other basis determined by the Administrator in its discretion.</w:t>
      </w:r>
    </w:p>
    <w:p>
      <w:pPr>
        <w:spacing w:after="0" w:line="186" w:lineRule="exact"/>
        <w:rPr>
          <w:rFonts w:ascii="Arial" w:cs="Arial" w:eastAsia="Arial" w:hAnsi="Arial"/>
          <w:sz w:val="18"/>
          <w:szCs w:val="18"/>
          <w:color w:val="auto"/>
        </w:rPr>
      </w:pPr>
    </w:p>
    <w:p>
      <w:pPr>
        <w:jc w:val="both"/>
        <w:ind w:left="-464" w:right="360" w:firstLine="1492"/>
        <w:spacing w:after="0" w:line="312" w:lineRule="auto"/>
        <w:tabs>
          <w:tab w:leader="none" w:pos="1284" w:val="left"/>
        </w:tabs>
        <w:numPr>
          <w:ilvl w:val="2"/>
          <w:numId w:val="49"/>
        </w:numPr>
        <w:rPr>
          <w:rFonts w:ascii="Arial" w:cs="Arial" w:eastAsia="Arial" w:hAnsi="Arial"/>
          <w:sz w:val="16"/>
          <w:szCs w:val="16"/>
          <w:color w:val="auto"/>
        </w:rPr>
      </w:pPr>
      <w:r>
        <w:rPr>
          <w:rFonts w:ascii="Arial" w:cs="Arial" w:eastAsia="Arial" w:hAnsi="Arial"/>
          <w:sz w:val="16"/>
          <w:szCs w:val="16"/>
          <w:color w:val="auto"/>
        </w:rPr>
        <w:t>Each Annual RSU Award will vest and become exercisable as to one hundred percent (100%) of the Shares subject to the Annual RSU Award on the earlier of the next Annual General Meeting or the one year anniversary of the Annual RSU Award grant date (or on the last day of the month, if there is no corresponding date); provided that the Outside Director continues to serve as a Service Provider through such date.</w:t>
      </w:r>
    </w:p>
    <w:p>
      <w:pPr>
        <w:spacing w:after="0" w:line="146" w:lineRule="exact"/>
        <w:rPr>
          <w:rFonts w:ascii="Arial" w:cs="Arial" w:eastAsia="Arial" w:hAnsi="Arial"/>
          <w:sz w:val="16"/>
          <w:szCs w:val="16"/>
          <w:color w:val="auto"/>
        </w:rPr>
      </w:pPr>
    </w:p>
    <w:p>
      <w:pPr>
        <w:jc w:val="both"/>
        <w:ind w:left="-464" w:right="100" w:firstLine="921"/>
        <w:spacing w:after="0" w:line="259" w:lineRule="auto"/>
        <w:tabs>
          <w:tab w:leader="none" w:pos="703" w:val="left"/>
        </w:tabs>
        <w:numPr>
          <w:ilvl w:val="1"/>
          <w:numId w:val="49"/>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Upon meeting the applicable vesting criteria, the Participant will be entitled to receive a payout as determined by the Administrator. Payment of earned Restricted Stock Units will be made as soon as practicable after the date(s) determined by the Administrator and set forth in the Award Agreement. The Administrator, in its sole discretion, may only settle earned Restricted Stock Units in cash, Shares, or a combination of both.</w:t>
      </w:r>
    </w:p>
    <w:p>
      <w:pPr>
        <w:spacing w:after="0" w:line="186" w:lineRule="exact"/>
        <w:rPr>
          <w:rFonts w:ascii="Arial" w:cs="Arial" w:eastAsia="Arial" w:hAnsi="Arial"/>
          <w:sz w:val="18"/>
          <w:szCs w:val="18"/>
          <w:color w:val="auto"/>
        </w:rPr>
      </w:pPr>
    </w:p>
    <w:p>
      <w:pPr>
        <w:ind w:left="696" w:hanging="239"/>
        <w:spacing w:after="0"/>
        <w:tabs>
          <w:tab w:leader="none" w:pos="696" w:val="left"/>
        </w:tabs>
        <w:numPr>
          <w:ilvl w:val="1"/>
          <w:numId w:val="49"/>
        </w:numPr>
        <w:rPr>
          <w:rFonts w:ascii="Arial" w:cs="Arial" w:eastAsia="Arial" w:hAnsi="Arial"/>
          <w:sz w:val="18"/>
          <w:szCs w:val="18"/>
          <w:color w:val="auto"/>
        </w:rPr>
      </w:pPr>
      <w:r>
        <w:rPr>
          <w:rFonts w:ascii="Arial" w:cs="Arial" w:eastAsia="Arial" w:hAnsi="Arial"/>
          <w:sz w:val="18"/>
          <w:szCs w:val="18"/>
          <w:u w:val="single" w:color="auto"/>
          <w:color w:val="auto"/>
        </w:rPr>
        <w:t>Cancellation</w:t>
      </w:r>
      <w:r>
        <w:rPr>
          <w:rFonts w:ascii="Arial" w:cs="Arial" w:eastAsia="Arial" w:hAnsi="Arial"/>
          <w:sz w:val="18"/>
          <w:szCs w:val="18"/>
          <w:color w:val="auto"/>
        </w:rPr>
        <w:t>. On the date set forth in the Award Agreement, all unearned Restricted Stock Units will be forfeited to the Company.</w:t>
      </w:r>
    </w:p>
    <w:p>
      <w:pPr>
        <w:spacing w:after="0" w:line="329" w:lineRule="exact"/>
        <w:rPr>
          <w:rFonts w:ascii="Arial" w:cs="Arial" w:eastAsia="Arial" w:hAnsi="Arial"/>
          <w:sz w:val="18"/>
          <w:szCs w:val="18"/>
          <w:color w:val="auto"/>
        </w:rPr>
      </w:pPr>
    </w:p>
    <w:p>
      <w:pPr>
        <w:ind w:left="276" w:hanging="276"/>
        <w:spacing w:after="0"/>
        <w:tabs>
          <w:tab w:leader="none" w:pos="276" w:val="left"/>
        </w:tabs>
        <w:numPr>
          <w:ilvl w:val="0"/>
          <w:numId w:val="50"/>
        </w:numPr>
        <w:rPr>
          <w:rFonts w:ascii="Arial" w:cs="Arial" w:eastAsia="Arial" w:hAnsi="Arial"/>
          <w:sz w:val="18"/>
          <w:szCs w:val="18"/>
          <w:b w:val="1"/>
          <w:bCs w:val="1"/>
          <w:color w:val="auto"/>
        </w:rPr>
      </w:pPr>
      <w:r>
        <w:rPr>
          <w:rFonts w:ascii="Arial" w:cs="Arial" w:eastAsia="Arial" w:hAnsi="Arial"/>
          <w:sz w:val="18"/>
          <w:szCs w:val="18"/>
          <w:b w:val="1"/>
          <w:bCs w:val="1"/>
          <w:color w:val="auto"/>
        </w:rPr>
        <w:t>Stock Appreciation Rights.</w:t>
      </w:r>
    </w:p>
    <w:p>
      <w:pPr>
        <w:spacing w:after="0" w:line="121" w:lineRule="exact"/>
        <w:rPr>
          <w:rFonts w:ascii="Arial" w:cs="Arial" w:eastAsia="Arial" w:hAnsi="Arial"/>
          <w:sz w:val="18"/>
          <w:szCs w:val="18"/>
          <w:b w:val="1"/>
          <w:bCs w:val="1"/>
          <w:color w:val="auto"/>
        </w:rPr>
      </w:pPr>
    </w:p>
    <w:p>
      <w:pPr>
        <w:ind w:left="-464" w:right="460" w:firstLine="921"/>
        <w:spacing w:after="0" w:line="277" w:lineRule="auto"/>
        <w:tabs>
          <w:tab w:leader="none" w:pos="693" w:val="left"/>
        </w:tabs>
        <w:numPr>
          <w:ilvl w:val="1"/>
          <w:numId w:val="50"/>
        </w:numPr>
        <w:rPr>
          <w:rFonts w:ascii="Arial" w:cs="Arial" w:eastAsia="Arial" w:hAnsi="Arial"/>
          <w:sz w:val="18"/>
          <w:szCs w:val="18"/>
          <w:color w:val="auto"/>
        </w:rPr>
      </w:pPr>
      <w:r>
        <w:rPr>
          <w:rFonts w:ascii="Arial" w:cs="Arial" w:eastAsia="Arial" w:hAnsi="Arial"/>
          <w:sz w:val="18"/>
          <w:szCs w:val="18"/>
          <w:u w:val="single" w:color="auto"/>
          <w:color w:val="auto"/>
        </w:rPr>
        <w:t>Grant of Stock Appreciation Rights</w:t>
      </w:r>
      <w:r>
        <w:rPr>
          <w:rFonts w:ascii="Arial" w:cs="Arial" w:eastAsia="Arial" w:hAnsi="Arial"/>
          <w:sz w:val="18"/>
          <w:szCs w:val="18"/>
          <w:color w:val="auto"/>
        </w:rPr>
        <w:t>. Subject to the terms and provisions of the Plan and pursuant to Section 5(i), the Administrator, may change or add automatic Awards granted pursuant to Section 5 to include Awards of Stock Appreciation Rights.</w:t>
      </w:r>
    </w:p>
    <w:p>
      <w:pPr>
        <w:spacing w:after="0" w:line="170" w:lineRule="exact"/>
        <w:rPr>
          <w:rFonts w:ascii="Arial" w:cs="Arial" w:eastAsia="Arial" w:hAnsi="Arial"/>
          <w:sz w:val="18"/>
          <w:szCs w:val="18"/>
          <w:color w:val="auto"/>
        </w:rPr>
      </w:pPr>
    </w:p>
    <w:p>
      <w:pPr>
        <w:ind w:left="-464" w:right="220" w:firstLine="921"/>
        <w:spacing w:after="0" w:line="264" w:lineRule="auto"/>
        <w:tabs>
          <w:tab w:leader="none" w:pos="703" w:val="left"/>
        </w:tabs>
        <w:numPr>
          <w:ilvl w:val="1"/>
          <w:numId w:val="50"/>
        </w:numPr>
        <w:rPr>
          <w:rFonts w:ascii="Arial" w:cs="Arial" w:eastAsia="Arial" w:hAnsi="Arial"/>
          <w:sz w:val="18"/>
          <w:szCs w:val="18"/>
          <w:color w:val="auto"/>
        </w:rPr>
      </w:pPr>
      <w:r>
        <w:rPr>
          <w:rFonts w:ascii="Arial" w:cs="Arial" w:eastAsia="Arial" w:hAnsi="Arial"/>
          <w:sz w:val="18"/>
          <w:szCs w:val="18"/>
          <w:u w:val="single" w:color="auto"/>
          <w:color w:val="auto"/>
        </w:rPr>
        <w:t>Stock Appreciation Right Agreement</w:t>
      </w:r>
      <w:r>
        <w:rPr>
          <w:rFonts w:ascii="Arial" w:cs="Arial" w:eastAsia="Arial" w:hAnsi="Arial"/>
          <w:sz w:val="18"/>
          <w:szCs w:val="18"/>
          <w:color w:val="auto"/>
        </w:rPr>
        <w:t>. Each Stock Appreciation Right grant will be evidenced by an Award Agreement that will specify the exercise price, the term of the Stock Appreciation Right, the conditions of exercise, and such other terms and conditions as the Administrator, in its sole discretion, will determine.</w:t>
      </w:r>
    </w:p>
    <w:p>
      <w:pPr>
        <w:spacing w:after="0" w:line="181" w:lineRule="exact"/>
        <w:rPr>
          <w:rFonts w:ascii="Arial" w:cs="Arial" w:eastAsia="Arial" w:hAnsi="Arial"/>
          <w:sz w:val="18"/>
          <w:szCs w:val="18"/>
          <w:color w:val="auto"/>
        </w:rPr>
      </w:pPr>
    </w:p>
    <w:p>
      <w:pPr>
        <w:ind w:left="-464" w:firstLine="921"/>
        <w:spacing w:after="0" w:line="277" w:lineRule="auto"/>
        <w:tabs>
          <w:tab w:leader="none" w:pos="693" w:val="left"/>
        </w:tabs>
        <w:numPr>
          <w:ilvl w:val="1"/>
          <w:numId w:val="50"/>
        </w:numPr>
        <w:rPr>
          <w:rFonts w:ascii="Arial" w:cs="Arial" w:eastAsia="Arial" w:hAnsi="Arial"/>
          <w:sz w:val="18"/>
          <w:szCs w:val="18"/>
          <w:color w:val="auto"/>
        </w:rPr>
      </w:pPr>
      <w:r>
        <w:rPr>
          <w:rFonts w:ascii="Arial" w:cs="Arial" w:eastAsia="Arial" w:hAnsi="Arial"/>
          <w:sz w:val="18"/>
          <w:szCs w:val="18"/>
          <w:u w:val="single" w:color="auto"/>
          <w:color w:val="auto"/>
        </w:rPr>
        <w:t>Exercise Price</w:t>
      </w:r>
      <w:r>
        <w:rPr>
          <w:rFonts w:ascii="Arial" w:cs="Arial" w:eastAsia="Arial" w:hAnsi="Arial"/>
          <w:sz w:val="18"/>
          <w:szCs w:val="18"/>
          <w:color w:val="auto"/>
        </w:rPr>
        <w:t>. The per share exercise price for the Shares to be issued pursuant to exercise of a Stock Appreciation Right will be one hundred percent (100%) of the Fair Market Value on the date of grant.</w:t>
      </w:r>
    </w:p>
    <w:p>
      <w:pPr>
        <w:spacing w:after="0" w:line="170" w:lineRule="exact"/>
        <w:rPr>
          <w:rFonts w:ascii="Arial" w:cs="Arial" w:eastAsia="Arial" w:hAnsi="Arial"/>
          <w:sz w:val="18"/>
          <w:szCs w:val="18"/>
          <w:color w:val="auto"/>
        </w:rPr>
      </w:pPr>
    </w:p>
    <w:p>
      <w:pPr>
        <w:jc w:val="both"/>
        <w:ind w:left="-464" w:right="380" w:firstLine="921"/>
        <w:spacing w:after="0" w:line="264" w:lineRule="auto"/>
        <w:tabs>
          <w:tab w:leader="none" w:pos="703" w:val="left"/>
        </w:tabs>
        <w:numPr>
          <w:ilvl w:val="1"/>
          <w:numId w:val="50"/>
        </w:numPr>
        <w:rPr>
          <w:rFonts w:ascii="Arial" w:cs="Arial" w:eastAsia="Arial" w:hAnsi="Arial"/>
          <w:sz w:val="18"/>
          <w:szCs w:val="18"/>
          <w:color w:val="auto"/>
        </w:rPr>
      </w:pPr>
      <w:r>
        <w:rPr>
          <w:rFonts w:ascii="Arial" w:cs="Arial" w:eastAsia="Arial" w:hAnsi="Arial"/>
          <w:sz w:val="18"/>
          <w:szCs w:val="18"/>
          <w:u w:val="single" w:color="auto"/>
          <w:color w:val="auto"/>
        </w:rPr>
        <w:t>Expiration of Stock Appreciation Rights</w:t>
      </w:r>
      <w:r>
        <w:rPr>
          <w:rFonts w:ascii="Arial" w:cs="Arial" w:eastAsia="Arial" w:hAnsi="Arial"/>
          <w:sz w:val="18"/>
          <w:szCs w:val="18"/>
          <w:color w:val="auto"/>
        </w:rPr>
        <w:t>. A Stock Appreciation Right granted under the Plan will expire upon the date determined by the Administrator, in its sole discretion, and set forth in the Award Agreement. Notwithstanding the foregoing, the rules of Section 8 also will apply to Stock Appreciation Rights.</w:t>
      </w:r>
    </w:p>
    <w:p>
      <w:pPr>
        <w:sectPr>
          <w:pgSz w:w="11900" w:h="16838" w:orient="portrait"/>
          <w:cols w:equalWidth="0" w:num="1">
            <w:col w:w="10956"/>
          </w:cols>
          <w:pgMar w:left="704" w:top="274" w:right="239" w:bottom="1440" w:gutter="0" w:footer="0" w:header="0"/>
        </w:sectPr>
      </w:pPr>
    </w:p>
    <w:bookmarkStart w:id="126" w:name="page127"/>
    <w:bookmarkEnd w:id="126"/>
    <w:p>
      <w:pPr>
        <w:ind w:firstLine="921"/>
        <w:spacing w:after="0" w:line="277" w:lineRule="auto"/>
        <w:tabs>
          <w:tab w:leader="none" w:pos="1157" w:val="left"/>
        </w:tabs>
        <w:numPr>
          <w:ilvl w:val="0"/>
          <w:numId w:val="5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Payment of Stock Appreciation Right Amount</w:t>
      </w:r>
      <w:r>
        <w:rPr>
          <w:rFonts w:ascii="Arial" w:cs="Arial" w:eastAsia="Arial" w:hAnsi="Arial"/>
          <w:sz w:val="18"/>
          <w:szCs w:val="18"/>
          <w:color w:val="auto"/>
        </w:rPr>
        <w:t>. Upon exercise of a Stock Appreciation Right, a Participant will be entitled to receive payment from the Company in an amount determined by multiplying:</w:t>
      </w:r>
    </w:p>
    <w:p>
      <w:pPr>
        <w:spacing w:after="0" w:line="170" w:lineRule="exact"/>
        <w:rPr>
          <w:rFonts w:ascii="Arial" w:cs="Arial" w:eastAsia="Arial" w:hAnsi="Arial"/>
          <w:sz w:val="18"/>
          <w:szCs w:val="18"/>
          <w:color w:val="auto"/>
        </w:rPr>
      </w:pPr>
    </w:p>
    <w:p>
      <w:pPr>
        <w:ind w:left="1700" w:hanging="208"/>
        <w:spacing w:after="0"/>
        <w:tabs>
          <w:tab w:leader="none" w:pos="17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 xml:space="preserve">The difference between the Fair Market Value of a Share on the date of exercise over the exercise price; </w:t>
      </w:r>
      <w:r>
        <w:rPr>
          <w:rFonts w:ascii="Arial" w:cs="Arial" w:eastAsia="Arial" w:hAnsi="Arial"/>
          <w:sz w:val="18"/>
          <w:szCs w:val="18"/>
          <w:i w:val="1"/>
          <w:iCs w:val="1"/>
          <w:color w:val="auto"/>
        </w:rPr>
        <w:t>times</w:t>
      </w:r>
    </w:p>
    <w:p>
      <w:pPr>
        <w:spacing w:after="0" w:line="225" w:lineRule="exact"/>
        <w:rPr>
          <w:rFonts w:ascii="Arial" w:cs="Arial" w:eastAsia="Arial" w:hAnsi="Arial"/>
          <w:sz w:val="18"/>
          <w:szCs w:val="18"/>
          <w:color w:val="auto"/>
        </w:rPr>
      </w:pPr>
    </w:p>
    <w:p>
      <w:pPr>
        <w:ind w:left="1760" w:hanging="268"/>
        <w:spacing w:after="0"/>
        <w:tabs>
          <w:tab w:leader="none" w:pos="1760" w:val="left"/>
        </w:tabs>
        <w:numPr>
          <w:ilvl w:val="1"/>
          <w:numId w:val="51"/>
        </w:numPr>
        <w:rPr>
          <w:rFonts w:ascii="Arial" w:cs="Arial" w:eastAsia="Arial" w:hAnsi="Arial"/>
          <w:sz w:val="18"/>
          <w:szCs w:val="18"/>
          <w:color w:val="auto"/>
        </w:rPr>
      </w:pPr>
      <w:r>
        <w:rPr>
          <w:rFonts w:ascii="Arial" w:cs="Arial" w:eastAsia="Arial" w:hAnsi="Arial"/>
          <w:sz w:val="18"/>
          <w:szCs w:val="18"/>
          <w:color w:val="auto"/>
        </w:rPr>
        <w:t>The number of Shares with respect to which the Stock Appreciation Right is exercised.</w:t>
      </w:r>
    </w:p>
    <w:p>
      <w:pPr>
        <w:spacing w:after="0" w:line="225" w:lineRule="exact"/>
        <w:rPr>
          <w:sz w:val="20"/>
          <w:szCs w:val="20"/>
          <w:color w:val="auto"/>
        </w:rPr>
      </w:pPr>
    </w:p>
    <w:p>
      <w:pPr>
        <w:ind w:right="120" w:firstLine="913"/>
        <w:spacing w:after="0" w:line="277" w:lineRule="auto"/>
        <w:rPr>
          <w:sz w:val="20"/>
          <w:szCs w:val="20"/>
          <w:color w:val="auto"/>
        </w:rPr>
      </w:pPr>
      <w:r>
        <w:rPr>
          <w:rFonts w:ascii="Arial" w:cs="Arial" w:eastAsia="Arial" w:hAnsi="Arial"/>
          <w:sz w:val="18"/>
          <w:szCs w:val="18"/>
          <w:color w:val="auto"/>
        </w:rPr>
        <w:t>At the discretion of the Administrator, the payment upon Stock Appreciation Right exercise may be in cash, in Shares of equivalent value, or in some combination thereof.</w:t>
      </w:r>
    </w:p>
    <w:p>
      <w:pPr>
        <w:spacing w:after="0" w:line="275" w:lineRule="exact"/>
        <w:rPr>
          <w:sz w:val="20"/>
          <w:szCs w:val="20"/>
          <w:color w:val="auto"/>
        </w:rPr>
      </w:pPr>
    </w:p>
    <w:p>
      <w:pPr>
        <w:ind w:left="740" w:hanging="276"/>
        <w:spacing w:after="0"/>
        <w:tabs>
          <w:tab w:leader="none" w:pos="740" w:val="left"/>
        </w:tabs>
        <w:numPr>
          <w:ilvl w:val="0"/>
          <w:numId w:val="52"/>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Units and Performance Shares.</w:t>
      </w:r>
    </w:p>
    <w:p>
      <w:pPr>
        <w:spacing w:after="0" w:line="121" w:lineRule="exact"/>
        <w:rPr>
          <w:rFonts w:ascii="Arial" w:cs="Arial" w:eastAsia="Arial" w:hAnsi="Arial"/>
          <w:sz w:val="18"/>
          <w:szCs w:val="18"/>
          <w:b w:val="1"/>
          <w:bCs w:val="1"/>
          <w:color w:val="auto"/>
        </w:rPr>
      </w:pPr>
    </w:p>
    <w:p>
      <w:pPr>
        <w:ind w:right="40" w:firstLine="921"/>
        <w:spacing w:after="0" w:line="264" w:lineRule="auto"/>
        <w:tabs>
          <w:tab w:leader="none" w:pos="1157" w:val="left"/>
        </w:tabs>
        <w:numPr>
          <w:ilvl w:val="1"/>
          <w:numId w:val="52"/>
        </w:numPr>
        <w:rPr>
          <w:rFonts w:ascii="Arial" w:cs="Arial" w:eastAsia="Arial" w:hAnsi="Arial"/>
          <w:sz w:val="18"/>
          <w:szCs w:val="18"/>
          <w:color w:val="auto"/>
        </w:rPr>
      </w:pPr>
      <w:r>
        <w:rPr>
          <w:rFonts w:ascii="Arial" w:cs="Arial" w:eastAsia="Arial" w:hAnsi="Arial"/>
          <w:sz w:val="18"/>
          <w:szCs w:val="18"/>
          <w:u w:val="single" w:color="auto"/>
          <w:color w:val="auto"/>
        </w:rPr>
        <w:t>Grant of Performance Units/Shares</w:t>
      </w:r>
      <w:r>
        <w:rPr>
          <w:rFonts w:ascii="Arial" w:cs="Arial" w:eastAsia="Arial" w:hAnsi="Arial"/>
          <w:sz w:val="18"/>
          <w:szCs w:val="18"/>
          <w:color w:val="auto"/>
        </w:rPr>
        <w:t>. Performance Units and Performance Shares may be granted to Service Providers at any time and from time to time, as will be determined by the Administrator, in its sole discretion. The Administrator will have complete discretion in determining the number of Performance Units and Performance Shares granted to each Participant.</w:t>
      </w:r>
    </w:p>
    <w:p>
      <w:pPr>
        <w:spacing w:after="0" w:line="181" w:lineRule="exact"/>
        <w:rPr>
          <w:rFonts w:ascii="Arial" w:cs="Arial" w:eastAsia="Arial" w:hAnsi="Arial"/>
          <w:sz w:val="18"/>
          <w:szCs w:val="18"/>
          <w:color w:val="auto"/>
        </w:rPr>
      </w:pPr>
    </w:p>
    <w:p>
      <w:pPr>
        <w:ind w:firstLine="921"/>
        <w:spacing w:after="0" w:line="277" w:lineRule="auto"/>
        <w:tabs>
          <w:tab w:leader="none" w:pos="1168" w:val="left"/>
        </w:tabs>
        <w:numPr>
          <w:ilvl w:val="1"/>
          <w:numId w:val="52"/>
        </w:numPr>
        <w:rPr>
          <w:rFonts w:ascii="Arial" w:cs="Arial" w:eastAsia="Arial" w:hAnsi="Arial"/>
          <w:sz w:val="18"/>
          <w:szCs w:val="18"/>
          <w:color w:val="auto"/>
        </w:rPr>
      </w:pPr>
      <w:r>
        <w:rPr>
          <w:rFonts w:ascii="Arial" w:cs="Arial" w:eastAsia="Arial" w:hAnsi="Arial"/>
          <w:sz w:val="18"/>
          <w:szCs w:val="18"/>
          <w:u w:val="single" w:color="auto"/>
          <w:color w:val="auto"/>
        </w:rPr>
        <w:t>Value of Performance Units/Shares</w:t>
      </w:r>
      <w:r>
        <w:rPr>
          <w:rFonts w:ascii="Arial" w:cs="Arial" w:eastAsia="Arial" w:hAnsi="Arial"/>
          <w:sz w:val="18"/>
          <w:szCs w:val="18"/>
          <w:color w:val="auto"/>
        </w:rPr>
        <w:t>. Each Performance Unit will have an initial value that is established by the Administrator on or before the date of grant. Each Performance Share will have an initial value equal to the Fair Market Value of a Share on the date of grant.</w:t>
      </w:r>
    </w:p>
    <w:p>
      <w:pPr>
        <w:spacing w:after="0" w:line="170" w:lineRule="exact"/>
        <w:rPr>
          <w:rFonts w:ascii="Arial" w:cs="Arial" w:eastAsia="Arial" w:hAnsi="Arial"/>
          <w:sz w:val="18"/>
          <w:szCs w:val="18"/>
          <w:color w:val="auto"/>
        </w:rPr>
      </w:pPr>
    </w:p>
    <w:p>
      <w:pPr>
        <w:ind w:right="100" w:firstLine="921"/>
        <w:spacing w:after="0" w:line="272" w:lineRule="auto"/>
        <w:tabs>
          <w:tab w:leader="none" w:pos="1157" w:val="left"/>
        </w:tabs>
        <w:numPr>
          <w:ilvl w:val="1"/>
          <w:numId w:val="52"/>
        </w:numPr>
        <w:rPr>
          <w:rFonts w:ascii="Arial" w:cs="Arial" w:eastAsia="Arial" w:hAnsi="Arial"/>
          <w:sz w:val="17"/>
          <w:szCs w:val="17"/>
          <w:color w:val="auto"/>
        </w:rPr>
      </w:pPr>
      <w:r>
        <w:rPr>
          <w:rFonts w:ascii="Arial" w:cs="Arial" w:eastAsia="Arial" w:hAnsi="Arial"/>
          <w:sz w:val="17"/>
          <w:szCs w:val="17"/>
          <w:u w:val="single" w:color="auto"/>
          <w:color w:val="auto"/>
        </w:rPr>
        <w:t>Performance Objectives and Other Terms</w:t>
      </w:r>
      <w:r>
        <w:rPr>
          <w:rFonts w:ascii="Arial" w:cs="Arial" w:eastAsia="Arial" w:hAnsi="Arial"/>
          <w:sz w:val="17"/>
          <w:szCs w:val="17"/>
          <w:color w:val="auto"/>
        </w:rPr>
        <w:t>. The Administrator will set performance objectives or other vesting provisions (including, without limitation, continued status as a Service Provider) in its discretion which, depending on the extent to which they are met, will determine the number or value of Performance Units/Shares that will be paid out to the Service Providers. The time period during which the performance objectives or other vesting provisions must be met will be called the “Performance Period.” Each Award of Performance Units/Shares will be evidenced by an Award Agreement that will specify the Performance Period, and such other terms and conditions as the Administrator, in its sole discretion, will determine. The Administrator may set performance objectives based upon the achievement of Company-wide, divisional or individual goals, applicable federal or state securities laws, or any other basis determined by the Administrator in its discretion.</w:t>
      </w:r>
    </w:p>
    <w:p>
      <w:pPr>
        <w:spacing w:after="0" w:line="177" w:lineRule="exact"/>
        <w:rPr>
          <w:rFonts w:ascii="Arial" w:cs="Arial" w:eastAsia="Arial" w:hAnsi="Arial"/>
          <w:sz w:val="17"/>
          <w:szCs w:val="17"/>
          <w:color w:val="auto"/>
        </w:rPr>
      </w:pPr>
    </w:p>
    <w:p>
      <w:pPr>
        <w:ind w:firstLine="921"/>
        <w:spacing w:after="0" w:line="302" w:lineRule="auto"/>
        <w:tabs>
          <w:tab w:leader="none" w:pos="1168" w:val="left"/>
        </w:tabs>
        <w:numPr>
          <w:ilvl w:val="1"/>
          <w:numId w:val="52"/>
        </w:numPr>
        <w:rPr>
          <w:rFonts w:ascii="Arial" w:cs="Arial" w:eastAsia="Arial" w:hAnsi="Arial"/>
          <w:sz w:val="16"/>
          <w:szCs w:val="16"/>
          <w:color w:val="auto"/>
        </w:rPr>
      </w:pPr>
      <w:r>
        <w:rPr>
          <w:rFonts w:ascii="Arial" w:cs="Arial" w:eastAsia="Arial" w:hAnsi="Arial"/>
          <w:sz w:val="16"/>
          <w:szCs w:val="16"/>
          <w:u w:val="single" w:color="auto"/>
          <w:color w:val="auto"/>
        </w:rPr>
        <w:t>Earning of Performance Units/Shares</w:t>
      </w:r>
      <w:r>
        <w:rPr>
          <w:rFonts w:ascii="Arial" w:cs="Arial" w:eastAsia="Arial" w:hAnsi="Arial"/>
          <w:sz w:val="16"/>
          <w:szCs w:val="16"/>
          <w:color w:val="auto"/>
        </w:rPr>
        <w:t>. After the applicable Performance Period has ended, the holder of Performance Units/Shares will be entitled to receive a payout of the number of Performance Units/Shares earned by the Participant over the Performance Period, to be determined as a function of the extent to which the corresponding performance objectives or other vesting provisions have been achieved. After the grant of a Performance Unit/Share, the Administrator, in its sole discretion, may reduce or waive any performance objectives or other vesting provisions for such Performance Unit/Share.</w:t>
      </w:r>
    </w:p>
    <w:p>
      <w:pPr>
        <w:spacing w:after="0" w:line="154" w:lineRule="exact"/>
        <w:rPr>
          <w:rFonts w:ascii="Arial" w:cs="Arial" w:eastAsia="Arial" w:hAnsi="Arial"/>
          <w:sz w:val="16"/>
          <w:szCs w:val="16"/>
          <w:color w:val="auto"/>
        </w:rPr>
      </w:pPr>
    </w:p>
    <w:p>
      <w:pPr>
        <w:ind w:firstLine="921"/>
        <w:spacing w:after="0" w:line="277" w:lineRule="auto"/>
        <w:tabs>
          <w:tab w:leader="none" w:pos="1157" w:val="left"/>
        </w:tabs>
        <w:numPr>
          <w:ilvl w:val="1"/>
          <w:numId w:val="52"/>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 of Performance Units/Shares</w:t>
      </w:r>
      <w:r>
        <w:rPr>
          <w:rFonts w:ascii="Arial" w:cs="Arial" w:eastAsia="Arial" w:hAnsi="Arial"/>
          <w:sz w:val="18"/>
          <w:szCs w:val="18"/>
          <w:color w:val="auto"/>
        </w:rPr>
        <w:t>. Payment of earned Performance Units/Shares will be made as soon as practicable after the expiration of the</w:t>
      </w:r>
    </w:p>
    <w:p>
      <w:pPr>
        <w:sectPr>
          <w:pgSz w:w="11900" w:h="16838" w:orient="portrait"/>
          <w:cols w:equalWidth="0" w:num="1">
            <w:col w:w="11380"/>
          </w:cols>
          <w:pgMar w:left="240" w:top="274" w:right="279" w:bottom="1440" w:gutter="0" w:footer="0" w:header="0"/>
        </w:sectPr>
      </w:pPr>
    </w:p>
    <w:bookmarkStart w:id="127" w:name="page128"/>
    <w:bookmarkEnd w:id="127"/>
    <w:p>
      <w:pPr>
        <w:jc w:val="both"/>
        <w:ind w:right="34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applicable Performance Period. The Administrator, in its sole discretion, may pay earned Performance Units/Shares in the form of cash, in Shares (which have an aggregate Fair Market Value equal to the value of the earned Performance Units/Shares at the close of the applicable Performance Period), or in a combination thereof.</w:t>
      </w:r>
    </w:p>
    <w:p>
      <w:pPr>
        <w:spacing w:after="0" w:line="181" w:lineRule="exact"/>
        <w:rPr>
          <w:sz w:val="20"/>
          <w:szCs w:val="20"/>
          <w:color w:val="auto"/>
        </w:rPr>
      </w:pPr>
    </w:p>
    <w:p>
      <w:pPr>
        <w:ind w:right="80" w:firstLine="921"/>
        <w:spacing w:after="0" w:line="277" w:lineRule="auto"/>
        <w:tabs>
          <w:tab w:leader="none" w:pos="1138" w:val="left"/>
        </w:tabs>
        <w:numPr>
          <w:ilvl w:val="1"/>
          <w:numId w:val="53"/>
        </w:numPr>
        <w:rPr>
          <w:rFonts w:ascii="Arial" w:cs="Arial" w:eastAsia="Arial" w:hAnsi="Arial"/>
          <w:sz w:val="18"/>
          <w:szCs w:val="18"/>
          <w:color w:val="auto"/>
        </w:rPr>
      </w:pPr>
      <w:r>
        <w:rPr>
          <w:rFonts w:ascii="Arial" w:cs="Arial" w:eastAsia="Arial" w:hAnsi="Arial"/>
          <w:sz w:val="18"/>
          <w:szCs w:val="18"/>
          <w:u w:val="single" w:color="auto"/>
          <w:color w:val="auto"/>
        </w:rPr>
        <w:t>Cancellation of Performance Units/Shares</w:t>
      </w:r>
      <w:r>
        <w:rPr>
          <w:rFonts w:ascii="Arial" w:cs="Arial" w:eastAsia="Arial" w:hAnsi="Arial"/>
          <w:sz w:val="18"/>
          <w:szCs w:val="18"/>
          <w:color w:val="auto"/>
        </w:rPr>
        <w:t>. On the date set forth in the Award Agreement, all unearned or unvested Performance Units/Shares will be forfeited to the Company, and again will be available for grant under the Plan.</w:t>
      </w:r>
    </w:p>
    <w:p>
      <w:pPr>
        <w:spacing w:after="0" w:line="166" w:lineRule="exact"/>
        <w:rPr>
          <w:rFonts w:ascii="Arial" w:cs="Arial" w:eastAsia="Arial" w:hAnsi="Arial"/>
          <w:sz w:val="18"/>
          <w:szCs w:val="18"/>
          <w:color w:val="auto"/>
        </w:rPr>
      </w:pPr>
    </w:p>
    <w:p>
      <w:pPr>
        <w:ind w:right="160" w:firstLine="464"/>
        <w:spacing w:after="0" w:line="313" w:lineRule="auto"/>
        <w:tabs>
          <w:tab w:leader="none" w:pos="726" w:val="left"/>
        </w:tabs>
        <w:numPr>
          <w:ilvl w:val="0"/>
          <w:numId w:val="5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Nontransferability of Awards. </w:t>
      </w:r>
      <w:r>
        <w:rPr>
          <w:rFonts w:ascii="Arial" w:cs="Arial" w:eastAsia="Arial" w:hAnsi="Arial"/>
          <w:sz w:val="17"/>
          <w:szCs w:val="17"/>
          <w:color w:val="auto"/>
        </w:rPr>
        <w:t>An Award may not be sold, pledged, assigned, hypothecated, transferred, or disposed of in any manner other than</w:t>
      </w:r>
      <w:r>
        <w:rPr>
          <w:rFonts w:ascii="Arial" w:cs="Arial" w:eastAsia="Arial" w:hAnsi="Arial"/>
          <w:sz w:val="17"/>
          <w:szCs w:val="17"/>
          <w:b w:val="1"/>
          <w:bCs w:val="1"/>
          <w:color w:val="auto"/>
        </w:rPr>
        <w:t xml:space="preserve"> </w:t>
      </w:r>
      <w:r>
        <w:rPr>
          <w:rFonts w:ascii="Arial" w:cs="Arial" w:eastAsia="Arial" w:hAnsi="Arial"/>
          <w:sz w:val="17"/>
          <w:szCs w:val="17"/>
          <w:color w:val="auto"/>
        </w:rPr>
        <w:t>by will or by the laws of descent or distribution and may be exercised, during the lifetime of the Participant, only by the Participant.</w:t>
      </w:r>
    </w:p>
    <w:p>
      <w:pPr>
        <w:spacing w:after="0" w:line="246" w:lineRule="exact"/>
        <w:rPr>
          <w:rFonts w:ascii="Arial" w:cs="Arial" w:eastAsia="Arial" w:hAnsi="Arial"/>
          <w:sz w:val="17"/>
          <w:szCs w:val="17"/>
          <w:b w:val="1"/>
          <w:bCs w:val="1"/>
          <w:color w:val="auto"/>
        </w:rPr>
      </w:pPr>
    </w:p>
    <w:p>
      <w:pPr>
        <w:ind w:left="740" w:hanging="276"/>
        <w:spacing w:after="0"/>
        <w:tabs>
          <w:tab w:leader="none" w:pos="740" w:val="left"/>
        </w:tabs>
        <w:numPr>
          <w:ilvl w:val="0"/>
          <w:numId w:val="54"/>
        </w:numPr>
        <w:rPr>
          <w:rFonts w:ascii="Arial" w:cs="Arial" w:eastAsia="Arial" w:hAnsi="Arial"/>
          <w:sz w:val="18"/>
          <w:szCs w:val="18"/>
          <w:b w:val="1"/>
          <w:bCs w:val="1"/>
          <w:color w:val="auto"/>
        </w:rPr>
      </w:pPr>
      <w:r>
        <w:rPr>
          <w:rFonts w:ascii="Arial" w:cs="Arial" w:eastAsia="Arial" w:hAnsi="Arial"/>
          <w:sz w:val="18"/>
          <w:szCs w:val="18"/>
          <w:b w:val="1"/>
          <w:bCs w:val="1"/>
          <w:color w:val="auto"/>
        </w:rPr>
        <w:t>Awards Generally.</w:t>
      </w:r>
    </w:p>
    <w:p>
      <w:pPr>
        <w:spacing w:after="0" w:line="121" w:lineRule="exact"/>
        <w:rPr>
          <w:rFonts w:ascii="Arial" w:cs="Arial" w:eastAsia="Arial" w:hAnsi="Arial"/>
          <w:sz w:val="18"/>
          <w:szCs w:val="18"/>
          <w:b w:val="1"/>
          <w:bCs w:val="1"/>
          <w:color w:val="auto"/>
        </w:rPr>
      </w:pPr>
    </w:p>
    <w:p>
      <w:pPr>
        <w:ind w:left="1160" w:hanging="239"/>
        <w:spacing w:after="0"/>
        <w:tabs>
          <w:tab w:leader="none" w:pos="1160" w:val="left"/>
        </w:tabs>
        <w:numPr>
          <w:ilvl w:val="1"/>
          <w:numId w:val="54"/>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Awards may be granted only to Outside Directors.</w:t>
      </w:r>
    </w:p>
    <w:p>
      <w:pPr>
        <w:spacing w:after="0" w:line="225" w:lineRule="exact"/>
        <w:rPr>
          <w:rFonts w:ascii="Arial" w:cs="Arial" w:eastAsia="Arial" w:hAnsi="Arial"/>
          <w:sz w:val="18"/>
          <w:szCs w:val="18"/>
          <w:color w:val="auto"/>
        </w:rPr>
      </w:pPr>
    </w:p>
    <w:p>
      <w:pPr>
        <w:ind w:right="80" w:firstLine="921"/>
        <w:spacing w:after="0" w:line="297" w:lineRule="auto"/>
        <w:tabs>
          <w:tab w:leader="none" w:pos="1168" w:val="left"/>
        </w:tabs>
        <w:numPr>
          <w:ilvl w:val="1"/>
          <w:numId w:val="54"/>
        </w:numPr>
        <w:rPr>
          <w:rFonts w:ascii="Arial" w:cs="Arial" w:eastAsia="Arial" w:hAnsi="Arial"/>
          <w:sz w:val="16"/>
          <w:szCs w:val="16"/>
          <w:color w:val="auto"/>
        </w:rPr>
      </w:pPr>
      <w:r>
        <w:rPr>
          <w:rFonts w:ascii="Arial" w:cs="Arial" w:eastAsia="Arial" w:hAnsi="Arial"/>
          <w:sz w:val="16"/>
          <w:szCs w:val="16"/>
          <w:u w:val="single" w:color="auto"/>
          <w:color w:val="auto"/>
        </w:rPr>
        <w:t>Shares</w:t>
      </w:r>
      <w:r>
        <w:rPr>
          <w:rFonts w:ascii="Arial" w:cs="Arial" w:eastAsia="Arial" w:hAnsi="Arial"/>
          <w:sz w:val="16"/>
          <w:szCs w:val="16"/>
          <w:color w:val="auto"/>
        </w:rPr>
        <w:t>. In the event that any Award granted under the Plan would cause the number of Shares subject to outstanding Awards plus the number of Shares previously issued pursuant to an Award to exceed the number of shares available for issuance under the Plan pursuant to Section 3, then the remaining Shares available for award grant will be allocated on a pro rata basis. No further grants will be made until such time, if any, as additional Shares become available for grant under the Plan through action of the Board or the shareholders to increase the number of Shares which may be issued under the Plan or through the forfeiture of Shares issued pursuant to Awards previously granted hereunder as provided in Section 3 hereof.</w:t>
      </w:r>
    </w:p>
    <w:p>
      <w:pPr>
        <w:spacing w:after="0" w:line="154" w:lineRule="exact"/>
        <w:rPr>
          <w:rFonts w:ascii="Arial" w:cs="Arial" w:eastAsia="Arial" w:hAnsi="Arial"/>
          <w:sz w:val="16"/>
          <w:szCs w:val="16"/>
          <w:color w:val="auto"/>
        </w:rPr>
      </w:pPr>
    </w:p>
    <w:p>
      <w:pPr>
        <w:ind w:right="260" w:firstLine="464"/>
        <w:spacing w:after="0" w:line="266" w:lineRule="auto"/>
        <w:tabs>
          <w:tab w:leader="none" w:pos="726" w:val="left"/>
        </w:tabs>
        <w:numPr>
          <w:ilvl w:val="0"/>
          <w:numId w:val="5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Guarantee of Continued Service. </w:t>
      </w:r>
      <w:r>
        <w:rPr>
          <w:rFonts w:ascii="Arial" w:cs="Arial" w:eastAsia="Arial" w:hAnsi="Arial"/>
          <w:sz w:val="18"/>
          <w:szCs w:val="18"/>
          <w:color w:val="auto"/>
        </w:rPr>
        <w:t>The Plan shall not confer upon any Participant any rights with respect to continuation of service as a</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 or other Service Provider or nomination to serve as a Director, nor shall it interfere in any way with any rights which the Director or the Company may have to terminate the Director’s relationship with the Company at any time.</w:t>
      </w:r>
    </w:p>
    <w:p>
      <w:pPr>
        <w:spacing w:after="0" w:line="176" w:lineRule="exact"/>
        <w:rPr>
          <w:rFonts w:ascii="Arial" w:cs="Arial" w:eastAsia="Arial" w:hAnsi="Arial"/>
          <w:sz w:val="18"/>
          <w:szCs w:val="18"/>
          <w:b w:val="1"/>
          <w:bCs w:val="1"/>
          <w:color w:val="auto"/>
        </w:rPr>
      </w:pPr>
    </w:p>
    <w:p>
      <w:pPr>
        <w:jc w:val="both"/>
        <w:ind w:right="500" w:firstLine="464"/>
        <w:spacing w:after="0" w:line="347" w:lineRule="auto"/>
        <w:tabs>
          <w:tab w:leader="none" w:pos="723" w:val="left"/>
        </w:tabs>
        <w:numPr>
          <w:ilvl w:val="0"/>
          <w:numId w:val="5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 of Plan. </w:t>
      </w:r>
      <w:r>
        <w:rPr>
          <w:rFonts w:ascii="Arial" w:cs="Arial" w:eastAsia="Arial" w:hAnsi="Arial"/>
          <w:sz w:val="16"/>
          <w:szCs w:val="16"/>
          <w:color w:val="auto"/>
        </w:rPr>
        <w:t>The Plan will become effective upon the earlier to occur of its adoption by the Board or its approval by the shareholders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as described in Section 25 of the Plan. It will continue in effect for a term of ten (10) years unless sooner terminated under Section 20 hereof.</w:t>
      </w:r>
    </w:p>
    <w:p>
      <w:pPr>
        <w:spacing w:after="0" w:line="224" w:lineRule="exact"/>
        <w:rPr>
          <w:rFonts w:ascii="Arial" w:cs="Arial" w:eastAsia="Arial" w:hAnsi="Arial"/>
          <w:sz w:val="16"/>
          <w:szCs w:val="16"/>
          <w:b w:val="1"/>
          <w:bCs w:val="1"/>
          <w:color w:val="auto"/>
        </w:rPr>
      </w:pPr>
    </w:p>
    <w:p>
      <w:pPr>
        <w:ind w:left="740" w:hanging="276"/>
        <w:spacing w:after="0"/>
        <w:tabs>
          <w:tab w:leader="none" w:pos="740" w:val="left"/>
        </w:tabs>
        <w:numPr>
          <w:ilvl w:val="0"/>
          <w:numId w:val="54"/>
        </w:numPr>
        <w:rPr>
          <w:rFonts w:ascii="Arial" w:cs="Arial" w:eastAsia="Arial" w:hAnsi="Arial"/>
          <w:sz w:val="18"/>
          <w:szCs w:val="18"/>
          <w:b w:val="1"/>
          <w:bCs w:val="1"/>
          <w:color w:val="auto"/>
        </w:rPr>
      </w:pPr>
      <w:r>
        <w:rPr>
          <w:rFonts w:ascii="Arial" w:cs="Arial" w:eastAsia="Arial" w:hAnsi="Arial"/>
          <w:sz w:val="18"/>
          <w:szCs w:val="18"/>
          <w:b w:val="1"/>
          <w:bCs w:val="1"/>
          <w:color w:val="auto"/>
        </w:rPr>
        <w:t>Dissolution, Merger or Asset Sale.</w:t>
      </w:r>
    </w:p>
    <w:p>
      <w:pPr>
        <w:spacing w:after="0" w:line="121" w:lineRule="exact"/>
        <w:rPr>
          <w:rFonts w:ascii="Arial" w:cs="Arial" w:eastAsia="Arial" w:hAnsi="Arial"/>
          <w:sz w:val="18"/>
          <w:szCs w:val="18"/>
          <w:b w:val="1"/>
          <w:bCs w:val="1"/>
          <w:color w:val="auto"/>
        </w:rPr>
      </w:pPr>
    </w:p>
    <w:p>
      <w:pPr>
        <w:ind w:firstLine="921"/>
        <w:spacing w:after="0" w:line="257" w:lineRule="auto"/>
        <w:tabs>
          <w:tab w:leader="none" w:pos="1157" w:val="left"/>
        </w:tabs>
        <w:numPr>
          <w:ilvl w:val="1"/>
          <w:numId w:val="54"/>
        </w:numPr>
        <w:rPr>
          <w:rFonts w:ascii="Arial" w:cs="Arial" w:eastAsia="Arial" w:hAnsi="Arial"/>
          <w:sz w:val="18"/>
          <w:szCs w:val="18"/>
          <w:color w:val="auto"/>
        </w:rPr>
      </w:pPr>
      <w:r>
        <w:rPr>
          <w:rFonts w:ascii="Arial" w:cs="Arial" w:eastAsia="Arial" w:hAnsi="Arial"/>
          <w:sz w:val="18"/>
          <w:szCs w:val="18"/>
          <w:u w:val="single" w:color="auto"/>
          <w:color w:val="auto"/>
        </w:rPr>
        <w:t>Dissolution or Liquidation</w:t>
      </w:r>
      <w:r>
        <w:rPr>
          <w:rFonts w:ascii="Arial" w:cs="Arial" w:eastAsia="Arial" w:hAnsi="Arial"/>
          <w:sz w:val="18"/>
          <w:szCs w:val="18"/>
          <w:color w:val="auto"/>
        </w:rPr>
        <w:t>. In the event of the proposed dissolution or liquidation of the Company, the Administrator will notify each Participant as soon as practicable prior to the effective date of such proposed transaction. The Administrator may determine that each outstanding Option shall be exercisable as to all or any part of the Option, including Shares as to which the Option would not otherwise be exercisable, for such period as determined by the Administrator and ending immediately prior to the consummation of such proposed action. To the extent it has not been previously exercised, an Award will terminate immediately prior to the consummation of such proposed action.</w:t>
      </w:r>
    </w:p>
    <w:p>
      <w:pPr>
        <w:sectPr>
          <w:pgSz w:w="11900" w:h="16838" w:orient="portrait"/>
          <w:cols w:equalWidth="0" w:num="1">
            <w:col w:w="11420"/>
          </w:cols>
          <w:pgMar w:left="240" w:top="274" w:right="239" w:bottom="1440" w:gutter="0" w:footer="0" w:header="0"/>
        </w:sectPr>
      </w:pPr>
    </w:p>
    <w:bookmarkStart w:id="128" w:name="page129"/>
    <w:bookmarkEnd w:id="128"/>
    <w:p>
      <w:pPr>
        <w:ind w:right="80" w:firstLine="921"/>
        <w:spacing w:after="0" w:line="291" w:lineRule="auto"/>
        <w:tabs>
          <w:tab w:leader="none" w:pos="1168" w:val="left"/>
        </w:tabs>
        <w:numPr>
          <w:ilvl w:val="0"/>
          <w:numId w:val="55"/>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Change in Control</w:t>
      </w:r>
      <w:r>
        <w:rPr>
          <w:rFonts w:ascii="Arial" w:cs="Arial" w:eastAsia="Arial" w:hAnsi="Arial"/>
          <w:sz w:val="16"/>
          <w:szCs w:val="16"/>
          <w:color w:val="auto"/>
        </w:rPr>
        <w:t>. In the event of a merger or Change in Control, each outstanding Award will be treated as the Administrator determines, including, without limitation, that each Award be assumed or an equivalent option or right substituted by the successor corporation or a Parent or Subsidiary of the successor corporation; provided, however, that in all cases, upon a Change in Control the Participant will fully vest in and have the right to exercise all of his or her outstanding Options and Stock Appreciation Rights, including Shares as to which such Awards would not otherwise be vested or exercisable, all restrictions on Restricted Stock and Restricted Stock Units will lapse (so as to become one hundred percent (100%) vested), and, with respect to Awards with performance-based vesting, all performance goals or other vesting criteria will be deemed achieved at one hundred percent (100%) of target levels and all other terms and conditions met. The Administrator will not be required to treat all Awards similarly in the transaction.</w:t>
      </w:r>
    </w:p>
    <w:p>
      <w:pPr>
        <w:spacing w:after="0" w:line="167" w:lineRule="exact"/>
        <w:rPr>
          <w:sz w:val="20"/>
          <w:szCs w:val="20"/>
          <w:color w:val="auto"/>
        </w:rPr>
      </w:pPr>
    </w:p>
    <w:p>
      <w:pPr>
        <w:ind w:firstLine="1484"/>
        <w:spacing w:after="0" w:line="270" w:lineRule="auto"/>
        <w:rPr>
          <w:sz w:val="20"/>
          <w:szCs w:val="20"/>
          <w:color w:val="auto"/>
        </w:rPr>
      </w:pPr>
      <w:r>
        <w:rPr>
          <w:rFonts w:ascii="Arial" w:cs="Arial" w:eastAsia="Arial" w:hAnsi="Arial"/>
          <w:sz w:val="17"/>
          <w:szCs w:val="17"/>
          <w:color w:val="auto"/>
        </w:rPr>
        <w:t>For the purposes of this subsection (c), an Award will be considered assumed if, following the Change in Control, the Award confers the right to purchase or receive, for each Share subject to the Award immediately prior to the Change in Control, the consideration (whether stock, cash, or other securities or property) received in the Change in Control by holders of Common Stock for each Share held on the effective date of the transaction (and if holders were offered a choice of consideration, the type of consideration chosen by the holders of a majority of the outstanding Shares); provided, however, that if such consideration received in the Change in Control is not solely common stock of the successor corporation or its Parent, the Administrator may, with the consent of the successor corporation, provide for the consideration to be received upon the exercise of an Option or Stock Appreciation Right or upon the payout of a Performance Share, Performance Unit, or Restricted Stock Unit, for each Share subject to such Award (or in the case of an Award settled in cash, the number of implied shares determined by dividing the value of the Award by the per share consideration received by holders of Common Stock in the Change in Control), to be solely common stock of the successor corporation or its Parent equal in fair market value to the per share consideration received by holders of Common Stock in the Change in Control.</w:t>
      </w:r>
    </w:p>
    <w:p>
      <w:pPr>
        <w:spacing w:after="0" w:line="178" w:lineRule="exact"/>
        <w:rPr>
          <w:sz w:val="20"/>
          <w:szCs w:val="20"/>
          <w:color w:val="auto"/>
        </w:rPr>
      </w:pPr>
    </w:p>
    <w:p>
      <w:pPr>
        <w:ind w:firstLine="1484"/>
        <w:spacing w:after="0" w:line="259" w:lineRule="auto"/>
        <w:rPr>
          <w:sz w:val="20"/>
          <w:szCs w:val="20"/>
          <w:color w:val="auto"/>
        </w:rPr>
      </w:pPr>
      <w:r>
        <w:rPr>
          <w:rFonts w:ascii="Arial" w:cs="Arial" w:eastAsia="Arial" w:hAnsi="Arial"/>
          <w:sz w:val="18"/>
          <w:szCs w:val="18"/>
          <w:color w:val="auto"/>
        </w:rPr>
        <w:t>With respect to Awards that are assumed or substituted for, if on the date of or following such assumption or substitution the Participant’s status as a Director or a director of the successor corporation, as applicable, is terminated other than upon a voluntary resignation by the Participant (unless such resignation is at the request of the acquirer), then the Participant will fully vest in and have the right to exercise Options as to all of the Shares underlying such Award, including those Shares which would not otherwise be vested or exercisable.</w:t>
      </w:r>
    </w:p>
    <w:p>
      <w:pPr>
        <w:spacing w:after="0" w:line="183" w:lineRule="exact"/>
        <w:rPr>
          <w:sz w:val="20"/>
          <w:szCs w:val="20"/>
          <w:color w:val="auto"/>
        </w:rPr>
      </w:pPr>
    </w:p>
    <w:p>
      <w:pPr>
        <w:ind w:firstLine="464"/>
        <w:spacing w:after="0" w:line="313" w:lineRule="auto"/>
        <w:tabs>
          <w:tab w:leader="none" w:pos="726" w:val="left"/>
        </w:tabs>
        <w:numPr>
          <w:ilvl w:val="0"/>
          <w:numId w:val="5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Time of Granting Awards. </w:t>
      </w:r>
      <w:r>
        <w:rPr>
          <w:rFonts w:ascii="Arial" w:cs="Arial" w:eastAsia="Arial" w:hAnsi="Arial"/>
          <w:sz w:val="17"/>
          <w:szCs w:val="17"/>
          <w:color w:val="auto"/>
        </w:rPr>
        <w:t>The date of grant of an Award will, for all purposes, be the date determined in accordance with Section 5 hereof. Notice</w:t>
      </w:r>
      <w:r>
        <w:rPr>
          <w:rFonts w:ascii="Arial" w:cs="Arial" w:eastAsia="Arial" w:hAnsi="Arial"/>
          <w:sz w:val="17"/>
          <w:szCs w:val="17"/>
          <w:b w:val="1"/>
          <w:bCs w:val="1"/>
          <w:color w:val="auto"/>
        </w:rPr>
        <w:t xml:space="preserve"> </w:t>
      </w:r>
      <w:r>
        <w:rPr>
          <w:rFonts w:ascii="Arial" w:cs="Arial" w:eastAsia="Arial" w:hAnsi="Arial"/>
          <w:sz w:val="17"/>
          <w:szCs w:val="17"/>
          <w:color w:val="auto"/>
        </w:rPr>
        <w:t>of the determination shall be given to each Participant to whom an Award is so granted within a reasonable time after the date of such grant.</w:t>
      </w:r>
    </w:p>
    <w:p>
      <w:pPr>
        <w:spacing w:after="0" w:line="246" w:lineRule="exact"/>
        <w:rPr>
          <w:rFonts w:ascii="Arial" w:cs="Arial" w:eastAsia="Arial" w:hAnsi="Arial"/>
          <w:sz w:val="17"/>
          <w:szCs w:val="17"/>
          <w:b w:val="1"/>
          <w:bCs w:val="1"/>
          <w:color w:val="auto"/>
        </w:rPr>
      </w:pPr>
    </w:p>
    <w:p>
      <w:pPr>
        <w:ind w:left="740" w:hanging="276"/>
        <w:spacing w:after="0"/>
        <w:tabs>
          <w:tab w:leader="none" w:pos="740" w:val="left"/>
        </w:tabs>
        <w:numPr>
          <w:ilvl w:val="0"/>
          <w:numId w:val="56"/>
        </w:numPr>
        <w:rPr>
          <w:rFonts w:ascii="Arial" w:cs="Arial" w:eastAsia="Arial" w:hAnsi="Arial"/>
          <w:sz w:val="18"/>
          <w:szCs w:val="18"/>
          <w:b w:val="1"/>
          <w:bCs w:val="1"/>
          <w:color w:val="auto"/>
        </w:rPr>
      </w:pPr>
      <w:r>
        <w:rPr>
          <w:rFonts w:ascii="Arial" w:cs="Arial" w:eastAsia="Arial" w:hAnsi="Arial"/>
          <w:sz w:val="18"/>
          <w:szCs w:val="18"/>
          <w:b w:val="1"/>
          <w:bCs w:val="1"/>
          <w:color w:val="auto"/>
        </w:rPr>
        <w:t>Amendment and Termination of the Plan.</w:t>
      </w:r>
    </w:p>
    <w:p>
      <w:pPr>
        <w:spacing w:after="0" w:line="121" w:lineRule="exact"/>
        <w:rPr>
          <w:rFonts w:ascii="Arial" w:cs="Arial" w:eastAsia="Arial" w:hAnsi="Arial"/>
          <w:sz w:val="18"/>
          <w:szCs w:val="18"/>
          <w:b w:val="1"/>
          <w:bCs w:val="1"/>
          <w:color w:val="auto"/>
        </w:rPr>
      </w:pPr>
    </w:p>
    <w:p>
      <w:pPr>
        <w:ind w:left="1160" w:hanging="239"/>
        <w:spacing w:after="0"/>
        <w:tabs>
          <w:tab w:leader="none" w:pos="1160" w:val="left"/>
        </w:tabs>
        <w:numPr>
          <w:ilvl w:val="1"/>
          <w:numId w:val="56"/>
        </w:numPr>
        <w:rPr>
          <w:rFonts w:ascii="Arial" w:cs="Arial" w:eastAsia="Arial" w:hAnsi="Arial"/>
          <w:sz w:val="18"/>
          <w:szCs w:val="18"/>
          <w:color w:val="auto"/>
        </w:rPr>
      </w:pPr>
      <w:r>
        <w:rPr>
          <w:rFonts w:ascii="Arial" w:cs="Arial" w:eastAsia="Arial" w:hAnsi="Arial"/>
          <w:sz w:val="18"/>
          <w:szCs w:val="18"/>
          <w:u w:val="single" w:color="auto"/>
          <w:color w:val="auto"/>
        </w:rPr>
        <w:t>Amendment and Termination</w:t>
      </w:r>
      <w:r>
        <w:rPr>
          <w:rFonts w:ascii="Arial" w:cs="Arial" w:eastAsia="Arial" w:hAnsi="Arial"/>
          <w:sz w:val="18"/>
          <w:szCs w:val="18"/>
          <w:color w:val="auto"/>
        </w:rPr>
        <w:t>. The Administrator may at any time amend, alter, suspend or terminate the Plan.</w:t>
      </w:r>
    </w:p>
    <w:p>
      <w:pPr>
        <w:sectPr>
          <w:pgSz w:w="11900" w:h="16838" w:orient="portrait"/>
          <w:cols w:equalWidth="0" w:num="1">
            <w:col w:w="11420"/>
          </w:cols>
          <w:pgMar w:left="240" w:top="274" w:right="239" w:bottom="1440" w:gutter="0" w:footer="0" w:header="0"/>
        </w:sectPr>
      </w:pPr>
    </w:p>
    <w:bookmarkStart w:id="129" w:name="page130"/>
    <w:bookmarkEnd w:id="129"/>
    <w:p>
      <w:pPr>
        <w:ind w:left="-464" w:right="480" w:firstLine="921"/>
        <w:spacing w:after="0" w:line="277" w:lineRule="auto"/>
        <w:tabs>
          <w:tab w:leader="none" w:pos="703" w:val="left"/>
        </w:tabs>
        <w:numPr>
          <w:ilvl w:val="1"/>
          <w:numId w:val="5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Shareholder Approval</w:t>
      </w:r>
      <w:r>
        <w:rPr>
          <w:rFonts w:ascii="Arial" w:cs="Arial" w:eastAsia="Arial" w:hAnsi="Arial"/>
          <w:sz w:val="18"/>
          <w:szCs w:val="18"/>
          <w:color w:val="auto"/>
        </w:rPr>
        <w:t>. The Company will obtain shareholder approval of any Plan amendment to the extent necessary and desirable to comply with Applicable Laws.</w:t>
      </w:r>
    </w:p>
    <w:p>
      <w:pPr>
        <w:spacing w:after="0" w:line="170" w:lineRule="exact"/>
        <w:rPr>
          <w:rFonts w:ascii="Arial" w:cs="Arial" w:eastAsia="Arial" w:hAnsi="Arial"/>
          <w:sz w:val="18"/>
          <w:szCs w:val="18"/>
          <w:color w:val="auto"/>
        </w:rPr>
      </w:pPr>
    </w:p>
    <w:p>
      <w:pPr>
        <w:jc w:val="both"/>
        <w:ind w:left="-464" w:right="40" w:firstLine="921"/>
        <w:spacing w:after="0" w:line="259" w:lineRule="auto"/>
        <w:tabs>
          <w:tab w:leader="none" w:pos="693" w:val="left"/>
        </w:tabs>
        <w:numPr>
          <w:ilvl w:val="1"/>
          <w:numId w:val="57"/>
        </w:numPr>
        <w:rPr>
          <w:rFonts w:ascii="Arial" w:cs="Arial" w:eastAsia="Arial" w:hAnsi="Arial"/>
          <w:sz w:val="18"/>
          <w:szCs w:val="18"/>
          <w:color w:val="auto"/>
        </w:rPr>
      </w:pPr>
      <w:r>
        <w:rPr>
          <w:rFonts w:ascii="Arial" w:cs="Arial" w:eastAsia="Arial" w:hAnsi="Arial"/>
          <w:sz w:val="18"/>
          <w:szCs w:val="18"/>
          <w:u w:val="single" w:color="auto"/>
          <w:color w:val="auto"/>
        </w:rPr>
        <w:t>Effect of Amendment or Termination</w:t>
      </w:r>
      <w:r>
        <w:rPr>
          <w:rFonts w:ascii="Arial" w:cs="Arial" w:eastAsia="Arial" w:hAnsi="Arial"/>
          <w:sz w:val="18"/>
          <w:szCs w:val="18"/>
          <w:color w:val="auto"/>
        </w:rPr>
        <w:t>. No amendment, alteration, suspension or termination of the Plan will impair the rights of any Participant, unless mutually agreed otherwise between the Participant and the Administrator, which agreement must be in writing and signed by the Participant and the Company. Termination of the Plan will not affect the Administrator’s ability to exercise the powers granted to it hereunder with respect to Awards granted under the Plan prior to the date of such termination.</w:t>
      </w:r>
    </w:p>
    <w:p>
      <w:pPr>
        <w:spacing w:after="0" w:line="290" w:lineRule="exact"/>
        <w:rPr>
          <w:rFonts w:ascii="Arial" w:cs="Arial" w:eastAsia="Arial" w:hAnsi="Arial"/>
          <w:sz w:val="18"/>
          <w:szCs w:val="18"/>
          <w:color w:val="auto"/>
        </w:rPr>
      </w:pPr>
    </w:p>
    <w:p>
      <w:pPr>
        <w:ind w:left="276" w:hanging="276"/>
        <w:spacing w:after="0"/>
        <w:tabs>
          <w:tab w:leader="none" w:pos="276" w:val="left"/>
        </w:tabs>
        <w:numPr>
          <w:ilvl w:val="0"/>
          <w:numId w:val="58"/>
        </w:numPr>
        <w:rPr>
          <w:rFonts w:ascii="Arial" w:cs="Arial" w:eastAsia="Arial" w:hAnsi="Arial"/>
          <w:sz w:val="18"/>
          <w:szCs w:val="18"/>
          <w:b w:val="1"/>
          <w:bCs w:val="1"/>
          <w:color w:val="auto"/>
        </w:rPr>
      </w:pPr>
      <w:r>
        <w:rPr>
          <w:rFonts w:ascii="Arial" w:cs="Arial" w:eastAsia="Arial" w:hAnsi="Arial"/>
          <w:sz w:val="18"/>
          <w:szCs w:val="18"/>
          <w:b w:val="1"/>
          <w:bCs w:val="1"/>
          <w:color w:val="auto"/>
        </w:rPr>
        <w:t>Conditions on Issuance of Shares.</w:t>
      </w:r>
    </w:p>
    <w:p>
      <w:pPr>
        <w:spacing w:after="0" w:line="121" w:lineRule="exact"/>
        <w:rPr>
          <w:rFonts w:ascii="Arial" w:cs="Arial" w:eastAsia="Arial" w:hAnsi="Arial"/>
          <w:sz w:val="18"/>
          <w:szCs w:val="18"/>
          <w:b w:val="1"/>
          <w:bCs w:val="1"/>
          <w:color w:val="auto"/>
        </w:rPr>
      </w:pPr>
    </w:p>
    <w:p>
      <w:pPr>
        <w:ind w:left="-464" w:right="300" w:firstLine="921"/>
        <w:spacing w:after="0" w:line="264" w:lineRule="auto"/>
        <w:tabs>
          <w:tab w:leader="none" w:pos="693" w:val="left"/>
        </w:tabs>
        <w:numPr>
          <w:ilvl w:val="1"/>
          <w:numId w:val="58"/>
        </w:numPr>
        <w:rPr>
          <w:rFonts w:ascii="Arial" w:cs="Arial" w:eastAsia="Arial" w:hAnsi="Arial"/>
          <w:sz w:val="18"/>
          <w:szCs w:val="18"/>
          <w:color w:val="auto"/>
        </w:rPr>
      </w:pPr>
      <w:r>
        <w:rPr>
          <w:rFonts w:ascii="Arial" w:cs="Arial" w:eastAsia="Arial" w:hAnsi="Arial"/>
          <w:sz w:val="18"/>
          <w:szCs w:val="18"/>
          <w:u w:val="single" w:color="auto"/>
          <w:color w:val="auto"/>
        </w:rPr>
        <w:t>Legal Compliance</w:t>
      </w:r>
      <w:r>
        <w:rPr>
          <w:rFonts w:ascii="Arial" w:cs="Arial" w:eastAsia="Arial" w:hAnsi="Arial"/>
          <w:sz w:val="18"/>
          <w:szCs w:val="18"/>
          <w:color w:val="auto"/>
        </w:rPr>
        <w:t>. Shares will not be issued pursuant to the exercise of an Award unless the exercise of such Award and the issuance and delivery of such Shares will comply with Applicable Laws and will be further subject to the approval of counsel for the Company with respect to such compliance.</w:t>
      </w:r>
    </w:p>
    <w:p>
      <w:pPr>
        <w:spacing w:after="0" w:line="181" w:lineRule="exact"/>
        <w:rPr>
          <w:rFonts w:ascii="Arial" w:cs="Arial" w:eastAsia="Arial" w:hAnsi="Arial"/>
          <w:sz w:val="18"/>
          <w:szCs w:val="18"/>
          <w:color w:val="auto"/>
        </w:rPr>
      </w:pPr>
    </w:p>
    <w:p>
      <w:pPr>
        <w:ind w:left="-464" w:right="300" w:firstLine="921"/>
        <w:spacing w:after="0" w:line="264" w:lineRule="auto"/>
        <w:tabs>
          <w:tab w:leader="none" w:pos="703" w:val="left"/>
        </w:tabs>
        <w:numPr>
          <w:ilvl w:val="1"/>
          <w:numId w:val="58"/>
        </w:numPr>
        <w:rPr>
          <w:rFonts w:ascii="Arial" w:cs="Arial" w:eastAsia="Arial" w:hAnsi="Arial"/>
          <w:sz w:val="18"/>
          <w:szCs w:val="18"/>
          <w:color w:val="auto"/>
        </w:rPr>
      </w:pPr>
      <w:r>
        <w:rPr>
          <w:rFonts w:ascii="Arial" w:cs="Arial" w:eastAsia="Arial" w:hAnsi="Arial"/>
          <w:sz w:val="18"/>
          <w:szCs w:val="18"/>
          <w:u w:val="single" w:color="auto"/>
          <w:color w:val="auto"/>
        </w:rPr>
        <w:t>Investment Representations</w:t>
      </w:r>
      <w:r>
        <w:rPr>
          <w:rFonts w:ascii="Arial" w:cs="Arial" w:eastAsia="Arial" w:hAnsi="Arial"/>
          <w:sz w:val="18"/>
          <w:szCs w:val="18"/>
          <w:color w:val="auto"/>
        </w:rPr>
        <w:t>. As a condition to the exercise of an Award, the Company may require the person exercising such Award to represent and warrant at the time of any such exercise that the Shares are being purchased only for investment and without any present intention to sell or distribute such Shares if, in the opinion of counsel for the Company, such a representation is required.</w:t>
      </w:r>
    </w:p>
    <w:p>
      <w:pPr>
        <w:spacing w:after="0" w:line="177" w:lineRule="exact"/>
        <w:rPr>
          <w:rFonts w:ascii="Arial" w:cs="Arial" w:eastAsia="Arial" w:hAnsi="Arial"/>
          <w:sz w:val="18"/>
          <w:szCs w:val="18"/>
          <w:color w:val="auto"/>
        </w:rPr>
      </w:pPr>
    </w:p>
    <w:p>
      <w:pPr>
        <w:ind w:left="-464" w:right="80" w:firstLine="464"/>
        <w:spacing w:after="0" w:line="261" w:lineRule="auto"/>
        <w:tabs>
          <w:tab w:leader="none" w:pos="262" w:val="left"/>
        </w:tabs>
        <w:numPr>
          <w:ilvl w:val="0"/>
          <w:numId w:val="5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Inability to Obtain Authority. </w:t>
      </w:r>
      <w:r>
        <w:rPr>
          <w:rFonts w:ascii="Arial" w:cs="Arial" w:eastAsia="Arial" w:hAnsi="Arial"/>
          <w:sz w:val="18"/>
          <w:szCs w:val="18"/>
          <w:color w:val="auto"/>
        </w:rPr>
        <w:t>The inability of the Company to obtain authority from any regulatory body having jurisdiction, which authority is</w:t>
      </w:r>
      <w:r>
        <w:rPr>
          <w:rFonts w:ascii="Arial" w:cs="Arial" w:eastAsia="Arial" w:hAnsi="Arial"/>
          <w:sz w:val="18"/>
          <w:szCs w:val="18"/>
          <w:b w:val="1"/>
          <w:bCs w:val="1"/>
          <w:color w:val="auto"/>
        </w:rPr>
        <w:t xml:space="preserve"> </w:t>
      </w:r>
      <w:r>
        <w:rPr>
          <w:rFonts w:ascii="Arial" w:cs="Arial" w:eastAsia="Arial" w:hAnsi="Arial"/>
          <w:sz w:val="18"/>
          <w:szCs w:val="18"/>
          <w:color w:val="auto"/>
        </w:rPr>
        <w:t>deemed by the Company’s counsel to be necessary to the lawful issuance and sale of any Shares hereunder, will relieve the Company of any liability in respect of the failure to issue or sell such Shares as to which such requisite authority will not have been obtained. The Company has no obligation to register any Shares issued pursuant to this Plan under the securities laws of any jurisdiction.</w:t>
      </w:r>
    </w:p>
    <w:p>
      <w:pPr>
        <w:spacing w:after="0" w:line="180" w:lineRule="exact"/>
        <w:rPr>
          <w:rFonts w:ascii="Arial" w:cs="Arial" w:eastAsia="Arial" w:hAnsi="Arial"/>
          <w:sz w:val="18"/>
          <w:szCs w:val="18"/>
          <w:b w:val="1"/>
          <w:bCs w:val="1"/>
          <w:color w:val="auto"/>
        </w:rPr>
      </w:pPr>
    </w:p>
    <w:p>
      <w:pPr>
        <w:ind w:left="-464" w:right="200" w:firstLine="464"/>
        <w:spacing w:after="0" w:line="282" w:lineRule="auto"/>
        <w:tabs>
          <w:tab w:leader="none" w:pos="262" w:val="left"/>
        </w:tabs>
        <w:numPr>
          <w:ilvl w:val="0"/>
          <w:numId w:val="5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Reservation of Shares. </w:t>
      </w:r>
      <w:r>
        <w:rPr>
          <w:rFonts w:ascii="Arial" w:cs="Arial" w:eastAsia="Arial" w:hAnsi="Arial"/>
          <w:sz w:val="18"/>
          <w:szCs w:val="18"/>
          <w:color w:val="auto"/>
        </w:rPr>
        <w:t>The Company, during the term of this Plan, will at all times reserve and keep available such number of Shares as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sufficient to satisfy the requirements of the Plan.</w:t>
      </w:r>
    </w:p>
    <w:p>
      <w:pPr>
        <w:spacing w:after="0" w:line="161" w:lineRule="exact"/>
        <w:rPr>
          <w:rFonts w:ascii="Arial" w:cs="Arial" w:eastAsia="Arial" w:hAnsi="Arial"/>
          <w:sz w:val="18"/>
          <w:szCs w:val="18"/>
          <w:b w:val="1"/>
          <w:bCs w:val="1"/>
          <w:color w:val="auto"/>
        </w:rPr>
      </w:pPr>
    </w:p>
    <w:p>
      <w:pPr>
        <w:ind w:left="276" w:hanging="276"/>
        <w:spacing w:after="0"/>
        <w:tabs>
          <w:tab w:leader="none" w:pos="276" w:val="left"/>
        </w:tabs>
        <w:numPr>
          <w:ilvl w:val="0"/>
          <w:numId w:val="5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Award Agreement. </w:t>
      </w:r>
      <w:r>
        <w:rPr>
          <w:rFonts w:ascii="Arial" w:cs="Arial" w:eastAsia="Arial" w:hAnsi="Arial"/>
          <w:sz w:val="18"/>
          <w:szCs w:val="18"/>
          <w:color w:val="auto"/>
        </w:rPr>
        <w:t>Awards will be evidenced by written agreements in such form as the Administrator will approve.</w:t>
      </w:r>
    </w:p>
    <w:p>
      <w:pPr>
        <w:spacing w:after="0" w:line="225" w:lineRule="exact"/>
        <w:rPr>
          <w:rFonts w:ascii="Arial" w:cs="Arial" w:eastAsia="Arial" w:hAnsi="Arial"/>
          <w:sz w:val="18"/>
          <w:szCs w:val="18"/>
          <w:b w:val="1"/>
          <w:bCs w:val="1"/>
          <w:color w:val="auto"/>
        </w:rPr>
      </w:pPr>
    </w:p>
    <w:p>
      <w:pPr>
        <w:ind w:left="-464" w:firstLine="464"/>
        <w:spacing w:after="0" w:line="313" w:lineRule="auto"/>
        <w:tabs>
          <w:tab w:leader="none" w:pos="262" w:val="left"/>
        </w:tabs>
        <w:numPr>
          <w:ilvl w:val="0"/>
          <w:numId w:val="5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Shareholder Approval. </w:t>
      </w:r>
      <w:r>
        <w:rPr>
          <w:rFonts w:ascii="Arial" w:cs="Arial" w:eastAsia="Arial" w:hAnsi="Arial"/>
          <w:sz w:val="17"/>
          <w:szCs w:val="17"/>
          <w:color w:val="auto"/>
        </w:rPr>
        <w:t>The Plan will be subject to approval by the shareholders of the Company within twelve (12) months after the date the Plan</w:t>
      </w:r>
      <w:r>
        <w:rPr>
          <w:rFonts w:ascii="Arial" w:cs="Arial" w:eastAsia="Arial" w:hAnsi="Arial"/>
          <w:sz w:val="17"/>
          <w:szCs w:val="17"/>
          <w:b w:val="1"/>
          <w:bCs w:val="1"/>
          <w:color w:val="auto"/>
        </w:rPr>
        <w:t xml:space="preserve"> </w:t>
      </w:r>
      <w:r>
        <w:rPr>
          <w:rFonts w:ascii="Arial" w:cs="Arial" w:eastAsia="Arial" w:hAnsi="Arial"/>
          <w:sz w:val="17"/>
          <w:szCs w:val="17"/>
          <w:color w:val="auto"/>
        </w:rPr>
        <w:t>is adopted by the Board. Such shareholder approval will be obtained in the manner and to the degree required under Applicable Laws.</w:t>
      </w:r>
    </w:p>
    <w:p>
      <w:pPr>
        <w:sectPr>
          <w:pgSz w:w="11900" w:h="16838" w:orient="portrait"/>
          <w:cols w:equalWidth="0" w:num="1">
            <w:col w:w="10896"/>
          </w:cols>
          <w:pgMar w:left="704" w:top="274" w:right="299" w:bottom="1440" w:gutter="0" w:footer="0" w:header="0"/>
        </w:sectPr>
      </w:pPr>
    </w:p>
    <w:bookmarkStart w:id="130" w:name="page131"/>
    <w:bookmarkEnd w:id="130"/>
    <w:p>
      <w:pPr>
        <w:jc w:val="right"/>
        <w:spacing w:after="0"/>
        <w:rPr>
          <w:sz w:val="20"/>
          <w:szCs w:val="20"/>
          <w:color w:val="auto"/>
        </w:rPr>
      </w:pPr>
      <w:r>
        <w:rPr>
          <w:rFonts w:ascii="Arial" w:cs="Arial" w:eastAsia="Arial" w:hAnsi="Arial"/>
          <w:sz w:val="18"/>
          <w:szCs w:val="18"/>
          <w:b w:val="1"/>
          <w:bCs w:val="1"/>
          <w:color w:val="auto"/>
        </w:rPr>
        <w:t>Exhibit 21.1</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80" w:type="dxa"/>
            <w:vAlign w:val="bottom"/>
          </w:tcPr>
          <w:p>
            <w:pPr>
              <w:spacing w:after="0"/>
              <w:rPr>
                <w:sz w:val="20"/>
                <w:szCs w:val="20"/>
                <w:color w:val="auto"/>
              </w:rPr>
            </w:pPr>
          </w:p>
        </w:tc>
        <w:tc>
          <w:tcPr>
            <w:tcW w:w="3620" w:type="dxa"/>
            <w:vAlign w:val="bottom"/>
          </w:tcPr>
          <w:p>
            <w:pPr>
              <w:spacing w:after="0"/>
              <w:rPr>
                <w:sz w:val="20"/>
                <w:szCs w:val="20"/>
                <w:color w:val="auto"/>
              </w:rPr>
            </w:pPr>
          </w:p>
        </w:tc>
        <w:tc>
          <w:tcPr>
            <w:tcW w:w="3560" w:type="dxa"/>
            <w:vAlign w:val="bottom"/>
            <w:gridSpan w:val="2"/>
          </w:tcPr>
          <w:p>
            <w:pPr>
              <w:ind w:left="160"/>
              <w:spacing w:after="0"/>
              <w:rPr>
                <w:sz w:val="20"/>
                <w:szCs w:val="20"/>
                <w:color w:val="auto"/>
              </w:rPr>
            </w:pPr>
            <w:r>
              <w:rPr>
                <w:rFonts w:ascii="Arial" w:cs="Arial" w:eastAsia="Arial" w:hAnsi="Arial"/>
                <w:sz w:val="18"/>
                <w:szCs w:val="18"/>
                <w:b w:val="1"/>
                <w:bCs w:val="1"/>
                <w:color w:val="auto"/>
              </w:rPr>
              <w:t>SUBSIDIARIES OF MARVELL</w:t>
            </w:r>
          </w:p>
        </w:tc>
      </w:tr>
      <w:tr>
        <w:trPr>
          <w:trHeight w:val="412"/>
        </w:trPr>
        <w:tc>
          <w:tcPr>
            <w:tcW w:w="4300" w:type="dxa"/>
            <w:vAlign w:val="bottom"/>
            <w:gridSpan w:val="2"/>
          </w:tcPr>
          <w:p>
            <w:pPr>
              <w:spacing w:after="0"/>
              <w:rPr>
                <w:sz w:val="20"/>
                <w:szCs w:val="20"/>
                <w:color w:val="auto"/>
              </w:rPr>
            </w:pPr>
            <w:r>
              <w:rPr>
                <w:rFonts w:ascii="Arial" w:cs="Arial" w:eastAsia="Arial" w:hAnsi="Arial"/>
                <w:sz w:val="14"/>
                <w:szCs w:val="14"/>
                <w:b w:val="1"/>
                <w:bCs w:val="1"/>
                <w:color w:val="auto"/>
              </w:rPr>
              <w:t>Subsidiary</w:t>
            </w:r>
          </w:p>
        </w:tc>
        <w:tc>
          <w:tcPr>
            <w:tcW w:w="3560" w:type="dxa"/>
            <w:vAlign w:val="bottom"/>
            <w:gridSpan w:val="2"/>
          </w:tcPr>
          <w:p>
            <w:pPr>
              <w:ind w:left="1180"/>
              <w:spacing w:after="0"/>
              <w:rPr>
                <w:sz w:val="20"/>
                <w:szCs w:val="20"/>
                <w:color w:val="auto"/>
              </w:rPr>
            </w:pPr>
            <w:r>
              <w:rPr>
                <w:rFonts w:ascii="Arial" w:cs="Arial" w:eastAsia="Arial" w:hAnsi="Arial"/>
                <w:sz w:val="14"/>
                <w:szCs w:val="14"/>
                <w:b w:val="1"/>
                <w:bCs w:val="1"/>
                <w:color w:val="auto"/>
              </w:rPr>
              <w:t>Jurisdiction of Organization</w:t>
            </w:r>
          </w:p>
        </w:tc>
      </w:tr>
      <w:tr>
        <w:trPr>
          <w:trHeight w:val="189"/>
        </w:trPr>
        <w:tc>
          <w:tcPr>
            <w:tcW w:w="68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rPr>
              <w:t>Marvell</w:t>
            </w:r>
          </w:p>
        </w:tc>
        <w:tc>
          <w:tcPr>
            <w:tcW w:w="3620" w:type="dxa"/>
            <w:vAlign w:val="bottom"/>
          </w:tcPr>
          <w:p>
            <w:pPr>
              <w:spacing w:after="0" w:line="189" w:lineRule="exact"/>
              <w:rPr>
                <w:sz w:val="20"/>
                <w:szCs w:val="20"/>
                <w:color w:val="auto"/>
              </w:rPr>
            </w:pPr>
            <w:r>
              <w:rPr>
                <w:rFonts w:ascii="Arial" w:cs="Arial" w:eastAsia="Arial" w:hAnsi="Arial"/>
                <w:sz w:val="18"/>
                <w:szCs w:val="18"/>
                <w:color w:val="auto"/>
              </w:rPr>
              <w:t>International Ltd.</w:t>
            </w:r>
          </w:p>
        </w:tc>
        <w:tc>
          <w:tcPr>
            <w:tcW w:w="1180" w:type="dxa"/>
            <w:vAlign w:val="bottom"/>
          </w:tcPr>
          <w:p>
            <w:pPr>
              <w:spacing w:after="0"/>
              <w:rPr>
                <w:sz w:val="16"/>
                <w:szCs w:val="16"/>
                <w:color w:val="auto"/>
              </w:rPr>
            </w:pPr>
          </w:p>
        </w:tc>
        <w:tc>
          <w:tcPr>
            <w:tcW w:w="238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Utopia Capital Holdings,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MV Acquisition,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Bermuda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UK Limited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United Kingdom</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World Trade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Barbados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Germany</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Technologies Hungary Kft.</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Hungary</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Italy</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Netherlands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Hispania, S.L.</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Spain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Sweden AB</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Sweden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Sweden AB</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Sweden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Switzerland</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Micromos Sarl</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Switzerland</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(Switzerland)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Switzerland</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Israel</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India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Japan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Japan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Accel Japan K.K.</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Japan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Korea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Malaysia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Singapore</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Taiwan</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Hong Kong</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(Beijing),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(Chengdu),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(Shanghai),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(Nanjing),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China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Canada Corporation</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Canada</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Kinoma, Inc.</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California, United States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California, United States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Delaware, United States</w:t>
            </w:r>
          </w:p>
        </w:tc>
      </w:tr>
      <w:tr>
        <w:trPr>
          <w:trHeight w:val="216"/>
        </w:trPr>
        <w:tc>
          <w:tcPr>
            <w:tcW w:w="430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Delaware, United States</w:t>
            </w:r>
          </w:p>
        </w:tc>
      </w:tr>
      <w:tr>
        <w:trPr>
          <w:trHeight w:val="230"/>
        </w:trPr>
        <w:tc>
          <w:tcPr>
            <w:tcW w:w="4300" w:type="dxa"/>
            <w:vAlign w:val="bottom"/>
            <w:gridSpan w:val="2"/>
          </w:tcPr>
          <w:p>
            <w:pPr>
              <w:spacing w:after="0"/>
              <w:rPr>
                <w:sz w:val="20"/>
                <w:szCs w:val="20"/>
                <w:color w:val="auto"/>
              </w:rPr>
            </w:pPr>
            <w:r>
              <w:rPr>
                <w:rFonts w:ascii="Arial" w:cs="Arial" w:eastAsia="Arial" w:hAnsi="Arial"/>
                <w:sz w:val="18"/>
                <w:szCs w:val="18"/>
                <w:color w:val="auto"/>
                <w:w w:val="97"/>
              </w:rPr>
              <w:t>Marvell Technology Vietnam Limited Liability Company</w:t>
            </w:r>
          </w:p>
        </w:tc>
        <w:tc>
          <w:tcPr>
            <w:tcW w:w="3560" w:type="dxa"/>
            <w:vAlign w:val="bottom"/>
            <w:gridSpan w:val="2"/>
          </w:tcPr>
          <w:p>
            <w:pPr>
              <w:ind w:left="1180"/>
              <w:spacing w:after="0"/>
              <w:rPr>
                <w:sz w:val="20"/>
                <w:szCs w:val="20"/>
                <w:color w:val="auto"/>
              </w:rPr>
            </w:pPr>
            <w:r>
              <w:rPr>
                <w:rFonts w:ascii="Arial" w:cs="Arial" w:eastAsia="Arial" w:hAnsi="Arial"/>
                <w:sz w:val="18"/>
                <w:szCs w:val="18"/>
                <w:color w:val="auto"/>
              </w:rPr>
              <w:t>Vietnam</w:t>
            </w:r>
          </w:p>
        </w:tc>
      </w:tr>
    </w:tbl>
    <w:p>
      <w:pPr>
        <w:sectPr>
          <w:pgSz w:w="11900" w:h="16838" w:orient="portrait"/>
          <w:cols w:equalWidth="0" w:num="1">
            <w:col w:w="11420"/>
          </w:cols>
          <w:pgMar w:left="240" w:top="121" w:right="239" w:bottom="1440" w:gutter="0" w:footer="0" w:header="0"/>
        </w:sectPr>
      </w:pPr>
    </w:p>
    <w:bookmarkStart w:id="131" w:name="page132"/>
    <w:bookmarkEnd w:id="131"/>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200" w:firstLine="456"/>
        <w:spacing w:after="0" w:line="257" w:lineRule="auto"/>
        <w:rPr>
          <w:sz w:val="20"/>
          <w:szCs w:val="20"/>
          <w:color w:val="auto"/>
        </w:rPr>
      </w:pPr>
      <w:r>
        <w:rPr>
          <w:rFonts w:ascii="Arial" w:cs="Arial" w:eastAsia="Arial" w:hAnsi="Arial"/>
          <w:sz w:val="18"/>
          <w:szCs w:val="18"/>
          <w:color w:val="auto"/>
        </w:rPr>
        <w:t>We hereby consent to the incorporation by reference in the Registration Statements on Form S-8 (Nos. 333-40152, 333-40154, 33-54188, 333-55974, 333-56322, 333-87322, 333-91124, 333-104925, 333-106683, 333-108334, 333-111133, 333-114434, 333-124072, 333-133281, 33-148621, 333-151816, 333-163644, 333-180412, 333-187641) and the Registration Statement on Form S-8/S-3 (No. 333-151826) of Marvell Technology Group Ltd. of our report dated March 27, 2014 relating to the consolidated financial statements, financial statement schedule and the effectiveness of internal control over financial reporting, which appears in this Form 10-K.</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27, 2014</w:t>
      </w:r>
    </w:p>
    <w:p>
      <w:pPr>
        <w:sectPr>
          <w:pgSz w:w="11900" w:h="16838" w:orient="portrait"/>
          <w:cols w:equalWidth="0" w:num="1">
            <w:col w:w="11420"/>
          </w:cols>
          <w:pgMar w:left="240" w:top="121" w:right="239" w:bottom="1440" w:gutter="0" w:footer="0" w:header="0"/>
        </w:sectPr>
      </w:pPr>
    </w:p>
    <w:bookmarkStart w:id="132" w:name="page133"/>
    <w:bookmarkEnd w:id="132"/>
    <w:p>
      <w:pPr>
        <w:jc w:val="right"/>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ind w:left="260" w:right="2100"/>
        <w:spacing w:after="0" w:line="266" w:lineRule="auto"/>
        <w:rPr>
          <w:sz w:val="20"/>
          <w:szCs w:val="20"/>
          <w:color w:val="auto"/>
        </w:rPr>
      </w:pPr>
      <w:r>
        <w:rPr>
          <w:rFonts w:ascii="Arial" w:cs="Arial" w:eastAsia="Arial" w:hAnsi="Arial"/>
          <w:sz w:val="18"/>
          <w:szCs w:val="18"/>
          <w:b w:val="1"/>
          <w:bCs w:val="1"/>
          <w:color w:val="auto"/>
        </w:rPr>
        <w:t>CERTIFICATION OF THE CHIEF EXECUTIVE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131" w:lineRule="exact"/>
        <w:rPr>
          <w:sz w:val="20"/>
          <w:szCs w:val="20"/>
          <w:color w:val="auto"/>
        </w:rPr>
      </w:pPr>
    </w:p>
    <w:p>
      <w:pPr>
        <w:ind w:left="460" w:hanging="452"/>
        <w:spacing w:after="0"/>
        <w:tabs>
          <w:tab w:leader="none" w:pos="4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59"/>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5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5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5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5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5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5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5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20" w:val="left"/>
          <w:tab w:leader="none" w:pos="7860" w:val="left"/>
          <w:tab w:leader="none" w:pos="8220" w:val="left"/>
        </w:tabs>
        <w:rPr>
          <w:sz w:val="20"/>
          <w:szCs w:val="20"/>
          <w:color w:val="auto"/>
        </w:rPr>
      </w:pPr>
      <w:r>
        <w:rPr>
          <w:rFonts w:ascii="Arial" w:cs="Arial" w:eastAsia="Arial" w:hAnsi="Arial"/>
          <w:sz w:val="18"/>
          <w:szCs w:val="18"/>
          <w:color w:val="auto"/>
        </w:rPr>
        <w:t>Date: March 27,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5"/>
          <w:szCs w:val="15"/>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S</w:t>
      </w:r>
      <w:r>
        <w:rPr>
          <w:rFonts w:ascii="Arial" w:cs="Arial" w:eastAsia="Arial" w:hAnsi="Arial"/>
          <w:sz w:val="14"/>
          <w:szCs w:val="14"/>
          <w:color w:val="auto"/>
        </w:rPr>
        <w:t>EHAT</w:t>
      </w:r>
      <w:r>
        <w:rPr>
          <w:rFonts w:ascii="Arial" w:cs="Arial" w:eastAsia="Arial" w:hAnsi="Arial"/>
          <w:sz w:val="17"/>
          <w:szCs w:val="17"/>
          <w:color w:val="auto"/>
        </w:rPr>
        <w:t xml:space="preserve"> S</w:t>
      </w:r>
      <w:r>
        <w:rPr>
          <w:rFonts w:ascii="Arial" w:cs="Arial" w:eastAsia="Arial" w:hAnsi="Arial"/>
          <w:sz w:val="14"/>
          <w:szCs w:val="14"/>
          <w:color w:val="auto"/>
        </w:rPr>
        <w:t>UTARDJA</w:t>
      </w:r>
    </w:p>
    <w:p>
      <w:pPr>
        <w:spacing w:after="0" w:line="18" w:lineRule="exact"/>
        <w:rPr>
          <w:sz w:val="20"/>
          <w:szCs w:val="20"/>
          <w:color w:val="auto"/>
        </w:rPr>
      </w:pPr>
    </w:p>
    <w:p>
      <w:pPr>
        <w:jc w:val="center"/>
        <w:ind w:left="6280"/>
        <w:spacing w:after="0"/>
        <w:rPr>
          <w:sz w:val="20"/>
          <w:szCs w:val="20"/>
          <w:color w:val="auto"/>
        </w:rPr>
      </w:pPr>
      <w:r>
        <w:rPr>
          <w:rFonts w:ascii="Arial" w:cs="Arial" w:eastAsia="Arial" w:hAnsi="Arial"/>
          <w:sz w:val="14"/>
          <w:szCs w:val="14"/>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-97790</wp:posOffset>
            </wp:positionV>
            <wp:extent cx="332740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line="221" w:lineRule="auto"/>
        <w:rPr>
          <w:sz w:val="20"/>
          <w:szCs w:val="20"/>
          <w:color w:val="auto"/>
        </w:rPr>
      </w:pPr>
      <w:r>
        <w:rPr>
          <w:rFonts w:ascii="Arial" w:cs="Arial" w:eastAsia="Arial" w:hAnsi="Arial"/>
          <w:sz w:val="14"/>
          <w:szCs w:val="14"/>
          <w:b w:val="1"/>
          <w:bCs w:val="1"/>
          <w:color w:val="auto"/>
        </w:rPr>
        <w:t>Chief Executive Officer</w:t>
      </w:r>
    </w:p>
    <w:p>
      <w:pPr>
        <w:jc w:val="center"/>
        <w:ind w:left="6280"/>
        <w:spacing w:after="0"/>
        <w:rPr>
          <w:sz w:val="20"/>
          <w:szCs w:val="20"/>
          <w:color w:val="auto"/>
        </w:rPr>
      </w:pPr>
      <w:r>
        <w:rPr>
          <w:rFonts w:ascii="Arial" w:cs="Arial" w:eastAsia="Arial" w:hAnsi="Arial"/>
          <w:sz w:val="14"/>
          <w:szCs w:val="14"/>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133" w:name="page134"/>
    <w:bookmarkEnd w:id="133"/>
    <w:p>
      <w:pPr>
        <w:jc w:val="right"/>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ind w:left="260" w:right="2100"/>
        <w:spacing w:after="0" w:line="266"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Michael Rashkin, certify that:</w:t>
      </w:r>
    </w:p>
    <w:p>
      <w:pPr>
        <w:spacing w:after="0" w:line="131" w:lineRule="exact"/>
        <w:rPr>
          <w:sz w:val="20"/>
          <w:szCs w:val="20"/>
          <w:color w:val="auto"/>
        </w:rPr>
      </w:pPr>
    </w:p>
    <w:p>
      <w:pPr>
        <w:ind w:left="460" w:hanging="452"/>
        <w:spacing w:after="0"/>
        <w:tabs>
          <w:tab w:leader="none" w:pos="460" w:val="left"/>
        </w:tabs>
        <w:numPr>
          <w:ilvl w:val="0"/>
          <w:numId w:val="60"/>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60"/>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60"/>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6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60"/>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60"/>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6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6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60"/>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6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80" w:val="left"/>
          <w:tab w:leader="none" w:pos="7840" w:val="left"/>
          <w:tab w:leader="none" w:pos="8200" w:val="left"/>
        </w:tabs>
        <w:rPr>
          <w:sz w:val="20"/>
          <w:szCs w:val="20"/>
          <w:color w:val="auto"/>
        </w:rPr>
      </w:pPr>
      <w:r>
        <w:rPr>
          <w:rFonts w:ascii="Arial" w:cs="Arial" w:eastAsia="Arial" w:hAnsi="Arial"/>
          <w:sz w:val="18"/>
          <w:szCs w:val="18"/>
          <w:color w:val="auto"/>
        </w:rPr>
        <w:t>Date: March 27,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5"/>
          <w:szCs w:val="15"/>
          <w:color w:val="auto"/>
        </w:rPr>
        <w:t>S</w:t>
      </w:r>
      <w:r>
        <w:rPr>
          <w:rFonts w:ascii="Arial" w:cs="Arial" w:eastAsia="Arial" w:hAnsi="Arial"/>
          <w:sz w:val="18"/>
          <w:szCs w:val="18"/>
          <w:color w:val="auto"/>
        </w:rPr>
        <w:t>/</w:t>
        <w:tab/>
        <w:t>M</w:t>
      </w:r>
      <w:r>
        <w:rPr>
          <w:rFonts w:ascii="Arial" w:cs="Arial" w:eastAsia="Arial" w:hAnsi="Arial"/>
          <w:sz w:val="15"/>
          <w:szCs w:val="15"/>
          <w:color w:val="auto"/>
        </w:rPr>
        <w:t>ICHAEL</w:t>
      </w:r>
      <w:r>
        <w:rPr>
          <w:rFonts w:ascii="Arial" w:cs="Arial" w:eastAsia="Arial" w:hAnsi="Arial"/>
          <w:sz w:val="18"/>
          <w:szCs w:val="18"/>
          <w:color w:val="auto"/>
        </w:rPr>
        <w:t xml:space="preserve"> R</w:t>
      </w:r>
      <w:r>
        <w:rPr>
          <w:rFonts w:ascii="Arial" w:cs="Arial" w:eastAsia="Arial" w:hAnsi="Arial"/>
          <w:sz w:val="15"/>
          <w:szCs w:val="15"/>
          <w:color w:val="auto"/>
        </w:rPr>
        <w:t>ASHKIN</w:t>
      </w:r>
    </w:p>
    <w:p>
      <w:pPr>
        <w:spacing w:after="0" w:line="18" w:lineRule="exact"/>
        <w:rPr>
          <w:sz w:val="20"/>
          <w:szCs w:val="20"/>
          <w:color w:val="auto"/>
        </w:rPr>
      </w:pPr>
    </w:p>
    <w:p>
      <w:pPr>
        <w:jc w:val="center"/>
        <w:ind w:left="6400"/>
        <w:spacing w:after="0"/>
        <w:rPr>
          <w:sz w:val="20"/>
          <w:szCs w:val="20"/>
          <w:color w:val="auto"/>
        </w:rPr>
      </w:pPr>
      <w:r>
        <w:rPr>
          <w:rFonts w:ascii="Arial" w:cs="Arial" w:eastAsia="Arial" w:hAnsi="Arial"/>
          <w:sz w:val="14"/>
          <w:szCs w:val="14"/>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3966845</wp:posOffset>
            </wp:positionH>
            <wp:positionV relativeFrom="paragraph">
              <wp:posOffset>-97790</wp:posOffset>
            </wp:positionV>
            <wp:extent cx="3284855"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3284855" cy="8890"/>
                    </a:xfrm>
                    <a:prstGeom prst="rect">
                      <a:avLst/>
                    </a:prstGeom>
                    <a:noFill/>
                  </pic:spPr>
                </pic:pic>
              </a:graphicData>
            </a:graphic>
          </wp:anchor>
        </w:drawing>
      </w:r>
    </w:p>
    <w:p>
      <w:pPr>
        <w:jc w:val="center"/>
        <w:ind w:left="6400"/>
        <w:spacing w:after="0" w:line="221" w:lineRule="auto"/>
        <w:rPr>
          <w:sz w:val="20"/>
          <w:szCs w:val="20"/>
          <w:color w:val="auto"/>
        </w:rPr>
      </w:pPr>
      <w:r>
        <w:rPr>
          <w:rFonts w:ascii="Arial" w:cs="Arial" w:eastAsia="Arial" w:hAnsi="Arial"/>
          <w:sz w:val="14"/>
          <w:szCs w:val="14"/>
          <w:b w:val="1"/>
          <w:bCs w:val="1"/>
          <w:color w:val="auto"/>
        </w:rPr>
        <w:t>Chief Financial Officer</w:t>
      </w:r>
    </w:p>
    <w:p>
      <w:pPr>
        <w:jc w:val="center"/>
        <w:ind w:left="6400"/>
        <w:spacing w:after="0"/>
        <w:rPr>
          <w:sz w:val="20"/>
          <w:szCs w:val="20"/>
          <w:color w:val="auto"/>
        </w:rPr>
      </w:pPr>
      <w:r>
        <w:rPr>
          <w:rFonts w:ascii="Arial" w:cs="Arial" w:eastAsia="Arial" w:hAnsi="Arial"/>
          <w:sz w:val="14"/>
          <w:szCs w:val="14"/>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134" w:name="page135"/>
    <w:bookmarkEnd w:id="134"/>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 THE SARBANES-OXLEY ACT OF 2002</w:t>
      </w:r>
    </w:p>
    <w:p>
      <w:pPr>
        <w:spacing w:after="0" w:line="180" w:lineRule="exact"/>
        <w:rPr>
          <w:sz w:val="20"/>
          <w:szCs w:val="20"/>
          <w:color w:val="auto"/>
        </w:rPr>
      </w:pPr>
    </w:p>
    <w:p>
      <w:pPr>
        <w:ind w:right="960" w:firstLine="456"/>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20" w:hanging="446"/>
        <w:spacing w:after="0" w:line="277" w:lineRule="auto"/>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February 1, 2014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6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80" w:val="left"/>
          <w:tab w:leader="none" w:pos="7900" w:val="left"/>
          <w:tab w:leader="none" w:pos="8260" w:val="left"/>
        </w:tabs>
        <w:rPr>
          <w:sz w:val="20"/>
          <w:szCs w:val="20"/>
          <w:color w:val="auto"/>
        </w:rPr>
      </w:pPr>
      <w:r>
        <w:rPr>
          <w:rFonts w:ascii="Arial" w:cs="Arial" w:eastAsia="Arial" w:hAnsi="Arial"/>
          <w:sz w:val="18"/>
          <w:szCs w:val="18"/>
          <w:color w:val="auto"/>
        </w:rPr>
        <w:t>Date: March 27,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5"/>
          <w:szCs w:val="15"/>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S</w:t>
      </w:r>
      <w:r>
        <w:rPr>
          <w:rFonts w:ascii="Arial" w:cs="Arial" w:eastAsia="Arial" w:hAnsi="Arial"/>
          <w:sz w:val="14"/>
          <w:szCs w:val="14"/>
          <w:color w:val="auto"/>
        </w:rPr>
        <w:t>EHAT</w:t>
      </w:r>
      <w:r>
        <w:rPr>
          <w:rFonts w:ascii="Arial" w:cs="Arial" w:eastAsia="Arial" w:hAnsi="Arial"/>
          <w:sz w:val="17"/>
          <w:szCs w:val="17"/>
          <w:color w:val="auto"/>
        </w:rPr>
        <w:t xml:space="preserve"> S</w:t>
      </w:r>
      <w:r>
        <w:rPr>
          <w:rFonts w:ascii="Arial" w:cs="Arial" w:eastAsia="Arial" w:hAnsi="Arial"/>
          <w:sz w:val="14"/>
          <w:szCs w:val="14"/>
          <w:color w:val="auto"/>
        </w:rPr>
        <w:t>UTARDJA</w:t>
      </w:r>
    </w:p>
    <w:p>
      <w:pPr>
        <w:spacing w:after="0" w:line="18" w:lineRule="exact"/>
        <w:rPr>
          <w:sz w:val="20"/>
          <w:szCs w:val="20"/>
          <w:color w:val="auto"/>
        </w:rPr>
      </w:pPr>
    </w:p>
    <w:p>
      <w:pPr>
        <w:jc w:val="center"/>
        <w:ind w:left="6280"/>
        <w:spacing w:after="0"/>
        <w:rPr>
          <w:sz w:val="20"/>
          <w:szCs w:val="20"/>
          <w:color w:val="auto"/>
        </w:rPr>
      </w:pPr>
      <w:r>
        <w:rPr>
          <w:rFonts w:ascii="Arial" w:cs="Arial" w:eastAsia="Arial" w:hAnsi="Arial"/>
          <w:sz w:val="14"/>
          <w:szCs w:val="14"/>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-97790</wp:posOffset>
            </wp:positionV>
            <wp:extent cx="332740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line="221" w:lineRule="auto"/>
        <w:rPr>
          <w:sz w:val="20"/>
          <w:szCs w:val="20"/>
          <w:color w:val="auto"/>
        </w:rPr>
      </w:pPr>
      <w:r>
        <w:rPr>
          <w:rFonts w:ascii="Arial" w:cs="Arial" w:eastAsia="Arial" w:hAnsi="Arial"/>
          <w:sz w:val="14"/>
          <w:szCs w:val="14"/>
          <w:b w:val="1"/>
          <w:bCs w:val="1"/>
          <w:color w:val="auto"/>
        </w:rPr>
        <w:t>Chief Executive Officer</w:t>
      </w:r>
    </w:p>
    <w:p>
      <w:pPr>
        <w:jc w:val="center"/>
        <w:ind w:left="6280"/>
        <w:spacing w:after="0"/>
        <w:rPr>
          <w:sz w:val="20"/>
          <w:szCs w:val="20"/>
          <w:color w:val="auto"/>
        </w:rPr>
      </w:pPr>
      <w:r>
        <w:rPr>
          <w:rFonts w:ascii="Arial" w:cs="Arial" w:eastAsia="Arial" w:hAnsi="Arial"/>
          <w:sz w:val="14"/>
          <w:szCs w:val="14"/>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135" w:name="page136"/>
    <w:bookmarkEnd w:id="135"/>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line="266" w:lineRule="auto"/>
        <w:rPr>
          <w:sz w:val="20"/>
          <w:szCs w:val="20"/>
          <w:color w:val="auto"/>
        </w:rPr>
      </w:pPr>
      <w:r>
        <w:rPr>
          <w:rFonts w:ascii="Arial" w:cs="Arial" w:eastAsia="Arial" w:hAnsi="Arial"/>
          <w:sz w:val="18"/>
          <w:szCs w:val="18"/>
          <w:b w:val="1"/>
          <w:bCs w:val="1"/>
          <w:color w:val="auto"/>
        </w:rPr>
        <w:t>CERTIFICATION OF CHIEF FINANCIAL OFFICER PURSUANT TO 18 U.S.C. § 1350, AS ADOPTED PURSUANT TO SECTION 906 OF THE SARBANES-OXLEY ACT OF 2002</w:t>
      </w:r>
    </w:p>
    <w:p>
      <w:pPr>
        <w:spacing w:after="0" w:line="180" w:lineRule="exact"/>
        <w:rPr>
          <w:sz w:val="20"/>
          <w:szCs w:val="20"/>
          <w:color w:val="auto"/>
        </w:rPr>
      </w:pPr>
    </w:p>
    <w:p>
      <w:pPr>
        <w:ind w:right="80" w:firstLine="456"/>
        <w:spacing w:after="0" w:line="277" w:lineRule="auto"/>
        <w:rPr>
          <w:sz w:val="20"/>
          <w:szCs w:val="20"/>
          <w:color w:val="auto"/>
        </w:rPr>
      </w:pPr>
      <w:r>
        <w:rPr>
          <w:rFonts w:ascii="Arial" w:cs="Arial" w:eastAsia="Arial" w:hAnsi="Arial"/>
          <w:sz w:val="18"/>
          <w:szCs w:val="18"/>
          <w:color w:val="auto"/>
        </w:rPr>
        <w:t>I, Michael Rashkin, the chief financial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20" w:hanging="446"/>
        <w:spacing w:after="0" w:line="277" w:lineRule="auto"/>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February 1, 2014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62"/>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80" w:val="left"/>
          <w:tab w:leader="none" w:pos="7780" w:val="left"/>
          <w:tab w:leader="none" w:pos="8140" w:val="left"/>
        </w:tabs>
        <w:rPr>
          <w:sz w:val="20"/>
          <w:szCs w:val="20"/>
          <w:color w:val="auto"/>
        </w:rPr>
      </w:pPr>
      <w:r>
        <w:rPr>
          <w:rFonts w:ascii="Arial" w:cs="Arial" w:eastAsia="Arial" w:hAnsi="Arial"/>
          <w:sz w:val="18"/>
          <w:szCs w:val="18"/>
          <w:color w:val="auto"/>
        </w:rPr>
        <w:t>Date: March 27,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5"/>
          <w:szCs w:val="15"/>
          <w:color w:val="auto"/>
        </w:rPr>
        <w:t>S</w:t>
      </w:r>
      <w:r>
        <w:rPr>
          <w:rFonts w:ascii="Arial" w:cs="Arial" w:eastAsia="Arial" w:hAnsi="Arial"/>
          <w:sz w:val="18"/>
          <w:szCs w:val="18"/>
          <w:color w:val="auto"/>
        </w:rPr>
        <w:t>/</w:t>
        <w:tab/>
        <w:t>M</w:t>
      </w:r>
      <w:r>
        <w:rPr>
          <w:rFonts w:ascii="Arial" w:cs="Arial" w:eastAsia="Arial" w:hAnsi="Arial"/>
          <w:sz w:val="15"/>
          <w:szCs w:val="15"/>
          <w:color w:val="auto"/>
        </w:rPr>
        <w:t>ICHAEL</w:t>
      </w:r>
      <w:r>
        <w:rPr>
          <w:rFonts w:ascii="Arial" w:cs="Arial" w:eastAsia="Arial" w:hAnsi="Arial"/>
          <w:sz w:val="18"/>
          <w:szCs w:val="18"/>
          <w:color w:val="auto"/>
        </w:rPr>
        <w:t xml:space="preserve"> R</w:t>
      </w:r>
      <w:r>
        <w:rPr>
          <w:rFonts w:ascii="Arial" w:cs="Arial" w:eastAsia="Arial" w:hAnsi="Arial"/>
          <w:sz w:val="15"/>
          <w:szCs w:val="15"/>
          <w:color w:val="auto"/>
        </w:rPr>
        <w:t>ASHKIN</w:t>
      </w:r>
    </w:p>
    <w:p>
      <w:pPr>
        <w:spacing w:after="0" w:line="18" w:lineRule="exact"/>
        <w:rPr>
          <w:sz w:val="20"/>
          <w:szCs w:val="20"/>
          <w:color w:val="auto"/>
        </w:rPr>
      </w:pPr>
    </w:p>
    <w:p>
      <w:pPr>
        <w:jc w:val="center"/>
        <w:ind w:left="6280"/>
        <w:spacing w:after="0"/>
        <w:rPr>
          <w:sz w:val="20"/>
          <w:szCs w:val="20"/>
          <w:color w:val="auto"/>
        </w:rPr>
      </w:pPr>
      <w:r>
        <w:rPr>
          <w:rFonts w:ascii="Arial" w:cs="Arial" w:eastAsia="Arial" w:hAnsi="Arial"/>
          <w:sz w:val="14"/>
          <w:szCs w:val="14"/>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-97790</wp:posOffset>
            </wp:positionV>
            <wp:extent cx="332740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jc w:val="center"/>
        <w:ind w:left="6280"/>
        <w:spacing w:after="0" w:line="221" w:lineRule="auto"/>
        <w:rPr>
          <w:sz w:val="20"/>
          <w:szCs w:val="20"/>
          <w:color w:val="auto"/>
        </w:rPr>
      </w:pPr>
      <w:r>
        <w:rPr>
          <w:rFonts w:ascii="Arial" w:cs="Arial" w:eastAsia="Arial" w:hAnsi="Arial"/>
          <w:sz w:val="14"/>
          <w:szCs w:val="14"/>
          <w:b w:val="1"/>
          <w:bCs w:val="1"/>
          <w:color w:val="auto"/>
        </w:rPr>
        <w:t>Chief Financial Officer</w:t>
      </w:r>
    </w:p>
    <w:p>
      <w:pPr>
        <w:jc w:val="center"/>
        <w:ind w:left="6280"/>
        <w:spacing w:after="0"/>
        <w:rPr>
          <w:sz w:val="20"/>
          <w:szCs w:val="20"/>
          <w:color w:val="auto"/>
        </w:rPr>
      </w:pPr>
      <w:r>
        <w:rPr>
          <w:rFonts w:ascii="Arial" w:cs="Arial" w:eastAsia="Arial" w:hAnsi="Arial"/>
          <w:sz w:val="14"/>
          <w:szCs w:val="14"/>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37B8DDC"/>
    <w:multiLevelType w:val="hybridMultilevel"/>
    <w:lvl w:ilvl="0">
      <w:lvlJc w:val="left"/>
      <w:lvlText w:val="☒"/>
      <w:numFmt w:val="bullet"/>
      <w:start w:val="1"/>
    </w:lvl>
  </w:abstractNum>
  <w:abstractNum w:abstractNumId="1">
    <w:nsid w:val="6CEAF087"/>
    <w:multiLevelType w:val="hybridMultilevel"/>
    <w:lvl w:ilvl="0">
      <w:lvlJc w:val="left"/>
      <w:lvlText w:val="☐"/>
      <w:numFmt w:val="bullet"/>
      <w:start w:val="1"/>
    </w:lvl>
  </w:abstractNum>
  <w:abstractNum w:abstractNumId="2">
    <w:nsid w:val="22221A70"/>
    <w:multiLevelType w:val="hybridMultilevel"/>
    <w:lvl w:ilvl="0">
      <w:lvlJc w:val="left"/>
      <w:lvlText w:val="•"/>
      <w:numFmt w:val="bullet"/>
      <w:start w:val="1"/>
    </w:lvl>
  </w:abstractNum>
  <w:abstractNum w:abstractNumId="3">
    <w:nsid w:val="4516DDE9"/>
    <w:multiLevelType w:val="hybridMultilevel"/>
    <w:lvl w:ilvl="0">
      <w:lvlJc w:val="left"/>
      <w:lvlText w:val="*"/>
      <w:numFmt w:val="bullet"/>
      <w:start w:val="1"/>
    </w:lvl>
  </w:abstractNum>
  <w:abstractNum w:abstractNumId="4">
    <w:nsid w:val="3006C83E"/>
    <w:multiLevelType w:val="hybridMultilevel"/>
    <w:lvl w:ilvl="0">
      <w:lvlJc w:val="left"/>
      <w:lvlText w:val="•"/>
      <w:numFmt w:val="bullet"/>
      <w:start w:val="1"/>
    </w:lvl>
  </w:abstractNum>
  <w:abstractNum w:abstractNumId="5">
    <w:nsid w:val="614FD4A1"/>
    <w:multiLevelType w:val="hybridMultilevel"/>
    <w:lvl w:ilvl="0">
      <w:lvlJc w:val="left"/>
      <w:lvlText w:val="•"/>
      <w:numFmt w:val="bullet"/>
      <w:start w:val="1"/>
    </w:lvl>
  </w:abstractNum>
  <w:abstractNum w:abstractNumId="6">
    <w:nsid w:val="419AC241"/>
    <w:multiLevelType w:val="hybridMultilevel"/>
    <w:lvl w:ilvl="0">
      <w:lvlJc w:val="left"/>
      <w:lvlText w:val="•"/>
      <w:numFmt w:val="bullet"/>
      <w:start w:val="1"/>
    </w:lvl>
  </w:abstractNum>
  <w:abstractNum w:abstractNumId="7">
    <w:nsid w:val="5577F8E1"/>
    <w:multiLevelType w:val="hybridMultilevel"/>
    <w:lvl w:ilvl="0">
      <w:lvlJc w:val="left"/>
      <w:lvlText w:val="•"/>
      <w:numFmt w:val="bullet"/>
      <w:start w:val="1"/>
    </w:lvl>
  </w:abstractNum>
  <w:abstractNum w:abstractNumId="8">
    <w:nsid w:val="440BADFC"/>
    <w:multiLevelType w:val="hybridMultilevel"/>
    <w:lvl w:ilvl="0">
      <w:lvlJc w:val="left"/>
      <w:lvlText w:val="•"/>
      <w:numFmt w:val="bullet"/>
      <w:start w:val="1"/>
    </w:lvl>
  </w:abstractNum>
  <w:abstractNum w:abstractNumId="9">
    <w:nsid w:val="5072367"/>
    <w:multiLevelType w:val="hybridMultilevel"/>
    <w:lvl w:ilvl="0">
      <w:lvlJc w:val="left"/>
      <w:lvlText w:val="•"/>
      <w:numFmt w:val="bullet"/>
      <w:start w:val="1"/>
    </w:lvl>
  </w:abstractNum>
  <w:abstractNum w:abstractNumId="10">
    <w:nsid w:val="3804823E"/>
    <w:multiLevelType w:val="hybridMultilevel"/>
    <w:lvl w:ilvl="0">
      <w:lvlJc w:val="left"/>
      <w:lvlText w:val="•"/>
      <w:numFmt w:val="bullet"/>
      <w:start w:val="1"/>
    </w:lvl>
  </w:abstractNum>
  <w:abstractNum w:abstractNumId="11">
    <w:nsid w:val="77465F01"/>
    <w:multiLevelType w:val="hybridMultilevel"/>
    <w:lvl w:ilvl="0">
      <w:lvlJc w:val="left"/>
      <w:lvlText w:val="•"/>
      <w:numFmt w:val="bullet"/>
      <w:start w:val="1"/>
    </w:lvl>
  </w:abstractNum>
  <w:abstractNum w:abstractNumId="12">
    <w:nsid w:val="7724C67E"/>
    <w:multiLevelType w:val="hybridMultilevel"/>
    <w:lvl w:ilvl="0">
      <w:lvlJc w:val="left"/>
      <w:lvlText w:val="•"/>
      <w:numFmt w:val="bullet"/>
      <w:start w:val="1"/>
    </w:lvl>
  </w:abstractNum>
  <w:abstractNum w:abstractNumId="13">
    <w:nsid w:val="5C482A97"/>
    <w:multiLevelType w:val="hybridMultilevel"/>
    <w:lvl w:ilvl="0">
      <w:lvlJc w:val="left"/>
      <w:lvlText w:val="(%1)"/>
      <w:numFmt w:val="decimal"/>
      <w:start w:val="1"/>
    </w:lvl>
  </w:abstractNum>
  <w:abstractNum w:abstractNumId="14">
    <w:nsid w:val="2463B9EA"/>
    <w:multiLevelType w:val="hybridMultilevel"/>
    <w:lvl w:ilvl="0">
      <w:lvlJc w:val="left"/>
      <w:lvlText w:val="•"/>
      <w:numFmt w:val="bullet"/>
      <w:start w:val="1"/>
    </w:lvl>
  </w:abstractNum>
  <w:abstractNum w:abstractNumId="15">
    <w:nsid w:val="5E884ADC"/>
    <w:multiLevelType w:val="hybridMultilevel"/>
    <w:lvl w:ilvl="0">
      <w:lvlJc w:val="left"/>
      <w:lvlText w:val="•"/>
      <w:numFmt w:val="bullet"/>
      <w:start w:val="1"/>
    </w:lvl>
  </w:abstractNum>
  <w:abstractNum w:abstractNumId="16">
    <w:nsid w:val="51EAD36B"/>
    <w:multiLevelType w:val="hybridMultilevel"/>
    <w:lvl w:ilvl="0">
      <w:lvlJc w:val="left"/>
      <w:lvlText w:val="•"/>
      <w:numFmt w:val="bullet"/>
      <w:start w:val="1"/>
    </w:lvl>
  </w:abstractNum>
  <w:abstractNum w:abstractNumId="17">
    <w:nsid w:val="2D517796"/>
    <w:multiLevelType w:val="hybridMultilevel"/>
    <w:lvl w:ilvl="0">
      <w:lvlJc w:val="left"/>
      <w:lvlText w:val="•"/>
      <w:numFmt w:val="bullet"/>
      <w:start w:val="1"/>
    </w:lvl>
  </w:abstractNum>
  <w:abstractNum w:abstractNumId="18">
    <w:nsid w:val="580BD78F"/>
    <w:multiLevelType w:val="hybridMultilevel"/>
    <w:lvl w:ilvl="0">
      <w:lvlJc w:val="left"/>
      <w:lvlText w:val="•"/>
      <w:numFmt w:val="bullet"/>
      <w:start w:val="1"/>
    </w:lvl>
  </w:abstractNum>
  <w:abstractNum w:abstractNumId="19">
    <w:nsid w:val="153EA438"/>
    <w:multiLevelType w:val="hybridMultilevel"/>
    <w:lvl w:ilvl="0">
      <w:lvlJc w:val="left"/>
      <w:lvlText w:val="(%1)"/>
      <w:numFmt w:val="decimal"/>
      <w:start w:val="1"/>
    </w:lvl>
  </w:abstractNum>
  <w:abstractNum w:abstractNumId="20">
    <w:nsid w:val="3855585C"/>
    <w:multiLevelType w:val="hybridMultilevel"/>
    <w:lvl w:ilvl="0">
      <w:lvlJc w:val="left"/>
      <w:lvlText w:val="*"/>
      <w:numFmt w:val="bullet"/>
      <w:start w:val="1"/>
    </w:lvl>
  </w:abstractNum>
  <w:abstractNum w:abstractNumId="21">
    <w:nsid w:val="70A64E2A"/>
    <w:multiLevelType w:val="hybridMultilevel"/>
    <w:lvl w:ilvl="0">
      <w:lvlJc w:val="left"/>
      <w:lvlText w:val="•"/>
      <w:numFmt w:val="bullet"/>
      <w:start w:val="1"/>
    </w:lvl>
  </w:abstractNum>
  <w:abstractNum w:abstractNumId="22">
    <w:nsid w:val="6A2342EC"/>
    <w:multiLevelType w:val="hybridMultilevel"/>
    <w:lvl w:ilvl="0">
      <w:lvlJc w:val="left"/>
      <w:lvlText w:val="•"/>
      <w:numFmt w:val="bullet"/>
      <w:start w:val="1"/>
    </w:lvl>
  </w:abstractNum>
  <w:abstractNum w:abstractNumId="23">
    <w:nsid w:val="2A487CB0"/>
    <w:multiLevelType w:val="hybridMultilevel"/>
    <w:lvl w:ilvl="0">
      <w:lvlJc w:val="left"/>
      <w:lvlText w:val="(%1)"/>
      <w:numFmt w:val="decimal"/>
      <w:start w:val="1"/>
    </w:lvl>
  </w:abstractNum>
  <w:abstractNum w:abstractNumId="24">
    <w:nsid w:val="1D4ED43B"/>
    <w:multiLevelType w:val="hybridMultilevel"/>
    <w:lvl w:ilvl="0">
      <w:lvlJc w:val="left"/>
      <w:lvlText w:val="(%1)"/>
      <w:numFmt w:val="decimal"/>
      <w:start w:val="1"/>
    </w:lvl>
  </w:abstractNum>
  <w:abstractNum w:abstractNumId="25">
    <w:nsid w:val="725A06FB"/>
    <w:multiLevelType w:val="hybridMultilevel"/>
    <w:lvl w:ilvl="0">
      <w:lvlJc w:val="left"/>
      <w:lvlText w:val="(%1)"/>
      <w:numFmt w:val="lowerLetter"/>
      <w:start w:val="1"/>
    </w:lvl>
  </w:abstractNum>
  <w:abstractNum w:abstractNumId="26">
    <w:nsid w:val="2CD89A32"/>
    <w:multiLevelType w:val="hybridMultilevel"/>
    <w:lvl w:ilvl="0">
      <w:lvlJc w:val="left"/>
      <w:lvlText w:val="%1."/>
      <w:numFmt w:val="decimal"/>
      <w:start w:val="1"/>
    </w:lvl>
  </w:abstractNum>
  <w:abstractNum w:abstractNumId="27">
    <w:nsid w:val="57E4CCAF"/>
    <w:multiLevelType w:val="hybridMultilevel"/>
    <w:lvl w:ilvl="0">
      <w:lvlJc w:val="left"/>
      <w:lvlText w:val="%1."/>
      <w:numFmt w:val="decimal"/>
      <w:start w:val="2"/>
    </w:lvl>
  </w:abstractNum>
  <w:abstractNum w:abstractNumId="28">
    <w:nsid w:val="7A6D8D3C"/>
    <w:multiLevelType w:val="hybridMultilevel"/>
    <w:lvl w:ilvl="0">
      <w:lvlJc w:val="left"/>
      <w:lvlText w:val="%1."/>
      <w:numFmt w:val="decimal"/>
      <w:start w:val="3"/>
    </w:lvl>
  </w:abstractNum>
  <w:abstractNum w:abstractNumId="29">
    <w:nsid w:val="4B588F54"/>
    <w:multiLevelType w:val="hybridMultilevel"/>
    <w:lvl w:ilvl="0">
      <w:lvlJc w:val="left"/>
      <w:lvlText w:val="#"/>
      <w:numFmt w:val="bullet"/>
      <w:start w:val="1"/>
    </w:lvl>
  </w:abstractNum>
  <w:abstractNum w:abstractNumId="30">
    <w:nsid w:val="542289EC"/>
    <w:multiLevelType w:val="hybridMultilevel"/>
    <w:lvl w:ilvl="0">
      <w:lvlJc w:val="left"/>
      <w:lvlText w:val="~"/>
      <w:numFmt w:val="bullet"/>
      <w:start w:val="1"/>
    </w:lvl>
  </w:abstractNum>
  <w:abstractNum w:abstractNumId="31">
    <w:nsid w:val="6DE91B18"/>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32">
    <w:nsid w:val="38437FDB"/>
    <w:multiLevelType w:val="hybridMultilevel"/>
    <w:lvl w:ilvl="0">
      <w:lvlJc w:val="left"/>
      <w:lvlText w:val="%1"/>
      <w:numFmt w:val="lowerLetter"/>
      <w:start w:val="1"/>
    </w:lvl>
    <w:lvl w:ilvl="1">
      <w:lvlJc w:val="left"/>
      <w:lvlText w:val="(%2)"/>
      <w:numFmt w:val="lowerRoman"/>
      <w:start w:val="3"/>
    </w:lvl>
  </w:abstractNum>
  <w:abstractNum w:abstractNumId="33">
    <w:nsid w:val="7644A45C"/>
    <w:multiLevelType w:val="hybridMultilevel"/>
    <w:lvl w:ilvl="0">
      <w:lvlJc w:val="left"/>
      <w:lvlText w:val="(%1)"/>
      <w:numFmt w:val="lowerLetter"/>
      <w:start w:val="8"/>
    </w:lvl>
    <w:lvl w:ilvl="1">
      <w:lvlJc w:val="left"/>
      <w:lvlText w:val="%2"/>
      <w:numFmt w:val="lowerRoman"/>
      <w:start w:val="1"/>
    </w:lvl>
  </w:abstractNum>
  <w:abstractNum w:abstractNumId="34">
    <w:nsid w:val="32FFF902"/>
    <w:multiLevelType w:val="hybridMultilevel"/>
    <w:lvl w:ilvl="0">
      <w:lvlJc w:val="left"/>
      <w:lvlText w:val="(%1)"/>
      <w:numFmt w:val="lowerLetter"/>
      <w:start w:val="18"/>
    </w:lvl>
    <w:lvl w:ilvl="1">
      <w:lvlJc w:val="left"/>
      <w:lvlText w:val="(%2)"/>
      <w:numFmt w:val="lowerRoman"/>
      <w:start w:val="1"/>
    </w:lvl>
  </w:abstractNum>
  <w:abstractNum w:abstractNumId="35">
    <w:nsid w:val="684A481A"/>
    <w:multiLevelType w:val="hybridMultilevel"/>
    <w:lvl w:ilvl="0">
      <w:lvlJc w:val="left"/>
      <w:lvlText w:val="%1"/>
      <w:numFmt w:val="decimal"/>
      <w:start w:val="1"/>
    </w:lvl>
    <w:lvl w:ilvl="1">
      <w:lvlJc w:val="left"/>
      <w:lvlText w:val="(%2)"/>
      <w:numFmt w:val="lowerLetter"/>
      <w:start w:val="27"/>
    </w:lvl>
  </w:abstractNum>
  <w:abstractNum w:abstractNumId="36">
    <w:nsid w:val="579478FE"/>
    <w:multiLevelType w:val="hybridMultilevel"/>
    <w:lvl w:ilvl="0">
      <w:lvlJc w:val="left"/>
      <w:lvlText w:val="%1."/>
      <w:numFmt w:val="decimal"/>
      <w:start w:val="3"/>
    </w:lvl>
    <w:lvl w:ilvl="1">
      <w:lvlJc w:val="left"/>
      <w:lvlText w:val="(%2)"/>
      <w:numFmt w:val="lowerLetter"/>
      <w:start w:val="1"/>
    </w:lvl>
  </w:abstractNum>
  <w:abstractNum w:abstractNumId="37">
    <w:nsid w:val="749ABB43"/>
    <w:multiLevelType w:val="hybridMultilevel"/>
    <w:lvl w:ilvl="0">
      <w:lvlJc w:val="left"/>
      <w:lvlText w:val="%1."/>
      <w:numFmt w:val="decimal"/>
      <w:start w:val="4"/>
    </w:lvl>
    <w:lvl w:ilvl="1">
      <w:lvlJc w:val="left"/>
      <w:lvlText w:val="(%2)"/>
      <w:numFmt w:val="lowerLetter"/>
      <w:start w:val="1"/>
    </w:lvl>
    <w:lvl w:ilvl="2">
      <w:lvlJc w:val="left"/>
      <w:lvlText w:val="(%3)"/>
      <w:numFmt w:val="lowerLetter"/>
      <w:start w:val="9"/>
    </w:lvl>
  </w:abstractNum>
  <w:abstractNum w:abstractNumId="38">
    <w:nsid w:val="3DC240FB"/>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35"/>
    </w:lvl>
  </w:abstractNum>
  <w:abstractNum w:abstractNumId="39">
    <w:nsid w:val="1BA026FA"/>
    <w:multiLevelType w:val="hybridMultilevel"/>
    <w:lvl w:ilvl="0">
      <w:lvlJc w:val="left"/>
      <w:lvlText w:val="(%1)"/>
      <w:numFmt w:val="lowerLetter"/>
      <w:start w:val="9"/>
    </w:lvl>
    <w:lvl w:ilvl="1">
      <w:lvlJc w:val="left"/>
      <w:lvlText w:val="(%2)"/>
      <w:numFmt w:val="lowerLetter"/>
      <w:start w:val="4"/>
    </w:lvl>
    <w:lvl w:ilvl="2">
      <w:lvlJc w:val="left"/>
      <w:lvlText w:val="(%3)"/>
      <w:numFmt w:val="lowerLetter"/>
      <w:start w:val="61"/>
    </w:lvl>
  </w:abstractNum>
  <w:abstractNum w:abstractNumId="40">
    <w:nsid w:val="79A1DEAA"/>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9"/>
    </w:lvl>
  </w:abstractNum>
  <w:abstractNum w:abstractNumId="41">
    <w:nsid w:val="75C6C33A"/>
    <w:multiLevelType w:val="hybridMultilevel"/>
    <w:lvl w:ilvl="0">
      <w:lvlJc w:val="left"/>
      <w:lvlText w:val="%1"/>
      <w:numFmt w:val="lowerLetter"/>
      <w:start w:val="1"/>
    </w:lvl>
    <w:lvl w:ilvl="1">
      <w:lvlJc w:val="left"/>
      <w:lvlText w:val="(%2)"/>
      <w:numFmt w:val="lowerLetter"/>
      <w:start w:val="35"/>
    </w:lvl>
  </w:abstractNum>
  <w:abstractNum w:abstractNumId="42">
    <w:nsid w:val="12E685FB"/>
    <w:multiLevelType w:val="hybridMultilevel"/>
    <w:lvl w:ilvl="0">
      <w:lvlJc w:val="left"/>
      <w:lvlText w:val="(%1)"/>
      <w:numFmt w:val="lowerLetter"/>
      <w:start w:val="6"/>
    </w:lvl>
    <w:lvl w:ilvl="1">
      <w:lvlJc w:val="left"/>
      <w:lvlText w:val="%2"/>
      <w:numFmt w:val="lowerLetter"/>
      <w:start w:val="1"/>
    </w:lvl>
  </w:abstractNum>
  <w:abstractNum w:abstractNumId="43">
    <w:nsid w:val="70C6A529"/>
    <w:multiLevelType w:val="hybridMultilevel"/>
    <w:lvl w:ilvl="0">
      <w:lvlJc w:val="left"/>
      <w:lvlText w:val="%1."/>
      <w:numFmt w:val="decimal"/>
      <w:start w:val="6"/>
    </w:lvl>
  </w:abstractNum>
  <w:abstractNum w:abstractNumId="44">
    <w:nsid w:val="520EEDD1"/>
    <w:multiLevelType w:val="hybridMultilevel"/>
    <w:lvl w:ilvl="0">
      <w:lvlJc w:val="left"/>
      <w:lvlText w:val="%1."/>
      <w:numFmt w:val="decimal"/>
      <w:start w:val="8"/>
    </w:lvl>
    <w:lvl w:ilvl="1">
      <w:lvlJc w:val="left"/>
      <w:lvlText w:val="(%2)"/>
      <w:numFmt w:val="lowerLetter"/>
      <w:start w:val="1"/>
    </w:lvl>
  </w:abstractNum>
  <w:abstractNum w:abstractNumId="45">
    <w:nsid w:val="374A3FE6"/>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46">
    <w:nsid w:val="4F4EF005"/>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47">
    <w:nsid w:val="23F9C13C"/>
    <w:multiLevelType w:val="hybridMultilevel"/>
    <w:lvl w:ilvl="0">
      <w:lvlJc w:val="left"/>
      <w:lvlText w:val="%1."/>
      <w:numFmt w:val="decimal"/>
      <w:start w:val="10"/>
    </w:lvl>
    <w:lvl w:ilvl="1">
      <w:lvlJc w:val="left"/>
      <w:lvlText w:val="(%2)"/>
      <w:numFmt w:val="lowerLetter"/>
      <w:start w:val="1"/>
    </w:lvl>
  </w:abstractNum>
  <w:abstractNum w:abstractNumId="48">
    <w:nsid w:val="649BB77C"/>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49">
    <w:nsid w:val="275AC794"/>
    <w:multiLevelType w:val="hybridMultilevel"/>
    <w:lvl w:ilvl="0">
      <w:lvlJc w:val="left"/>
      <w:lvlText w:val="%1."/>
      <w:numFmt w:val="decimal"/>
      <w:start w:val="12"/>
    </w:lvl>
    <w:lvl w:ilvl="1">
      <w:lvlJc w:val="left"/>
      <w:lvlText w:val="(%2)"/>
      <w:numFmt w:val="lowerLetter"/>
      <w:start w:val="1"/>
    </w:lvl>
    <w:lvl w:ilvl="2">
      <w:lvlJc w:val="left"/>
      <w:lvlText w:val="%3"/>
      <w:numFmt w:val="lowerRoman"/>
      <w:start w:val="1"/>
    </w:lvl>
  </w:abstractNum>
  <w:abstractNum w:abstractNumId="50">
    <w:nsid w:val="39386575"/>
    <w:multiLevelType w:val="hybridMultilevel"/>
    <w:lvl w:ilvl="0">
      <w:lvlJc w:val="left"/>
      <w:lvlText w:val="(%1)"/>
      <w:numFmt w:val="lowerLetter"/>
      <w:start w:val="5"/>
    </w:lvl>
    <w:lvl w:ilvl="1">
      <w:lvlJc w:val="left"/>
      <w:lvlText w:val="(%2)"/>
      <w:numFmt w:val="lowerRoman"/>
      <w:start w:val="1"/>
    </w:lvl>
  </w:abstractNum>
  <w:abstractNum w:abstractNumId="51">
    <w:nsid w:val="1CF10FD8"/>
    <w:multiLevelType w:val="hybridMultilevel"/>
    <w:lvl w:ilvl="0">
      <w:lvlJc w:val="left"/>
      <w:lvlText w:val="%1."/>
      <w:numFmt w:val="decimal"/>
      <w:start w:val="13"/>
    </w:lvl>
    <w:lvl w:ilvl="1">
      <w:lvlJc w:val="left"/>
      <w:lvlText w:val="(%2)"/>
      <w:numFmt w:val="lowerLetter"/>
      <w:start w:val="1"/>
    </w:lvl>
  </w:abstractNum>
  <w:abstractNum w:abstractNumId="52">
    <w:nsid w:val="180115BE"/>
    <w:multiLevelType w:val="hybridMultilevel"/>
    <w:lvl w:ilvl="0">
      <w:lvlJc w:val="left"/>
      <w:lvlText w:val="%1"/>
      <w:numFmt w:val="decimal"/>
      <w:start w:val="1"/>
    </w:lvl>
    <w:lvl w:ilvl="1">
      <w:lvlJc w:val="left"/>
      <w:lvlText w:val="(%2)"/>
      <w:numFmt w:val="lowerLetter"/>
      <w:start w:val="6"/>
    </w:lvl>
  </w:abstractNum>
  <w:abstractNum w:abstractNumId="53">
    <w:nsid w:val="235BA861"/>
    <w:multiLevelType w:val="hybridMultilevel"/>
    <w:lvl w:ilvl="0">
      <w:lvlJc w:val="left"/>
      <w:lvlText w:val="%1."/>
      <w:numFmt w:val="decimal"/>
      <w:start w:val="14"/>
    </w:lvl>
    <w:lvl w:ilvl="1">
      <w:lvlJc w:val="left"/>
      <w:lvlText w:val="(%2)"/>
      <w:numFmt w:val="lowerLetter"/>
      <w:start w:val="1"/>
    </w:lvl>
  </w:abstractNum>
  <w:abstractNum w:abstractNumId="54">
    <w:nsid w:val="47398C89"/>
    <w:multiLevelType w:val="hybridMultilevel"/>
    <w:lvl w:ilvl="0">
      <w:lvlJc w:val="left"/>
      <w:lvlText w:val="(%1)"/>
      <w:numFmt w:val="lowerLetter"/>
      <w:start w:val="2"/>
    </w:lvl>
  </w:abstractNum>
  <w:abstractNum w:abstractNumId="55">
    <w:nsid w:val="354FE9F9"/>
    <w:multiLevelType w:val="hybridMultilevel"/>
    <w:lvl w:ilvl="0">
      <w:lvlJc w:val="left"/>
      <w:lvlText w:val="%1."/>
      <w:numFmt w:val="decimal"/>
      <w:start w:val="19"/>
    </w:lvl>
    <w:lvl w:ilvl="1">
      <w:lvlJc w:val="left"/>
      <w:lvlText w:val="(%2)"/>
      <w:numFmt w:val="lowerLetter"/>
      <w:start w:val="1"/>
    </w:lvl>
  </w:abstractNum>
  <w:abstractNum w:abstractNumId="56">
    <w:nsid w:val="15B5AF5C"/>
    <w:multiLevelType w:val="hybridMultilevel"/>
    <w:lvl w:ilvl="0">
      <w:lvlJc w:val="left"/>
      <w:lvlText w:val="%1"/>
      <w:numFmt w:val="decimal"/>
      <w:start w:val="1"/>
    </w:lvl>
    <w:lvl w:ilvl="1">
      <w:lvlJc w:val="left"/>
      <w:lvlText w:val="(%2)"/>
      <w:numFmt w:val="lowerLetter"/>
      <w:start w:val="2"/>
    </w:lvl>
  </w:abstractNum>
  <w:abstractNum w:abstractNumId="57">
    <w:nsid w:val="741226BB"/>
    <w:multiLevelType w:val="hybridMultilevel"/>
    <w:lvl w:ilvl="0">
      <w:lvlJc w:val="left"/>
      <w:lvlText w:val="%1."/>
      <w:numFmt w:val="decimal"/>
      <w:start w:val="21"/>
    </w:lvl>
    <w:lvl w:ilvl="1">
      <w:lvlJc w:val="left"/>
      <w:lvlText w:val="(%2)"/>
      <w:numFmt w:val="lowerLetter"/>
      <w:start w:val="1"/>
    </w:lvl>
  </w:abstractNum>
  <w:abstractNum w:abstractNumId="58">
    <w:nsid w:val="D34B6A8"/>
    <w:multiLevelType w:val="hybridMultilevel"/>
    <w:lvl w:ilvl="0">
      <w:lvlJc w:val="left"/>
      <w:lvlText w:val="%1."/>
      <w:numFmt w:val="decimal"/>
      <w:start w:val="1"/>
    </w:lvl>
    <w:lvl w:ilvl="1">
      <w:lvlJc w:val="left"/>
      <w:lvlText w:val="%2)"/>
      <w:numFmt w:val="lowerLetter"/>
      <w:start w:val="1"/>
    </w:lvl>
  </w:abstractNum>
  <w:abstractNum w:abstractNumId="59">
    <w:nsid w:val="10233C99"/>
    <w:multiLevelType w:val="hybridMultilevel"/>
    <w:lvl w:ilvl="0">
      <w:lvlJc w:val="left"/>
      <w:lvlText w:val="%1."/>
      <w:numFmt w:val="decimal"/>
      <w:start w:val="1"/>
    </w:lvl>
    <w:lvl w:ilvl="1">
      <w:lvlJc w:val="left"/>
      <w:lvlText w:val="%2)"/>
      <w:numFmt w:val="lowerLetter"/>
      <w:start w:val="1"/>
    </w:lvl>
  </w:abstractNum>
  <w:abstractNum w:abstractNumId="60">
    <w:nsid w:val="3F6AB60F"/>
    <w:multiLevelType w:val="hybridMultilevel"/>
    <w:lvl w:ilvl="0">
      <w:lvlJc w:val="left"/>
      <w:lvlText w:val="(%1)"/>
      <w:numFmt w:val="lowerRoman"/>
      <w:start w:val="1"/>
    </w:lvl>
  </w:abstractNum>
  <w:abstractNum w:abstractNumId="61">
    <w:nsid w:val="61574095"/>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jpe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2019-12-06T18:59:16Z</dcterms:created>
  <dcterms:modified xsi:type="dcterms:W3CDTF">2019-12-06T18:59:16Z</dcterms:modified>
</cp:coreProperties>
</file>