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166370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208915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227330</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27"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247015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71"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Pursuant to Section 13 or 15(d)</w:t>
      </w:r>
    </w:p>
    <w:p>
      <w:pPr>
        <w:jc w:val="center"/>
        <w:ind w:right="-39"/>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82"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Date of Report (Date of earliest event reported): February 20, 2014</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234315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35" w:lineRule="exact"/>
        <w:rPr>
          <w:sz w:val="24"/>
          <w:szCs w:val="24"/>
          <w:color w:val="auto"/>
        </w:rPr>
      </w:pPr>
    </w:p>
    <w:p>
      <w:pPr>
        <w:jc w:val="center"/>
        <w:ind w:right="-39"/>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236220</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ind w:left="158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jc w:val="center"/>
        <w:ind w:right="2200"/>
        <w:spacing w:after="0"/>
        <w:rPr>
          <w:sz w:val="20"/>
          <w:szCs w:val="20"/>
          <w:color w:val="auto"/>
        </w:rPr>
      </w:pPr>
      <w:r>
        <w:rPr>
          <w:rFonts w:ascii="Arial" w:cs="Arial" w:eastAsia="Arial" w:hAnsi="Arial"/>
          <w:sz w:val="16"/>
          <w:szCs w:val="16"/>
          <w:b w:val="1"/>
          <w:bCs w:val="1"/>
          <w:color w:val="auto"/>
        </w:rPr>
        <w:t>000-30877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4"/>
          <w:szCs w:val="24"/>
          <w:color w:val="auto"/>
        </w:rPr>
      </w:pPr>
    </w:p>
    <w:p>
      <w:pPr>
        <w:sectPr>
          <w:pgSz w:w="11900" w:h="16838" w:orient="portrait"/>
          <w:cols w:equalWidth="0" w:num="3">
            <w:col w:w="4740" w:space="720"/>
            <w:col w:w="2980" w:space="720"/>
            <w:col w:w="2220"/>
          </w:cols>
          <w:pgMar w:left="240" w:top="368" w:right="279" w:bottom="1440" w:gutter="0" w:footer="0" w:header="0"/>
          <w:type w:val="continuous"/>
        </w:sectPr>
      </w:pPr>
    </w:p>
    <w:p>
      <w:pPr>
        <w:spacing w:after="0" w:line="12" w:lineRule="exact"/>
        <w:rPr>
          <w:sz w:val="24"/>
          <w:szCs w:val="24"/>
          <w:color w:val="auto"/>
        </w:rPr>
      </w:pPr>
    </w:p>
    <w:p>
      <w:pPr>
        <w:jc w:val="center"/>
        <w:ind w:right="820"/>
        <w:spacing w:after="0"/>
        <w:rPr>
          <w:sz w:val="20"/>
          <w:szCs w:val="20"/>
          <w:color w:val="auto"/>
        </w:rPr>
      </w:pPr>
      <w:r>
        <w:rPr>
          <w:rFonts w:ascii="Arial" w:cs="Arial" w:eastAsia="Arial" w:hAnsi="Arial"/>
          <w:sz w:val="13"/>
          <w:szCs w:val="13"/>
          <w:b w:val="1"/>
          <w:bCs w:val="1"/>
          <w:color w:val="auto"/>
        </w:rPr>
        <w:t>(State or other jurisdiction</w:t>
      </w:r>
    </w:p>
    <w:p>
      <w:pPr>
        <w:jc w:val="center"/>
        <w:ind w:right="82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4"/>
          <w:szCs w:val="14"/>
          <w:b w:val="1"/>
          <w:bCs w:val="1"/>
          <w:color w:val="auto"/>
        </w:rPr>
        <w:t>(I.R.S. Employer</w:t>
      </w:r>
    </w:p>
    <w:p>
      <w:pPr>
        <w:spacing w:after="0"/>
        <w:rPr>
          <w:sz w:val="20"/>
          <w:szCs w:val="20"/>
          <w:color w:val="auto"/>
        </w:rPr>
      </w:pPr>
      <w:r>
        <w:rPr>
          <w:rFonts w:ascii="Arial" w:cs="Arial" w:eastAsia="Arial" w:hAnsi="Arial"/>
          <w:sz w:val="13"/>
          <w:szCs w:val="13"/>
          <w:b w:val="1"/>
          <w:bCs w:val="1"/>
          <w:color w:val="auto"/>
        </w:rPr>
        <w:t>Identification No.)</w:t>
      </w:r>
    </w:p>
    <w:p>
      <w:pPr>
        <w:spacing w:after="0" w:line="211" w:lineRule="exact"/>
        <w:rPr>
          <w:sz w:val="24"/>
          <w:szCs w:val="24"/>
          <w:color w:val="auto"/>
        </w:rPr>
      </w:pPr>
    </w:p>
    <w:p>
      <w:pPr>
        <w:sectPr>
          <w:pgSz w:w="11900" w:h="16838" w:orient="portrait"/>
          <w:cols w:equalWidth="0" w:num="3">
            <w:col w:w="4700" w:space="720"/>
            <w:col w:w="2900" w:space="720"/>
            <w:col w:w="2340"/>
          </w:cols>
          <w:pgMar w:left="240" w:top="368" w:right="279" w:bottom="1440" w:gutter="0" w:footer="0" w:header="0"/>
          <w:type w:val="continuous"/>
        </w:sectPr>
      </w:pPr>
    </w:p>
    <w:p>
      <w:pPr>
        <w:spacing w:after="0" w:line="6"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9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9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59"/>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242570</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type w:val="continuous"/>
        </w:sectPr>
      </w:pPr>
    </w:p>
    <w:p>
      <w:pPr>
        <w:spacing w:after="0" w:line="200" w:lineRule="exact"/>
        <w:rPr>
          <w:sz w:val="24"/>
          <w:szCs w:val="24"/>
          <w:color w:val="auto"/>
        </w:rPr>
      </w:pPr>
    </w:p>
    <w:p>
      <w:pPr>
        <w:spacing w:after="0" w:line="397"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76"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160655</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203835</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type w:val="continuous"/>
        </w:sectPr>
      </w:pPr>
    </w:p>
    <w:bookmarkStart w:id="1" w:name="page2"/>
    <w:bookmarkEnd w:id="1"/>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2.02 Results of Operations and Financial Condition.</w:t>
      </w:r>
    </w:p>
    <w:p>
      <w:pPr>
        <w:spacing w:after="0" w:line="121" w:lineRule="exact"/>
        <w:rPr>
          <w:sz w:val="20"/>
          <w:szCs w:val="20"/>
          <w:color w:val="auto"/>
        </w:rPr>
      </w:pPr>
    </w:p>
    <w:p>
      <w:pPr>
        <w:ind w:right="20" w:firstLine="456"/>
        <w:spacing w:after="0" w:line="302" w:lineRule="auto"/>
        <w:rPr>
          <w:sz w:val="20"/>
          <w:szCs w:val="20"/>
          <w:color w:val="auto"/>
        </w:rPr>
      </w:pPr>
      <w:r>
        <w:rPr>
          <w:rFonts w:ascii="Arial" w:cs="Arial" w:eastAsia="Arial" w:hAnsi="Arial"/>
          <w:sz w:val="16"/>
          <w:szCs w:val="16"/>
          <w:color w:val="auto"/>
        </w:rPr>
        <w:t>The information in Item 2.02 of this Current Report, including the accompanying Exhibit 99.1, is being furnished and shall not be deemed “filed” for the purposes of Section 18 of the Securities Exchange Act of 1934, as amended (the “Exchange Act”), or otherwise subject to the liabilities of Section 18. The information in Item 2.02 of this Current Report shall not be incorporated by reference into any registration statement or other document filed pursuant to the Securities Act of 1933, as amended, or the Exchange Act, regardless of any general incorporation language contained in such filing.</w:t>
      </w:r>
    </w:p>
    <w:p>
      <w:pPr>
        <w:spacing w:after="0" w:line="154" w:lineRule="exact"/>
        <w:rPr>
          <w:sz w:val="20"/>
          <w:szCs w:val="20"/>
          <w:color w:val="auto"/>
        </w:rPr>
      </w:pPr>
    </w:p>
    <w:p>
      <w:pPr>
        <w:ind w:right="100" w:firstLine="456"/>
        <w:spacing w:after="0" w:line="308" w:lineRule="auto"/>
        <w:rPr>
          <w:sz w:val="20"/>
          <w:szCs w:val="20"/>
          <w:color w:val="auto"/>
        </w:rPr>
      </w:pPr>
      <w:r>
        <w:rPr>
          <w:rFonts w:ascii="Arial" w:cs="Arial" w:eastAsia="Arial" w:hAnsi="Arial"/>
          <w:sz w:val="17"/>
          <w:szCs w:val="17"/>
          <w:color w:val="auto"/>
        </w:rPr>
        <w:t>On February 20, 2014, Marvell Technology Group Ltd. (“Marvell”) issued a press release regarding its financial results for its fourth fiscal quarter and fiscal year ended February 1, 2014. A copy of the press release is furnished herewith as Exhibit 99.1 and is incorporated by reference herein.</w:t>
      </w:r>
    </w:p>
    <w:p>
      <w:pPr>
        <w:spacing w:after="0" w:line="25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Discussion of Non-GAAP Financial Measures</w:t>
      </w:r>
    </w:p>
    <w:p>
      <w:pPr>
        <w:spacing w:after="0" w:line="121" w:lineRule="exact"/>
        <w:rPr>
          <w:sz w:val="20"/>
          <w:szCs w:val="20"/>
          <w:color w:val="auto"/>
        </w:rPr>
      </w:pPr>
    </w:p>
    <w:p>
      <w:pPr>
        <w:ind w:right="60" w:firstLine="456"/>
        <w:spacing w:after="0" w:line="257" w:lineRule="auto"/>
        <w:rPr>
          <w:sz w:val="20"/>
          <w:szCs w:val="20"/>
          <w:color w:val="auto"/>
        </w:rPr>
      </w:pPr>
      <w:r>
        <w:rPr>
          <w:rFonts w:ascii="Arial" w:cs="Arial" w:eastAsia="Arial" w:hAnsi="Arial"/>
          <w:sz w:val="18"/>
          <w:szCs w:val="18"/>
          <w:color w:val="auto"/>
        </w:rPr>
        <w:t>In addition to disclosing financial results calculated in accordance with U.S. generally accepted accounting principles (“GAAP”), Marvell also reports non-GAAP financial measures. Pursuant to the requirements of Regulation G, Marvell has provided reconciliations with the press release of the non-GAAP financial measures to the most directly comparable GAAP financial measures included in the press release. Non-GAAP financial measures exclude the effect of share-based compensation, amortization and write-off of acquired intangible assets, acquisition-related costs, restructuring and other exit-related costs, and certain one-time expenses and benefits.</w:t>
      </w:r>
    </w:p>
    <w:p>
      <w:pPr>
        <w:spacing w:after="0" w:line="188"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Marvell believes that the presentation of non-GAAP financial measures provide important supplemental information to management and investors regarding financial and business trends relating to its financial condition and results of operations. While Marvell uses non-GAAP financial measures as a tool to enhance its understanding of certain aspects of its financial performance, Marvell does not consider these measures to be a substitute for, or superior to, the information provided by GAAP financial measures. Consistent with this approach, Marvell believes that disclosing non-GAAP financial measures to the readers of its financial statements provides such readers with useful supplemental data that, while not a substitute for GAAP financial measures, allows for greater transparency in the review of its financial and operational performance. Marvell has chosen to provide this information to investors to enable them to perform comparisons of operating results in a manner similar to how Marvell analyzes its operating results internally. Management also believes that these non-GAAP financial measures may be used to facilitate comparisons of Marvell’s results with that of other companies in its industry.</w:t>
      </w:r>
    </w:p>
    <w:p>
      <w:pPr>
        <w:spacing w:after="0" w:line="166" w:lineRule="exact"/>
        <w:rPr>
          <w:sz w:val="20"/>
          <w:szCs w:val="20"/>
          <w:color w:val="auto"/>
        </w:rPr>
      </w:pPr>
    </w:p>
    <w:p>
      <w:pPr>
        <w:ind w:right="340" w:firstLine="456"/>
        <w:spacing w:after="0" w:line="308" w:lineRule="auto"/>
        <w:rPr>
          <w:sz w:val="20"/>
          <w:szCs w:val="20"/>
          <w:color w:val="auto"/>
        </w:rPr>
      </w:pPr>
      <w:r>
        <w:rPr>
          <w:rFonts w:ascii="Arial" w:cs="Arial" w:eastAsia="Arial" w:hAnsi="Arial"/>
          <w:sz w:val="17"/>
          <w:szCs w:val="17"/>
          <w:color w:val="auto"/>
        </w:rPr>
        <w:t>Externally, management believes that investors may find Marvell’s non-GAAP financial measures useful in their assessment of Marvell’s operating performance and the valuation of Marvell. Internally, Marvell’s non-GAAP financial measures are used in the following areas:</w:t>
      </w:r>
    </w:p>
    <w:p>
      <w:pPr>
        <w:spacing w:after="0" w:line="52" w:lineRule="exact"/>
        <w:rPr>
          <w:sz w:val="20"/>
          <w:szCs w:val="20"/>
          <w:color w:val="auto"/>
        </w:rPr>
      </w:pPr>
    </w:p>
    <w:p>
      <w:pPr>
        <w:ind w:left="1480" w:right="220" w:hanging="446"/>
        <w:spacing w:after="0" w:line="277" w:lineRule="auto"/>
        <w:tabs>
          <w:tab w:leader="none" w:pos="148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determination of the achievement and measurement of certain performance-based equity awards (adjustments may vary from award to award);</w:t>
      </w:r>
    </w:p>
    <w:p>
      <w:pPr>
        <w:spacing w:after="0" w:line="75" w:lineRule="exact"/>
        <w:rPr>
          <w:rFonts w:ascii="Arial" w:cs="Arial" w:eastAsia="Arial" w:hAnsi="Arial"/>
          <w:sz w:val="18"/>
          <w:szCs w:val="18"/>
          <w:color w:val="auto"/>
        </w:rPr>
      </w:pPr>
    </w:p>
    <w:p>
      <w:pPr>
        <w:ind w:left="1480" w:hanging="446"/>
        <w:spacing w:after="0"/>
        <w:tabs>
          <w:tab w:leader="none" w:pos="148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evaluation of Marvell’s operating performance;</w:t>
      </w:r>
    </w:p>
    <w:p>
      <w:pPr>
        <w:spacing w:after="0" w:line="130" w:lineRule="exact"/>
        <w:rPr>
          <w:rFonts w:ascii="Arial" w:cs="Arial" w:eastAsia="Arial" w:hAnsi="Arial"/>
          <w:sz w:val="18"/>
          <w:szCs w:val="18"/>
          <w:color w:val="auto"/>
        </w:rPr>
      </w:pPr>
    </w:p>
    <w:p>
      <w:pPr>
        <w:ind w:left="1480" w:hanging="446"/>
        <w:spacing w:after="0"/>
        <w:tabs>
          <w:tab w:leader="none" w:pos="148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establishment of internal operating budgets; and</w:t>
      </w:r>
    </w:p>
    <w:p>
      <w:pPr>
        <w:spacing w:after="0" w:line="130" w:lineRule="exact"/>
        <w:rPr>
          <w:rFonts w:ascii="Arial" w:cs="Arial" w:eastAsia="Arial" w:hAnsi="Arial"/>
          <w:sz w:val="18"/>
          <w:szCs w:val="18"/>
          <w:color w:val="auto"/>
        </w:rPr>
      </w:pPr>
    </w:p>
    <w:p>
      <w:pPr>
        <w:ind w:left="1480" w:hanging="446"/>
        <w:spacing w:after="0"/>
        <w:tabs>
          <w:tab w:leader="none" w:pos="148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performance comparisons with internal forecasts and targeted business models.</w:t>
      </w:r>
    </w:p>
    <w:p>
      <w:pPr>
        <w:spacing w:after="0" w:line="22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Non-GAAP financial measures are adjusted by the exclusion of the following items:</w:t>
      </w:r>
    </w:p>
    <w:p>
      <w:pPr>
        <w:spacing w:after="0" w:line="131" w:lineRule="exact"/>
        <w:rPr>
          <w:sz w:val="20"/>
          <w:szCs w:val="20"/>
          <w:color w:val="auto"/>
        </w:rPr>
      </w:pPr>
    </w:p>
    <w:p>
      <w:pPr>
        <w:ind w:left="1480" w:right="100" w:hanging="446"/>
        <w:spacing w:after="0" w:line="273" w:lineRule="auto"/>
        <w:tabs>
          <w:tab w:leader="none" w:pos="1480" w:val="left"/>
        </w:tabs>
        <w:numPr>
          <w:ilvl w:val="0"/>
          <w:numId w:val="3"/>
        </w:numPr>
        <w:rPr>
          <w:rFonts w:ascii="Arial" w:cs="Arial" w:eastAsia="Arial" w:hAnsi="Arial"/>
          <w:sz w:val="17"/>
          <w:szCs w:val="17"/>
          <w:color w:val="auto"/>
        </w:rPr>
      </w:pPr>
      <w:r>
        <w:rPr>
          <w:rFonts w:ascii="Arial" w:cs="Arial" w:eastAsia="Arial" w:hAnsi="Arial"/>
          <w:sz w:val="17"/>
          <w:szCs w:val="17"/>
          <w:i w:val="1"/>
          <w:iCs w:val="1"/>
          <w:color w:val="auto"/>
        </w:rPr>
        <w:t>Share-based compensation</w:t>
      </w:r>
      <w:r>
        <w:rPr>
          <w:rFonts w:ascii="Arial" w:cs="Arial" w:eastAsia="Arial" w:hAnsi="Arial"/>
          <w:sz w:val="17"/>
          <w:szCs w:val="17"/>
          <w:color w:val="auto"/>
        </w:rPr>
        <w:t>. Share-based compensation relates primarily to employee stock options, restricted stock units and the</w:t>
      </w:r>
      <w:r>
        <w:rPr>
          <w:rFonts w:ascii="Arial" w:cs="Arial" w:eastAsia="Arial" w:hAnsi="Arial"/>
          <w:sz w:val="17"/>
          <w:szCs w:val="17"/>
          <w:i w:val="1"/>
          <w:iCs w:val="1"/>
          <w:color w:val="auto"/>
        </w:rPr>
        <w:t xml:space="preserve"> </w:t>
      </w:r>
      <w:r>
        <w:rPr>
          <w:rFonts w:ascii="Arial" w:cs="Arial" w:eastAsia="Arial" w:hAnsi="Arial"/>
          <w:sz w:val="17"/>
          <w:szCs w:val="17"/>
          <w:color w:val="auto"/>
        </w:rPr>
        <w:t>employee stock purchase plan. Share-based compensation expense is a non-cash expense that is affected by changes in market forces, such as the price of Marvell’s common shares, which is not within the control of management. In addition, the valuation of share-based compensation is highly subjective, and the expense recognized by Marvell may be significantly different than the expense recognized by other companies for similar equity awards, which makes it difficult to assess Marvell’s results compared to its competitors. Accordingly, management excludes this item from its internal operating forecasts and models.</w:t>
      </w:r>
    </w:p>
    <w:p>
      <w:pPr>
        <w:spacing w:after="0" w:line="11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20"/>
          </w:cols>
          <w:pgMar w:left="240" w:top="270" w:right="239" w:bottom="1440" w:gutter="0" w:footer="0" w:header="0"/>
        </w:sectPr>
      </w:pPr>
    </w:p>
    <w:bookmarkStart w:id="2" w:name="page3"/>
    <w:bookmarkEnd w:id="2"/>
    <w:p>
      <w:pPr>
        <w:ind w:left="1480" w:right="20" w:hanging="446"/>
        <w:spacing w:after="0" w:line="264" w:lineRule="auto"/>
        <w:tabs>
          <w:tab w:leader="none" w:pos="1480" w:val="left"/>
        </w:tabs>
        <w:numPr>
          <w:ilvl w:val="0"/>
          <w:numId w:val="4"/>
        </w:numPr>
        <w:rPr>
          <w:rFonts w:ascii="Arial" w:cs="Arial" w:eastAsia="Arial" w:hAnsi="Arial"/>
          <w:sz w:val="18"/>
          <w:szCs w:val="18"/>
          <w:color w:val="auto"/>
        </w:rPr>
      </w:pPr>
      <w:r>
        <w:rPr>
          <w:rFonts w:ascii="Arial" w:cs="Arial" w:eastAsia="Arial" w:hAnsi="Arial"/>
          <w:sz w:val="18"/>
          <w:szCs w:val="18"/>
          <w:i w:val="1"/>
          <w:i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Amortization and write-off of acquired intangible assets</w:t>
      </w:r>
      <w:r>
        <w:rPr>
          <w:rFonts w:ascii="Arial" w:cs="Arial" w:eastAsia="Arial" w:hAnsi="Arial"/>
          <w:sz w:val="18"/>
          <w:szCs w:val="18"/>
          <w:color w:val="auto"/>
        </w:rPr>
        <w:t>. Purchased intangible assets relate primarily to existing and core technology, and</w:t>
      </w:r>
      <w:r>
        <w:rPr>
          <w:rFonts w:ascii="Arial" w:cs="Arial" w:eastAsia="Arial" w:hAnsi="Arial"/>
          <w:sz w:val="18"/>
          <w:szCs w:val="18"/>
          <w:i w:val="1"/>
          <w:iCs w:val="1"/>
          <w:color w:val="auto"/>
        </w:rPr>
        <w:t xml:space="preserve"> </w:t>
      </w:r>
      <w:r>
        <w:rPr>
          <w:rFonts w:ascii="Arial" w:cs="Arial" w:eastAsia="Arial" w:hAnsi="Arial"/>
          <w:sz w:val="18"/>
          <w:szCs w:val="18"/>
          <w:color w:val="auto"/>
        </w:rPr>
        <w:t>customer relationships of acquired businesses. Management considers these charges non-cash in nature and unrelated to Marvell’s core operating performance.</w:t>
      </w:r>
    </w:p>
    <w:p>
      <w:pPr>
        <w:spacing w:after="0" w:line="86" w:lineRule="exact"/>
        <w:rPr>
          <w:rFonts w:ascii="Arial" w:cs="Arial" w:eastAsia="Arial" w:hAnsi="Arial"/>
          <w:sz w:val="18"/>
          <w:szCs w:val="18"/>
          <w:color w:val="auto"/>
        </w:rPr>
      </w:pPr>
    </w:p>
    <w:p>
      <w:pPr>
        <w:ind w:left="1480" w:right="80" w:hanging="446"/>
        <w:spacing w:after="0" w:line="257" w:lineRule="auto"/>
        <w:tabs>
          <w:tab w:leader="none" w:pos="1480" w:val="left"/>
        </w:tabs>
        <w:numPr>
          <w:ilvl w:val="0"/>
          <w:numId w:val="4"/>
        </w:numPr>
        <w:rPr>
          <w:rFonts w:ascii="Arial" w:cs="Arial" w:eastAsia="Arial" w:hAnsi="Arial"/>
          <w:sz w:val="18"/>
          <w:szCs w:val="18"/>
          <w:color w:val="auto"/>
        </w:rPr>
      </w:pPr>
      <w:r>
        <w:rPr>
          <w:rFonts w:ascii="Arial" w:cs="Arial" w:eastAsia="Arial" w:hAnsi="Arial"/>
          <w:sz w:val="18"/>
          <w:szCs w:val="18"/>
          <w:i w:val="1"/>
          <w:iCs w:val="1"/>
          <w:color w:val="auto"/>
        </w:rPr>
        <w:t>Acquisition-related costs</w:t>
      </w:r>
      <w:r>
        <w:rPr>
          <w:rFonts w:ascii="Arial" w:cs="Arial" w:eastAsia="Arial" w:hAnsi="Arial"/>
          <w:sz w:val="18"/>
          <w:szCs w:val="18"/>
          <w:color w:val="auto"/>
        </w:rPr>
        <w:t>. Acquisition-related costs primarily include the step-up in fair value of acquired inventory that was sold during</w:t>
      </w:r>
      <w:r>
        <w:rPr>
          <w:rFonts w:ascii="Arial" w:cs="Arial" w:eastAsia="Arial" w:hAnsi="Arial"/>
          <w:sz w:val="18"/>
          <w:szCs w:val="18"/>
          <w:i w:val="1"/>
          <w:iCs w:val="1"/>
          <w:color w:val="auto"/>
        </w:rPr>
        <w:t xml:space="preserve"> </w:t>
      </w:r>
      <w:r>
        <w:rPr>
          <w:rFonts w:ascii="Arial" w:cs="Arial" w:eastAsia="Arial" w:hAnsi="Arial"/>
          <w:sz w:val="18"/>
          <w:szCs w:val="18"/>
          <w:color w:val="auto"/>
        </w:rPr>
        <w:t>the period, and the amortization of retention bonuses required by the terms of the acquisition. Management believes these charges are unrelated to the core operating activities for Marvell, and the frequency and variability in the nature of the charges can vary significantly from period to period. Excluding this data provides investors with a basis to compare Marvell’s performance against the performance of other companies without this variability.</w:t>
      </w:r>
    </w:p>
    <w:p>
      <w:pPr>
        <w:spacing w:after="0" w:line="93" w:lineRule="exact"/>
        <w:rPr>
          <w:rFonts w:ascii="Arial" w:cs="Arial" w:eastAsia="Arial" w:hAnsi="Arial"/>
          <w:sz w:val="18"/>
          <w:szCs w:val="18"/>
          <w:color w:val="auto"/>
        </w:rPr>
      </w:pPr>
    </w:p>
    <w:p>
      <w:pPr>
        <w:ind w:left="1480" w:hanging="446"/>
        <w:spacing w:after="0" w:line="293" w:lineRule="auto"/>
        <w:tabs>
          <w:tab w:leader="none" w:pos="1480" w:val="left"/>
        </w:tabs>
        <w:numPr>
          <w:ilvl w:val="0"/>
          <w:numId w:val="4"/>
        </w:numPr>
        <w:rPr>
          <w:rFonts w:ascii="Arial" w:cs="Arial" w:eastAsia="Arial" w:hAnsi="Arial"/>
          <w:sz w:val="16"/>
          <w:szCs w:val="16"/>
          <w:color w:val="auto"/>
        </w:rPr>
      </w:pPr>
      <w:r>
        <w:rPr>
          <w:rFonts w:ascii="Arial" w:cs="Arial" w:eastAsia="Arial" w:hAnsi="Arial"/>
          <w:sz w:val="16"/>
          <w:szCs w:val="16"/>
          <w:i w:val="1"/>
          <w:iCs w:val="1"/>
          <w:color w:val="auto"/>
        </w:rPr>
        <w:t>Restructuring and other exit-related costs</w:t>
      </w:r>
      <w:r>
        <w:rPr>
          <w:rFonts w:ascii="Arial" w:cs="Arial" w:eastAsia="Arial" w:hAnsi="Arial"/>
          <w:sz w:val="16"/>
          <w:szCs w:val="16"/>
          <w:color w:val="auto"/>
        </w:rPr>
        <w:t>. Restructuring and other exit-related costs include costs which qualify under U.S. GAAP as</w:t>
      </w:r>
      <w:r>
        <w:rPr>
          <w:rFonts w:ascii="Arial" w:cs="Arial" w:eastAsia="Arial" w:hAnsi="Arial"/>
          <w:sz w:val="16"/>
          <w:szCs w:val="16"/>
          <w:i w:val="1"/>
          <w:iCs w:val="1"/>
          <w:color w:val="auto"/>
        </w:rPr>
        <w:t xml:space="preserve"> </w:t>
      </w:r>
      <w:r>
        <w:rPr>
          <w:rFonts w:ascii="Arial" w:cs="Arial" w:eastAsia="Arial" w:hAnsi="Arial"/>
          <w:sz w:val="16"/>
          <w:szCs w:val="16"/>
          <w:color w:val="auto"/>
        </w:rPr>
        <w:t>restructuring costs, as well as operating expenses related to a product line classified as held-for-sale which did not qualify as discontinued operations. These charges are not directly related to Marvell’s ongoing or core business results. Management regularly excludes such items from internal operating forecasts and models because they are not considered a core operating activity for Marvell and because the frequency and variability in the nature of the charges can vary significantly from period to period. Excluding this data provides investors with a basis to compare Marvell’s performance against the performance of other companies without this variability.</w:t>
      </w:r>
    </w:p>
    <w:p>
      <w:pPr>
        <w:spacing w:after="0" w:line="70" w:lineRule="exact"/>
        <w:rPr>
          <w:rFonts w:ascii="Arial" w:cs="Arial" w:eastAsia="Arial" w:hAnsi="Arial"/>
          <w:sz w:val="16"/>
          <w:szCs w:val="16"/>
          <w:color w:val="auto"/>
        </w:rPr>
      </w:pPr>
    </w:p>
    <w:p>
      <w:pPr>
        <w:ind w:left="1480" w:right="40" w:hanging="446"/>
        <w:spacing w:after="0" w:line="259" w:lineRule="auto"/>
        <w:tabs>
          <w:tab w:leader="none" w:pos="1480" w:val="left"/>
        </w:tabs>
        <w:numPr>
          <w:ilvl w:val="0"/>
          <w:numId w:val="4"/>
        </w:numPr>
        <w:rPr>
          <w:rFonts w:ascii="Arial" w:cs="Arial" w:eastAsia="Arial" w:hAnsi="Arial"/>
          <w:sz w:val="18"/>
          <w:szCs w:val="18"/>
          <w:color w:val="auto"/>
        </w:rPr>
      </w:pPr>
      <w:r>
        <w:rPr>
          <w:rFonts w:ascii="Arial" w:cs="Arial" w:eastAsia="Arial" w:hAnsi="Arial"/>
          <w:sz w:val="18"/>
          <w:szCs w:val="18"/>
          <w:i w:val="1"/>
          <w:iCs w:val="1"/>
          <w:color w:val="auto"/>
        </w:rPr>
        <w:t>Other</w:t>
      </w:r>
      <w:r>
        <w:rPr>
          <w:rFonts w:ascii="Arial" w:cs="Arial" w:eastAsia="Arial" w:hAnsi="Arial"/>
          <w:sz w:val="18"/>
          <w:szCs w:val="18"/>
          <w:color w:val="auto"/>
        </w:rPr>
        <w:t>. From time to time, Marvell has other costs/benefits that are not directly related to Marvell’s ongoing or core business results. For</w:t>
      </w:r>
      <w:r>
        <w:rPr>
          <w:rFonts w:ascii="Arial" w:cs="Arial" w:eastAsia="Arial" w:hAnsi="Arial"/>
          <w:sz w:val="18"/>
          <w:szCs w:val="18"/>
          <w:i w:val="1"/>
          <w:iCs w:val="1"/>
          <w:color w:val="auto"/>
        </w:rPr>
        <w:t xml:space="preserve"> </w:t>
      </w:r>
      <w:r>
        <w:rPr>
          <w:rFonts w:ascii="Arial" w:cs="Arial" w:eastAsia="Arial" w:hAnsi="Arial"/>
          <w:sz w:val="18"/>
          <w:szCs w:val="18"/>
          <w:color w:val="auto"/>
        </w:rPr>
        <w:t>example, in the fourth quarter ended February 1, 2014, Marvell recorded a gain of $7.0 million from the sale of a product line. Excluding this data provides investors with a basis to compare Marvell’s performance against the performance of other companies without this variability.</w:t>
      </w:r>
    </w:p>
    <w:p>
      <w:pPr>
        <w:spacing w:after="0" w:line="18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calculation of non-GAAP net income per share is adjusted for the following item:</w:t>
      </w:r>
    </w:p>
    <w:p>
      <w:pPr>
        <w:spacing w:after="0" w:line="131" w:lineRule="exact"/>
        <w:rPr>
          <w:sz w:val="20"/>
          <w:szCs w:val="20"/>
          <w:color w:val="auto"/>
        </w:rPr>
      </w:pPr>
    </w:p>
    <w:p>
      <w:pPr>
        <w:ind w:left="1480" w:right="20" w:hanging="446"/>
        <w:spacing w:after="0" w:line="272" w:lineRule="auto"/>
        <w:tabs>
          <w:tab w:leader="none" w:pos="1480" w:val="left"/>
        </w:tabs>
        <w:numPr>
          <w:ilvl w:val="0"/>
          <w:numId w:val="5"/>
        </w:numPr>
        <w:rPr>
          <w:rFonts w:ascii="Arial" w:cs="Arial" w:eastAsia="Arial" w:hAnsi="Arial"/>
          <w:sz w:val="17"/>
          <w:szCs w:val="17"/>
          <w:color w:val="auto"/>
        </w:rPr>
      </w:pPr>
      <w:r>
        <w:rPr>
          <w:rFonts w:ascii="Arial" w:cs="Arial" w:eastAsia="Arial" w:hAnsi="Arial"/>
          <w:sz w:val="17"/>
          <w:szCs w:val="17"/>
          <w:color w:val="auto"/>
        </w:rPr>
        <w:t>Non-GAAP net income per share is calculated by dividing non-GAAP net income by non-GAAP weighted average shares (diluted). For purposes of calculating non-GAAP net income per share, the GAAP weighted average shares outstanding (diluted) is adjusted to exclude the potential benefits of share-based compensation expected to be incurred in future periods but not yet recognized in the financial statements. For GAAP purposes under the treasury stock method, this future share-based compensation is treated as proceeds assumed to be used to repurchase shares. Since Marvell’s non-GAAP net income does not include share-based compensation, management believes the share-based compensation effect on diluted shares outstanding using the treasury stock method should similarly not be included in the calculation of non-GAAP diluted shares outstanding.</w:t>
      </w:r>
    </w:p>
    <w:p>
      <w:pPr>
        <w:spacing w:after="0" w:line="178" w:lineRule="exact"/>
        <w:rPr>
          <w:sz w:val="20"/>
          <w:szCs w:val="20"/>
          <w:color w:val="auto"/>
        </w:rPr>
      </w:pPr>
    </w:p>
    <w:p>
      <w:pPr>
        <w:ind w:right="60" w:firstLine="456"/>
        <w:spacing w:after="0" w:line="297" w:lineRule="auto"/>
        <w:rPr>
          <w:sz w:val="20"/>
          <w:szCs w:val="20"/>
          <w:color w:val="auto"/>
        </w:rPr>
      </w:pPr>
      <w:r>
        <w:rPr>
          <w:rFonts w:ascii="Arial" w:cs="Arial" w:eastAsia="Arial" w:hAnsi="Arial"/>
          <w:sz w:val="16"/>
          <w:szCs w:val="16"/>
          <w:color w:val="auto"/>
        </w:rPr>
        <w:t>Non-GAAP financial measures should be considered supplemental to, and not as a substitute for, or superior to, financial measures calculated in accordance with GAAP. Non-GAAP financial measures have limitations in that they do not reflect all of the costs associated with the operations of Marvell’s business as determined in accordance with GAAP. As a result, you should not consider these measures in isolation or as a substitute for analysis of Marvell’s results as reported under GAAP. Marvell expects to continue to incur expenses similar to the non-GAAP adjustments described above, and exclusion of these items from Marvell’s non-GAAP net income should not be construed as an inference that these costs are unusual, infrequent or non-recurring.</w:t>
      </w:r>
    </w:p>
    <w:p>
      <w:pPr>
        <w:spacing w:after="0" w:line="303" w:lineRule="exact"/>
        <w:rPr>
          <w:sz w:val="20"/>
          <w:szCs w:val="20"/>
          <w:color w:val="auto"/>
        </w:rPr>
      </w:pPr>
    </w:p>
    <w:p>
      <w:pPr>
        <w:spacing w:after="0"/>
        <w:tabs>
          <w:tab w:leader="none" w:pos="1120" w:val="left"/>
        </w:tabs>
        <w:rPr>
          <w:sz w:val="20"/>
          <w:szCs w:val="20"/>
          <w:color w:val="auto"/>
        </w:rPr>
      </w:pPr>
      <w:r>
        <w:rPr>
          <w:rFonts w:ascii="Arial" w:cs="Arial" w:eastAsia="Arial" w:hAnsi="Arial"/>
          <w:sz w:val="18"/>
          <w:szCs w:val="18"/>
          <w:b w:val="1"/>
          <w:bCs w:val="1"/>
          <w:color w:val="auto"/>
        </w:rPr>
        <w:t>Item 8.01</w:t>
      </w:r>
      <w:r>
        <w:rPr>
          <w:sz w:val="20"/>
          <w:szCs w:val="20"/>
          <w:color w:val="auto"/>
        </w:rPr>
        <w:tab/>
      </w:r>
      <w:r>
        <w:rPr>
          <w:rFonts w:ascii="Arial" w:cs="Arial" w:eastAsia="Arial" w:hAnsi="Arial"/>
          <w:sz w:val="16"/>
          <w:szCs w:val="16"/>
          <w:b w:val="1"/>
          <w:bCs w:val="1"/>
          <w:color w:val="auto"/>
        </w:rPr>
        <w:t>Other Events.</w:t>
      </w:r>
    </w:p>
    <w:p>
      <w:pPr>
        <w:spacing w:after="0" w:line="121" w:lineRule="exact"/>
        <w:rPr>
          <w:sz w:val="20"/>
          <w:szCs w:val="20"/>
          <w:color w:val="auto"/>
        </w:rPr>
      </w:pPr>
    </w:p>
    <w:p>
      <w:pPr>
        <w:ind w:right="40" w:firstLine="456"/>
        <w:spacing w:after="0" w:line="255" w:lineRule="auto"/>
        <w:rPr>
          <w:sz w:val="20"/>
          <w:szCs w:val="20"/>
          <w:color w:val="auto"/>
        </w:rPr>
      </w:pPr>
      <w:r>
        <w:rPr>
          <w:rFonts w:ascii="Arial" w:cs="Arial" w:eastAsia="Arial" w:hAnsi="Arial"/>
          <w:sz w:val="18"/>
          <w:szCs w:val="18"/>
          <w:color w:val="auto"/>
        </w:rPr>
        <w:t>Marvell today announced that it had declared the payment of its quarterly dividend of $0.06 per share to be paid on March 27, 2014 to all shareholders of record as of March 3, 2014. Developments in the CMU litigation could affect Marvell’s ability to pay the dividend on March 27, 2014 under Bermuda law, where Marvell is incorporated. In such event, the payment of the dividend could be delayed until such time as Marvell can meet statutory requirements under Bermuda law. The payment of future quarterly cash dividends is subject to, among other things, the best interests of its shareholders, its results of operations, cash balances and future cash requirements, financial condition, statutory requirements of Bermuda law, and other factors that the board of directors may deem relevant.</w:t>
      </w:r>
    </w:p>
    <w:p>
      <w:pPr>
        <w:spacing w:after="0" w:line="12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00"/>
          </w:cols>
          <w:pgMar w:left="240" w:top="274" w:right="259" w:bottom="1440" w:gutter="0" w:footer="0" w:header="0"/>
        </w:sectPr>
      </w:pPr>
    </w:p>
    <w:bookmarkStart w:id="3" w:name="page4"/>
    <w:bookmarkEnd w:id="3"/>
    <w:p>
      <w:pPr>
        <w:spacing w:after="0"/>
        <w:tabs>
          <w:tab w:leader="none" w:pos="112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135" w:lineRule="exact"/>
        <w:rPr>
          <w:sz w:val="20"/>
          <w:szCs w:val="20"/>
          <w:color w:val="auto"/>
        </w:rPr>
      </w:pPr>
    </w:p>
    <w:p>
      <w:pPr>
        <w:ind w:left="900" w:hanging="446"/>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Exhibits.</w:t>
      </w:r>
    </w:p>
    <w:p>
      <w:pPr>
        <w:spacing w:after="0" w:line="130" w:lineRule="exact"/>
        <w:rPr>
          <w:rFonts w:ascii="Arial" w:cs="Arial" w:eastAsia="Arial" w:hAnsi="Arial"/>
          <w:sz w:val="18"/>
          <w:szCs w:val="18"/>
          <w:color w:val="auto"/>
        </w:rPr>
      </w:pPr>
    </w:p>
    <w:p>
      <w:pPr>
        <w:ind w:left="920"/>
        <w:spacing w:after="0"/>
        <w:rPr>
          <w:rFonts w:ascii="Arial" w:cs="Arial" w:eastAsia="Arial" w:hAnsi="Arial"/>
          <w:sz w:val="18"/>
          <w:szCs w:val="18"/>
          <w:color w:val="auto"/>
        </w:rPr>
      </w:pPr>
      <w:r>
        <w:rPr>
          <w:rFonts w:ascii="Arial" w:cs="Arial" w:eastAsia="Arial" w:hAnsi="Arial"/>
          <w:sz w:val="18"/>
          <w:szCs w:val="18"/>
          <w:color w:val="auto"/>
        </w:rPr>
        <w:t>99.1   Press Release dated February 20, 2014</w:t>
      </w:r>
    </w:p>
    <w:p>
      <w:pPr>
        <w:spacing w:after="0" w:line="158" w:lineRule="exact"/>
        <w:rPr>
          <w:sz w:val="20"/>
          <w:szCs w:val="20"/>
          <w:color w:val="auto"/>
        </w:rPr>
      </w:pPr>
    </w:p>
    <w:p>
      <w:pPr>
        <w:jc w:val="right"/>
        <w:ind w:right="445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0219"/>
          </w:cols>
          <w:pgMar w:left="240" w:top="270" w:right="1440" w:bottom="1440" w:gutter="0" w:footer="0" w:header="0"/>
        </w:sectPr>
      </w:pPr>
    </w:p>
    <w:bookmarkStart w:id="4" w:name="page5"/>
    <w:bookmarkEnd w:id="4"/>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229" w:lineRule="exact"/>
        <w:rPr>
          <w:sz w:val="20"/>
          <w:szCs w:val="20"/>
          <w:color w:val="auto"/>
        </w:rPr>
      </w:pPr>
    </w:p>
    <w:p>
      <w:pPr>
        <w:ind w:firstLine="456"/>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Dated: February 20, 2014</w:t>
      </w:r>
    </w:p>
    <w:p>
      <w:pPr>
        <w:spacing w:after="0" w:line="25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By:  /s/ Michael Rashkin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4592955</wp:posOffset>
            </wp:positionH>
            <wp:positionV relativeFrom="paragraph">
              <wp:posOffset>14605</wp:posOffset>
            </wp:positionV>
            <wp:extent cx="2658745"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2658745" cy="8890"/>
                    </a:xfrm>
                    <a:prstGeom prst="rect">
                      <a:avLst/>
                    </a:prstGeom>
                    <a:noFill/>
                  </pic:spPr>
                </pic:pic>
              </a:graphicData>
            </a:graphic>
          </wp:anchor>
        </w:drawing>
      </w:r>
    </w:p>
    <w:p>
      <w:pPr>
        <w:spacing w:after="0" w:line="16" w:lineRule="exact"/>
        <w:rPr>
          <w:sz w:val="20"/>
          <w:szCs w:val="20"/>
          <w:color w:val="auto"/>
        </w:rPr>
      </w:pPr>
    </w:p>
    <w:p>
      <w:pPr>
        <w:ind w:left="7240"/>
        <w:spacing w:after="0"/>
        <w:rPr>
          <w:sz w:val="20"/>
          <w:szCs w:val="20"/>
          <w:color w:val="auto"/>
        </w:rPr>
      </w:pPr>
      <w:r>
        <w:rPr>
          <w:rFonts w:ascii="Arial" w:cs="Arial" w:eastAsia="Arial" w:hAnsi="Arial"/>
          <w:sz w:val="18"/>
          <w:szCs w:val="18"/>
          <w:color w:val="auto"/>
        </w:rPr>
        <w:t>Michael Rashkin</w:t>
      </w:r>
    </w:p>
    <w:p>
      <w:pPr>
        <w:spacing w:after="0" w:line="23" w:lineRule="exact"/>
        <w:rPr>
          <w:sz w:val="20"/>
          <w:szCs w:val="20"/>
          <w:color w:val="auto"/>
        </w:rPr>
      </w:pPr>
    </w:p>
    <w:p>
      <w:pPr>
        <w:ind w:left="7240"/>
        <w:spacing w:after="0"/>
        <w:rPr>
          <w:sz w:val="20"/>
          <w:szCs w:val="20"/>
          <w:color w:val="auto"/>
        </w:rPr>
      </w:pPr>
      <w:r>
        <w:rPr>
          <w:rFonts w:ascii="Arial" w:cs="Arial" w:eastAsia="Arial" w:hAnsi="Arial"/>
          <w:sz w:val="18"/>
          <w:szCs w:val="18"/>
          <w:i w:val="1"/>
          <w:iCs w:val="1"/>
          <w:color w:val="auto"/>
        </w:rPr>
        <w:t>Chief Financial Officer</w:t>
      </w:r>
    </w:p>
    <w:p>
      <w:pPr>
        <w:spacing w:after="0" w:line="14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420"/>
          </w:cols>
          <w:pgMar w:left="240" w:top="270" w:right="239" w:bottom="1440" w:gutter="0" w:footer="0" w:header="0"/>
        </w:sectPr>
      </w:pPr>
    </w:p>
    <w:bookmarkStart w:id="5" w:name="page6"/>
    <w:bookmarkEnd w:id="5"/>
    <w:p>
      <w:pPr>
        <w:jc w:val="right"/>
        <w:ind w:right="379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EXHIBIT INDEX</w:t>
      </w:r>
    </w:p>
    <w:p>
      <w:pPr>
        <w:spacing w:after="0" w:line="251" w:lineRule="exact"/>
        <w:rPr>
          <w:sz w:val="20"/>
          <w:szCs w:val="20"/>
          <w:color w:val="auto"/>
        </w:rPr>
      </w:pPr>
    </w:p>
    <w:p>
      <w:pPr>
        <w:ind w:left="20"/>
        <w:spacing w:after="0"/>
        <w:rPr>
          <w:sz w:val="20"/>
          <w:szCs w:val="20"/>
          <w:color w:val="auto"/>
        </w:rPr>
      </w:pPr>
      <w:r>
        <w:rPr>
          <w:rFonts w:ascii="Arial" w:cs="Arial" w:eastAsia="Arial" w:hAnsi="Arial"/>
          <w:sz w:val="14"/>
          <w:szCs w:val="14"/>
          <w:color w:val="auto"/>
        </w:rPr>
        <w:t>Exhibit</w:t>
      </w:r>
    </w:p>
    <w:p>
      <w:pPr>
        <w:ind w:left="120"/>
        <w:spacing w:after="0"/>
        <w:tabs>
          <w:tab w:leader="none" w:pos="980" w:val="left"/>
        </w:tabs>
        <w:rPr>
          <w:sz w:val="20"/>
          <w:szCs w:val="20"/>
          <w:color w:val="auto"/>
        </w:rPr>
      </w:pPr>
      <w:r>
        <w:rPr>
          <w:rFonts w:ascii="Arial" w:cs="Arial" w:eastAsia="Arial" w:hAnsi="Arial"/>
          <w:sz w:val="14"/>
          <w:szCs w:val="14"/>
          <w:color w:val="auto"/>
        </w:rPr>
        <w:t>No.</w:t>
      </w:r>
      <w:r>
        <w:rPr>
          <w:sz w:val="20"/>
          <w:szCs w:val="20"/>
          <w:color w:val="auto"/>
        </w:rPr>
        <w:tab/>
      </w:r>
      <w:r>
        <w:rPr>
          <w:rFonts w:ascii="Arial" w:cs="Arial" w:eastAsia="Arial" w:hAnsi="Arial"/>
          <w:sz w:val="14"/>
          <w:szCs w:val="14"/>
          <w:color w:val="auto"/>
        </w:rPr>
        <w:t>Description</w:t>
      </w:r>
    </w:p>
    <w:p>
      <w:pPr>
        <w:spacing w:after="0" w:line="88" w:lineRule="exact"/>
        <w:rPr>
          <w:sz w:val="20"/>
          <w:szCs w:val="20"/>
          <w:color w:val="auto"/>
        </w:rPr>
      </w:pPr>
    </w:p>
    <w:p>
      <w:pPr>
        <w:spacing w:after="0"/>
        <w:tabs>
          <w:tab w:leader="none" w:pos="98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5"/>
          <w:szCs w:val="15"/>
          <w:color w:val="auto"/>
        </w:rPr>
        <w:t>Press Release dated February 20, 2014</w:t>
      </w:r>
    </w:p>
    <w:p>
      <w:pPr>
        <w:sectPr>
          <w:pgSz w:w="11900" w:h="16838" w:orient="portrait"/>
          <w:cols w:equalWidth="0" w:num="1">
            <w:col w:w="10219"/>
          </w:cols>
          <w:pgMar w:left="240" w:top="270" w:right="1440" w:bottom="1440" w:gutter="0" w:footer="0" w:header="0"/>
        </w:sectPr>
      </w:pPr>
    </w:p>
    <w:bookmarkStart w:id="6" w:name="page7"/>
    <w:bookmarkEnd w:id="6"/>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5013325</wp:posOffset>
            </wp:positionH>
            <wp:positionV relativeFrom="paragraph">
              <wp:posOffset>172085</wp:posOffset>
            </wp:positionV>
            <wp:extent cx="1800860" cy="13716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1800860" cy="13716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tbl>
      <w:tblPr>
        <w:tblLayout w:type="fixed"/>
        <w:tblInd w:w="0" w:type="dxa"/>
        <w:tblCellMar>
          <w:top w:w="0" w:type="dxa"/>
          <w:left w:w="0" w:type="dxa"/>
          <w:bottom w:w="0" w:type="dxa"/>
          <w:right w:w="0" w:type="dxa"/>
        </w:tblCellMar>
      </w:tblPr>
      <w:tr>
        <w:trPr>
          <w:trHeight w:val="220"/>
        </w:trPr>
        <w:tc>
          <w:tcPr>
            <w:tcW w:w="5240" w:type="dxa"/>
            <w:vAlign w:val="bottom"/>
            <w:gridSpan w:val="2"/>
          </w:tcPr>
          <w:p>
            <w:pPr>
              <w:spacing w:after="0"/>
              <w:rPr>
                <w:sz w:val="20"/>
                <w:szCs w:val="20"/>
                <w:color w:val="auto"/>
              </w:rPr>
            </w:pPr>
            <w:r>
              <w:rPr>
                <w:rFonts w:ascii="Arial" w:cs="Arial" w:eastAsia="Arial" w:hAnsi="Arial"/>
                <w:sz w:val="18"/>
                <w:szCs w:val="18"/>
                <w:b w:val="1"/>
                <w:bCs w:val="1"/>
                <w:color w:val="auto"/>
              </w:rPr>
              <w:t>For further information, contact:</w:t>
            </w:r>
          </w:p>
        </w:tc>
        <w:tc>
          <w:tcPr>
            <w:tcW w:w="2660" w:type="dxa"/>
            <w:vAlign w:val="bottom"/>
          </w:tcPr>
          <w:p>
            <w:pPr>
              <w:spacing w:after="0"/>
              <w:rPr>
                <w:sz w:val="19"/>
                <w:szCs w:val="19"/>
                <w:color w:val="auto"/>
              </w:rPr>
            </w:pPr>
          </w:p>
        </w:tc>
        <w:tc>
          <w:tcPr>
            <w:tcW w:w="1520" w:type="dxa"/>
            <w:vAlign w:val="bottom"/>
          </w:tcPr>
          <w:p>
            <w:pPr>
              <w:spacing w:after="0"/>
              <w:rPr>
                <w:sz w:val="19"/>
                <w:szCs w:val="19"/>
                <w:color w:val="auto"/>
              </w:rPr>
            </w:pPr>
          </w:p>
        </w:tc>
      </w:tr>
      <w:tr>
        <w:trPr>
          <w:trHeight w:val="216"/>
        </w:trPr>
        <w:tc>
          <w:tcPr>
            <w:tcW w:w="5240" w:type="dxa"/>
            <w:vAlign w:val="bottom"/>
            <w:gridSpan w:val="2"/>
          </w:tcPr>
          <w:p>
            <w:pPr>
              <w:spacing w:after="0"/>
              <w:rPr>
                <w:sz w:val="20"/>
                <w:szCs w:val="20"/>
                <w:color w:val="auto"/>
              </w:rPr>
            </w:pPr>
            <w:r>
              <w:rPr>
                <w:rFonts w:ascii="Arial" w:cs="Arial" w:eastAsia="Arial" w:hAnsi="Arial"/>
                <w:sz w:val="18"/>
                <w:szCs w:val="18"/>
                <w:color w:val="auto"/>
              </w:rPr>
              <w:t>Sukhi Nagesh</w:t>
            </w:r>
          </w:p>
        </w:tc>
        <w:tc>
          <w:tcPr>
            <w:tcW w:w="4180" w:type="dxa"/>
            <w:vAlign w:val="bottom"/>
            <w:gridSpan w:val="2"/>
          </w:tcPr>
          <w:p>
            <w:pPr>
              <w:ind w:left="2660"/>
              <w:spacing w:after="0"/>
              <w:rPr>
                <w:sz w:val="20"/>
                <w:szCs w:val="20"/>
                <w:color w:val="auto"/>
              </w:rPr>
            </w:pPr>
            <w:r>
              <w:rPr>
                <w:rFonts w:ascii="Arial" w:cs="Arial" w:eastAsia="Arial" w:hAnsi="Arial"/>
                <w:sz w:val="18"/>
                <w:szCs w:val="18"/>
                <w:color w:val="auto"/>
              </w:rPr>
              <w:t>Holly Zheng</w:t>
            </w:r>
          </w:p>
        </w:tc>
      </w:tr>
      <w:tr>
        <w:trPr>
          <w:trHeight w:val="216"/>
        </w:trPr>
        <w:tc>
          <w:tcPr>
            <w:tcW w:w="5240" w:type="dxa"/>
            <w:vAlign w:val="bottom"/>
            <w:gridSpan w:val="2"/>
          </w:tcPr>
          <w:p>
            <w:pPr>
              <w:spacing w:after="0"/>
              <w:rPr>
                <w:sz w:val="20"/>
                <w:szCs w:val="20"/>
                <w:color w:val="auto"/>
              </w:rPr>
            </w:pPr>
            <w:r>
              <w:rPr>
                <w:rFonts w:ascii="Arial" w:cs="Arial" w:eastAsia="Arial" w:hAnsi="Arial"/>
                <w:sz w:val="18"/>
                <w:szCs w:val="18"/>
                <w:color w:val="auto"/>
              </w:rPr>
              <w:t>Investor Relations</w:t>
            </w:r>
          </w:p>
        </w:tc>
        <w:tc>
          <w:tcPr>
            <w:tcW w:w="4180" w:type="dxa"/>
            <w:vAlign w:val="bottom"/>
            <w:gridSpan w:val="2"/>
          </w:tcPr>
          <w:p>
            <w:pPr>
              <w:ind w:left="2660"/>
              <w:spacing w:after="0"/>
              <w:rPr>
                <w:sz w:val="20"/>
                <w:szCs w:val="20"/>
                <w:color w:val="auto"/>
              </w:rPr>
            </w:pPr>
            <w:r>
              <w:rPr>
                <w:rFonts w:ascii="Arial" w:cs="Arial" w:eastAsia="Arial" w:hAnsi="Arial"/>
                <w:sz w:val="18"/>
                <w:szCs w:val="18"/>
                <w:color w:val="auto"/>
              </w:rPr>
              <w:t>Media Relations</w:t>
            </w:r>
          </w:p>
        </w:tc>
      </w:tr>
      <w:tr>
        <w:trPr>
          <w:trHeight w:val="216"/>
        </w:trPr>
        <w:tc>
          <w:tcPr>
            <w:tcW w:w="1460" w:type="dxa"/>
            <w:vAlign w:val="bottom"/>
          </w:tcPr>
          <w:p>
            <w:pPr>
              <w:spacing w:after="0"/>
              <w:rPr>
                <w:sz w:val="20"/>
                <w:szCs w:val="20"/>
                <w:color w:val="auto"/>
              </w:rPr>
            </w:pPr>
            <w:r>
              <w:rPr>
                <w:rFonts w:ascii="Arial" w:cs="Arial" w:eastAsia="Arial" w:hAnsi="Arial"/>
                <w:sz w:val="18"/>
                <w:szCs w:val="18"/>
                <w:color w:val="auto"/>
              </w:rPr>
              <w:t>408-222-8373</w:t>
            </w:r>
          </w:p>
        </w:tc>
        <w:tc>
          <w:tcPr>
            <w:tcW w:w="3780" w:type="dxa"/>
            <w:vAlign w:val="bottom"/>
          </w:tcPr>
          <w:p>
            <w:pPr>
              <w:spacing w:after="0"/>
              <w:rPr>
                <w:sz w:val="18"/>
                <w:szCs w:val="18"/>
                <w:color w:val="auto"/>
              </w:rPr>
            </w:pPr>
          </w:p>
        </w:tc>
        <w:tc>
          <w:tcPr>
            <w:tcW w:w="4180" w:type="dxa"/>
            <w:vAlign w:val="bottom"/>
            <w:gridSpan w:val="2"/>
          </w:tcPr>
          <w:p>
            <w:pPr>
              <w:ind w:left="2660"/>
              <w:spacing w:after="0"/>
              <w:rPr>
                <w:sz w:val="20"/>
                <w:szCs w:val="20"/>
                <w:color w:val="auto"/>
              </w:rPr>
            </w:pPr>
            <w:r>
              <w:rPr>
                <w:rFonts w:ascii="Arial" w:cs="Arial" w:eastAsia="Arial" w:hAnsi="Arial"/>
                <w:sz w:val="18"/>
                <w:szCs w:val="18"/>
                <w:color w:val="auto"/>
              </w:rPr>
              <w:t>408-222-9202</w:t>
            </w:r>
          </w:p>
        </w:tc>
      </w:tr>
      <w:tr>
        <w:trPr>
          <w:trHeight w:val="190"/>
        </w:trPr>
        <w:tc>
          <w:tcPr>
            <w:tcW w:w="5240" w:type="dxa"/>
            <w:vAlign w:val="bottom"/>
            <w:gridSpan w:val="2"/>
          </w:tcPr>
          <w:p>
            <w:pPr>
              <w:spacing w:after="0" w:line="190" w:lineRule="exact"/>
              <w:rPr>
                <w:sz w:val="20"/>
                <w:szCs w:val="20"/>
                <w:color w:val="auto"/>
              </w:rPr>
            </w:pPr>
            <w:r>
              <w:rPr>
                <w:rFonts w:ascii="Arial" w:cs="Arial" w:eastAsia="Arial" w:hAnsi="Arial"/>
                <w:sz w:val="18"/>
                <w:szCs w:val="18"/>
                <w:color w:val="auto"/>
              </w:rPr>
              <w:t>sukhi@marvell.com</w:t>
            </w:r>
          </w:p>
        </w:tc>
        <w:tc>
          <w:tcPr>
            <w:tcW w:w="4180" w:type="dxa"/>
            <w:vAlign w:val="bottom"/>
            <w:gridSpan w:val="2"/>
          </w:tcPr>
          <w:p>
            <w:pPr>
              <w:ind w:left="2660"/>
              <w:spacing w:after="0" w:line="190" w:lineRule="exact"/>
              <w:rPr>
                <w:sz w:val="20"/>
                <w:szCs w:val="20"/>
                <w:color w:val="auto"/>
              </w:rPr>
            </w:pPr>
            <w:r>
              <w:rPr>
                <w:rFonts w:ascii="Arial" w:cs="Arial" w:eastAsia="Arial" w:hAnsi="Arial"/>
                <w:sz w:val="18"/>
                <w:szCs w:val="18"/>
                <w:color w:val="auto"/>
                <w:w w:val="92"/>
              </w:rPr>
              <w:t>hollyz@marvell.com</w:t>
            </w:r>
          </w:p>
        </w:tc>
      </w:tr>
      <w:tr>
        <w:trPr>
          <w:trHeight w:val="20"/>
        </w:trPr>
        <w:tc>
          <w:tcPr>
            <w:tcW w:w="1460" w:type="dxa"/>
            <w:vAlign w:val="bottom"/>
            <w:shd w:val="clear" w:color="auto" w:fill="000000"/>
          </w:tcPr>
          <w:p>
            <w:pPr>
              <w:spacing w:after="0" w:line="20" w:lineRule="exact"/>
              <w:rPr>
                <w:sz w:val="1"/>
                <w:szCs w:val="1"/>
                <w:color w:val="auto"/>
              </w:rPr>
            </w:pPr>
          </w:p>
        </w:tc>
        <w:tc>
          <w:tcPr>
            <w:tcW w:w="3780" w:type="dxa"/>
            <w:vAlign w:val="bottom"/>
          </w:tcPr>
          <w:p>
            <w:pPr>
              <w:spacing w:after="0" w:line="20" w:lineRule="exact"/>
              <w:rPr>
                <w:sz w:val="1"/>
                <w:szCs w:val="1"/>
                <w:color w:val="auto"/>
              </w:rPr>
            </w:pPr>
          </w:p>
        </w:tc>
        <w:tc>
          <w:tcPr>
            <w:tcW w:w="2660" w:type="dxa"/>
            <w:vAlign w:val="bottom"/>
          </w:tcPr>
          <w:p>
            <w:pPr>
              <w:spacing w:after="0" w:line="20" w:lineRule="exact"/>
              <w:rPr>
                <w:sz w:val="1"/>
                <w:szCs w:val="1"/>
                <w:color w:val="auto"/>
              </w:rPr>
            </w:pPr>
          </w:p>
        </w:tc>
        <w:tc>
          <w:tcPr>
            <w:tcW w:w="1520" w:type="dxa"/>
            <w:vAlign w:val="bottom"/>
            <w:shd w:val="clear" w:color="auto" w:fill="000000"/>
          </w:tcPr>
          <w:p>
            <w:pPr>
              <w:spacing w:after="0" w:line="20" w:lineRule="exact"/>
              <w:rPr>
                <w:sz w:val="1"/>
                <w:szCs w:val="1"/>
                <w:color w:val="auto"/>
              </w:rPr>
            </w:pPr>
          </w:p>
        </w:tc>
      </w:tr>
    </w:tbl>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 Reports Fourth Fiscal Quarter and Fiscal Year 2014 Financial Results</w:t>
      </w:r>
    </w:p>
    <w:p>
      <w:pPr>
        <w:spacing w:after="0" w:line="225" w:lineRule="exact"/>
        <w:rPr>
          <w:sz w:val="20"/>
          <w:szCs w:val="20"/>
          <w:color w:val="auto"/>
        </w:rPr>
      </w:pPr>
    </w:p>
    <w:p>
      <w:pPr>
        <w:ind w:right="500"/>
        <w:spacing w:after="0" w:line="282" w:lineRule="auto"/>
        <w:rPr>
          <w:sz w:val="20"/>
          <w:szCs w:val="20"/>
          <w:color w:val="auto"/>
        </w:rPr>
      </w:pPr>
      <w:r>
        <w:rPr>
          <w:rFonts w:ascii="Arial" w:cs="Arial" w:eastAsia="Arial" w:hAnsi="Arial"/>
          <w:sz w:val="18"/>
          <w:szCs w:val="18"/>
          <w:b w:val="1"/>
          <w:bCs w:val="1"/>
          <w:color w:val="auto"/>
        </w:rPr>
        <w:t xml:space="preserve">Santa Clara, Calif. (February 20, 2014) </w:t>
      </w:r>
      <w:r>
        <w:rPr>
          <w:rFonts w:ascii="Arial" w:cs="Arial" w:eastAsia="Arial" w:hAnsi="Arial"/>
          <w:sz w:val="18"/>
          <w:szCs w:val="18"/>
          <w:color w:val="auto"/>
        </w:rPr>
        <w:t>— Marvell Technology Group Ltd. (NASDAQ: MRVL), a global leader in integrated silicon solutions, today</w:t>
      </w:r>
      <w:r>
        <w:rPr>
          <w:rFonts w:ascii="Arial" w:cs="Arial" w:eastAsia="Arial" w:hAnsi="Arial"/>
          <w:sz w:val="18"/>
          <w:szCs w:val="18"/>
          <w:b w:val="1"/>
          <w:bCs w:val="1"/>
          <w:color w:val="auto"/>
        </w:rPr>
        <w:t xml:space="preserve"> </w:t>
      </w:r>
      <w:r>
        <w:rPr>
          <w:rFonts w:ascii="Arial" w:cs="Arial" w:eastAsia="Arial" w:hAnsi="Arial"/>
          <w:sz w:val="18"/>
          <w:szCs w:val="18"/>
          <w:color w:val="auto"/>
        </w:rPr>
        <w:t>reported financial results for the fourth fiscal quarter and fiscal year 2014, ended February 1, 2014.</w:t>
      </w:r>
    </w:p>
    <w:p>
      <w:pPr>
        <w:spacing w:after="0" w:line="27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Key Fourth Quarter of Fiscal 2014 and Fiscal Year 2014 Financial Highlights</w:t>
      </w:r>
    </w:p>
    <w:p>
      <w:pPr>
        <w:spacing w:after="0" w:line="135" w:lineRule="exact"/>
        <w:rPr>
          <w:sz w:val="20"/>
          <w:szCs w:val="20"/>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Revenue: Q4 FY 2014 $932 Million; FY 2014, $3.40 Billion</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GAAP Net Income: Q4 FY 2014, $107 Million; FY 2014, $325 Million</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GAAP Diluted EPS: Q4 FY 2014, $0.21; FY 2014, $0.64</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Non-GAAP Net Income: Q4 FY 2014, $151 Million; FY 2014, $530 Million</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Non-GAAP Diluted EPS: Q4 FY 2014, $0.29; FY 2014, $1.02</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Free Cash Flow: Q4 FY 2014, $82 Million, FY 2014, $356 Million</w:t>
      </w:r>
    </w:p>
    <w:p>
      <w:pPr>
        <w:spacing w:after="0" w:line="32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First Quarter of Fiscal 2015 Financial Outlook</w:t>
      </w:r>
    </w:p>
    <w:p>
      <w:pPr>
        <w:spacing w:after="0" w:line="121" w:lineRule="exact"/>
        <w:rPr>
          <w:sz w:val="20"/>
          <w:szCs w:val="20"/>
          <w:color w:val="auto"/>
        </w:rPr>
      </w:pPr>
    </w:p>
    <w:p>
      <w:pPr>
        <w:ind w:right="660"/>
        <w:spacing w:after="0" w:line="277" w:lineRule="auto"/>
        <w:rPr>
          <w:sz w:val="20"/>
          <w:szCs w:val="20"/>
          <w:color w:val="auto"/>
        </w:rPr>
      </w:pPr>
      <w:r>
        <w:rPr>
          <w:rFonts w:ascii="Arial" w:cs="Arial" w:eastAsia="Arial" w:hAnsi="Arial"/>
          <w:sz w:val="18"/>
          <w:szCs w:val="18"/>
          <w:color w:val="auto"/>
        </w:rPr>
        <w:t>Marvell’s financial outlook does not include the potential impact of future share repurchases, pending litigation matters, business combinations, asset acquisitions or other investments that may be completed after February 1, 2014.</w:t>
      </w:r>
    </w:p>
    <w:p>
      <w:pPr>
        <w:spacing w:after="0" w:line="76" w:lineRule="exact"/>
        <w:rPr>
          <w:sz w:val="20"/>
          <w:szCs w:val="20"/>
          <w:color w:val="auto"/>
        </w:rPr>
      </w:pPr>
    </w:p>
    <w:p>
      <w:pPr>
        <w:ind w:left="900" w:hanging="325"/>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Revenue is expected to be in the range of $870 to $910 Million.</w:t>
      </w:r>
    </w:p>
    <w:p>
      <w:pPr>
        <w:spacing w:after="0" w:line="130" w:lineRule="exact"/>
        <w:rPr>
          <w:rFonts w:ascii="Arial" w:cs="Arial" w:eastAsia="Arial" w:hAnsi="Arial"/>
          <w:sz w:val="18"/>
          <w:szCs w:val="18"/>
          <w:color w:val="auto"/>
        </w:rPr>
      </w:pPr>
    </w:p>
    <w:p>
      <w:pPr>
        <w:ind w:left="900" w:right="180" w:hanging="325"/>
        <w:spacing w:after="0" w:line="277" w:lineRule="auto"/>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GAAP Gross Margin is expected to be in the range of 49.7% +/- 100 bps. Non-GAAP Gross Margin is expected to be in the range of 50.0% +/-100 bps.</w:t>
      </w:r>
    </w:p>
    <w:p>
      <w:pPr>
        <w:spacing w:after="0" w:line="75" w:lineRule="exact"/>
        <w:rPr>
          <w:rFonts w:ascii="Arial" w:cs="Arial" w:eastAsia="Arial" w:hAnsi="Arial"/>
          <w:sz w:val="18"/>
          <w:szCs w:val="18"/>
          <w:color w:val="auto"/>
        </w:rPr>
      </w:pPr>
    </w:p>
    <w:p>
      <w:pPr>
        <w:ind w:left="900" w:right="20" w:hanging="325"/>
        <w:spacing w:after="0" w:line="277" w:lineRule="auto"/>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GAAP Operating Expenses are expected to be in the range of $370 Million +/- $10 Million. Non-GAAP Operating Expenses to be in the range of $330 Million +/- $10 Million.</w:t>
      </w:r>
    </w:p>
    <w:p>
      <w:pPr>
        <w:spacing w:after="0" w:line="75" w:lineRule="exact"/>
        <w:rPr>
          <w:rFonts w:ascii="Arial" w:cs="Arial" w:eastAsia="Arial" w:hAnsi="Arial"/>
          <w:sz w:val="18"/>
          <w:szCs w:val="18"/>
          <w:color w:val="auto"/>
        </w:rPr>
      </w:pPr>
    </w:p>
    <w:p>
      <w:pPr>
        <w:ind w:left="900" w:hanging="325"/>
        <w:spacing w:after="0"/>
        <w:tabs>
          <w:tab w:leader="none" w:pos="900" w:val="left"/>
        </w:tabs>
        <w:numPr>
          <w:ilvl w:val="0"/>
          <w:numId w:val="8"/>
        </w:numPr>
        <w:rPr>
          <w:rFonts w:ascii="Arial" w:cs="Arial" w:eastAsia="Arial" w:hAnsi="Arial"/>
          <w:sz w:val="17"/>
          <w:szCs w:val="17"/>
          <w:color w:val="auto"/>
        </w:rPr>
      </w:pPr>
      <w:r>
        <w:rPr>
          <w:rFonts w:ascii="Arial" w:cs="Arial" w:eastAsia="Arial" w:hAnsi="Arial"/>
          <w:sz w:val="17"/>
          <w:szCs w:val="17"/>
          <w:color w:val="auto"/>
        </w:rPr>
        <w:t>GAAP Diluted EPS expected to be in the range of $0.14 +/- $0.02. Non-GAAP Diluted EPS expected to be in the range of $0.22 +/- $0.02.</w:t>
      </w:r>
    </w:p>
    <w:p>
      <w:pPr>
        <w:sectPr>
          <w:pgSz w:w="11900" w:h="16838" w:orient="portrait"/>
          <w:cols w:equalWidth="0" w:num="1">
            <w:col w:w="11420"/>
          </w:cols>
          <w:pgMar w:left="240" w:top="121" w:right="239" w:bottom="1440" w:gutter="0" w:footer="0" w:header="0"/>
        </w:sectPr>
      </w:pPr>
    </w:p>
    <w:bookmarkStart w:id="7" w:name="page8"/>
    <w:bookmarkEnd w:id="7"/>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Fourth Quarter of Fiscal 2014 and Fiscal Year 2014 Summary</w:t>
      </w:r>
    </w:p>
    <w:p>
      <w:pPr>
        <w:spacing w:after="0" w:line="121" w:lineRule="exact"/>
        <w:rPr>
          <w:sz w:val="20"/>
          <w:szCs w:val="20"/>
          <w:color w:val="auto"/>
        </w:rPr>
      </w:pPr>
    </w:p>
    <w:p>
      <w:pPr>
        <w:spacing w:after="0" w:line="277" w:lineRule="auto"/>
        <w:rPr>
          <w:sz w:val="20"/>
          <w:szCs w:val="20"/>
          <w:color w:val="auto"/>
        </w:rPr>
      </w:pPr>
      <w:r>
        <w:rPr>
          <w:rFonts w:ascii="Arial" w:cs="Arial" w:eastAsia="Arial" w:hAnsi="Arial"/>
          <w:sz w:val="18"/>
          <w:szCs w:val="18"/>
          <w:color w:val="auto"/>
        </w:rPr>
        <w:t>Revenue for the fourth quarter of fiscal 2014 was $932 million, essentially flat from $931 million in the third quarter of fiscal 2014, ended November 2, 2013, and a 20 percent increase from revenue of $775 million in the fourth quarter of fiscal 2013, ended February 2, 2013.</w:t>
      </w:r>
    </w:p>
    <w:p>
      <w:pPr>
        <w:spacing w:after="0" w:line="170" w:lineRule="exact"/>
        <w:rPr>
          <w:sz w:val="20"/>
          <w:szCs w:val="20"/>
          <w:color w:val="auto"/>
        </w:rPr>
      </w:pPr>
    </w:p>
    <w:p>
      <w:pPr>
        <w:ind w:right="720"/>
        <w:spacing w:after="0" w:line="277" w:lineRule="auto"/>
        <w:rPr>
          <w:sz w:val="20"/>
          <w:szCs w:val="20"/>
          <w:color w:val="auto"/>
        </w:rPr>
      </w:pPr>
      <w:r>
        <w:rPr>
          <w:rFonts w:ascii="Arial" w:cs="Arial" w:eastAsia="Arial" w:hAnsi="Arial"/>
          <w:sz w:val="18"/>
          <w:szCs w:val="18"/>
          <w:color w:val="auto"/>
        </w:rPr>
        <w:t>For the fiscal year ended February 1, 2014, revenue was $3.4 billion, an increase of 7 percent from revenue of $3.17 billion for the fiscal year ended February 2, 2013.</w:t>
      </w:r>
    </w:p>
    <w:p>
      <w:pPr>
        <w:spacing w:after="0" w:line="170" w:lineRule="exact"/>
        <w:rPr>
          <w:sz w:val="20"/>
          <w:szCs w:val="20"/>
          <w:color w:val="auto"/>
        </w:rPr>
      </w:pPr>
    </w:p>
    <w:p>
      <w:pPr>
        <w:ind w:right="180"/>
        <w:spacing w:after="0" w:line="342" w:lineRule="auto"/>
        <w:rPr>
          <w:sz w:val="20"/>
          <w:szCs w:val="20"/>
          <w:color w:val="auto"/>
        </w:rPr>
      </w:pPr>
      <w:r>
        <w:rPr>
          <w:rFonts w:ascii="Arial" w:cs="Arial" w:eastAsia="Arial" w:hAnsi="Arial"/>
          <w:sz w:val="16"/>
          <w:szCs w:val="16"/>
          <w:color w:val="auto"/>
        </w:rPr>
        <w:t>GAAP net income for the fourth quarter of fiscal 2014 was $107 million, or $0.21 per share (diluted), compared with GAAP net income of $103 million, or $0.21 per share (diluted), for the third quarter of fiscal 2014, and $50 million, or $0.09 per share (diluted), for the fourth quarter of fiscal 2013.</w:t>
      </w:r>
    </w:p>
    <w:p>
      <w:pPr>
        <w:spacing w:after="0" w:line="124" w:lineRule="exact"/>
        <w:rPr>
          <w:sz w:val="20"/>
          <w:szCs w:val="20"/>
          <w:color w:val="auto"/>
        </w:rPr>
      </w:pPr>
    </w:p>
    <w:p>
      <w:pPr>
        <w:ind w:right="60"/>
        <w:spacing w:after="0" w:line="277" w:lineRule="auto"/>
        <w:rPr>
          <w:sz w:val="20"/>
          <w:szCs w:val="20"/>
          <w:color w:val="auto"/>
        </w:rPr>
      </w:pPr>
      <w:r>
        <w:rPr>
          <w:rFonts w:ascii="Arial" w:cs="Arial" w:eastAsia="Arial" w:hAnsi="Arial"/>
          <w:sz w:val="18"/>
          <w:szCs w:val="18"/>
          <w:color w:val="auto"/>
        </w:rPr>
        <w:t>For the year ended February 1, 2014, GAAP net income was $325 million, or $0.64 per share (diluted), compared with GAAP net income of $307 million, or $0.54 per share (diluted), for the year ended February 2, 2013.</w:t>
      </w:r>
    </w:p>
    <w:p>
      <w:pPr>
        <w:spacing w:after="0" w:line="170" w:lineRule="exact"/>
        <w:rPr>
          <w:sz w:val="20"/>
          <w:szCs w:val="20"/>
          <w:color w:val="auto"/>
        </w:rPr>
      </w:pPr>
    </w:p>
    <w:p>
      <w:pPr>
        <w:jc w:val="both"/>
        <w:ind w:right="240"/>
        <w:spacing w:after="0" w:line="342" w:lineRule="auto"/>
        <w:rPr>
          <w:sz w:val="20"/>
          <w:szCs w:val="20"/>
          <w:color w:val="auto"/>
        </w:rPr>
      </w:pPr>
      <w:r>
        <w:rPr>
          <w:rFonts w:ascii="Arial" w:cs="Arial" w:eastAsia="Arial" w:hAnsi="Arial"/>
          <w:sz w:val="16"/>
          <w:szCs w:val="16"/>
          <w:color w:val="auto"/>
        </w:rPr>
        <w:t>Non-GAAP net income was $151 million, or $0.29 per share (diluted), for the fourth quarter of fiscal 2014, compared with non-GAAP net income of $163 million, or $0.32 per share (diluted), for the third quarter of fiscal 2014 and $104 million, or $0.19 per share (diluted), for the fourth quarter of fiscal 2013.</w:t>
      </w:r>
    </w:p>
    <w:p>
      <w:pPr>
        <w:spacing w:after="0" w:line="124" w:lineRule="exact"/>
        <w:rPr>
          <w:sz w:val="20"/>
          <w:szCs w:val="20"/>
          <w:color w:val="auto"/>
        </w:rPr>
      </w:pPr>
    </w:p>
    <w:p>
      <w:pPr>
        <w:ind w:right="160"/>
        <w:spacing w:after="0" w:line="277" w:lineRule="auto"/>
        <w:rPr>
          <w:sz w:val="20"/>
          <w:szCs w:val="20"/>
          <w:color w:val="auto"/>
        </w:rPr>
      </w:pPr>
      <w:r>
        <w:rPr>
          <w:rFonts w:ascii="Arial" w:cs="Arial" w:eastAsia="Arial" w:hAnsi="Arial"/>
          <w:sz w:val="18"/>
          <w:szCs w:val="18"/>
          <w:color w:val="auto"/>
        </w:rPr>
        <w:t>For the fiscal year ended February 1, 2014, non-GAAP net income was $530 million, or $1.02 per share (diluted), compared with non-GAAP net income of $498 million, or $0.86 per share (diluted) for the fiscal year ended February 2, 2013.</w:t>
      </w:r>
    </w:p>
    <w:p>
      <w:pPr>
        <w:spacing w:after="0" w:line="170" w:lineRule="exact"/>
        <w:rPr>
          <w:sz w:val="20"/>
          <w:szCs w:val="20"/>
          <w:color w:val="auto"/>
        </w:rPr>
      </w:pPr>
    </w:p>
    <w:p>
      <w:pPr>
        <w:ind w:right="20"/>
        <w:spacing w:after="0" w:line="286" w:lineRule="auto"/>
        <w:rPr>
          <w:sz w:val="20"/>
          <w:szCs w:val="20"/>
          <w:color w:val="auto"/>
        </w:rPr>
      </w:pPr>
      <w:r>
        <w:rPr>
          <w:rFonts w:ascii="Arial" w:cs="Arial" w:eastAsia="Arial" w:hAnsi="Arial"/>
          <w:sz w:val="17"/>
          <w:szCs w:val="17"/>
          <w:color w:val="auto"/>
        </w:rPr>
        <w:t>“Fiscal year 2014 was the start of a turnaround for Marvell as we delivered year over year growth in revenue and profits. We made good progress in a number of critical areas during the year,” said Dr. Sehat Sutardja, Marvell’s Chairman and Chief Executive Officer. “We are investing in advanced technologies that will help drive increased business opportunities and continued revenue and profit growth in all of our target end markets.”</w:t>
      </w:r>
    </w:p>
    <w:p>
      <w:pPr>
        <w:spacing w:after="0" w:line="9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00"/>
          </w:cols>
          <w:pgMar w:left="240" w:top="270" w:right="259" w:bottom="1440" w:gutter="0" w:footer="0" w:header="0"/>
        </w:sectPr>
      </w:pPr>
    </w:p>
    <w:bookmarkStart w:id="8" w:name="page9"/>
    <w:bookmarkEnd w:id="8"/>
    <w:p>
      <w:pPr>
        <w:ind w:right="140"/>
        <w:spacing w:after="0" w:line="279"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reports net income, basic and diluted net income per share, in accordance with U.S. generally accepted accounting principles (GAAP) and on a non-GAAP basis as outlined below. Reconciliations of GAAP net income to non-GAAP net income for all periods presented appear in the financial statements below. Non-GAAP net income, where applicable, excludes the effect of share-based compensation, amortization and write-off of acquired intangible assets, acquisition-related costs, restructuring and other exit related costs, and certain one-time expenses and benefits.</w:t>
      </w:r>
    </w:p>
    <w:p>
      <w:pPr>
        <w:spacing w:after="0" w:line="171" w:lineRule="exact"/>
        <w:rPr>
          <w:sz w:val="20"/>
          <w:szCs w:val="20"/>
          <w:color w:val="auto"/>
        </w:rPr>
      </w:pPr>
    </w:p>
    <w:p>
      <w:pPr>
        <w:ind w:right="180"/>
        <w:spacing w:after="0" w:line="308" w:lineRule="auto"/>
        <w:rPr>
          <w:sz w:val="20"/>
          <w:szCs w:val="20"/>
          <w:color w:val="auto"/>
        </w:rPr>
      </w:pPr>
      <w:r>
        <w:rPr>
          <w:rFonts w:ascii="Arial" w:cs="Arial" w:eastAsia="Arial" w:hAnsi="Arial"/>
          <w:sz w:val="17"/>
          <w:szCs w:val="17"/>
          <w:color w:val="auto"/>
        </w:rPr>
        <w:t>GAAP gross margin for the fourth quarter of fiscal 2014 was 49.8 percent, compared to 50.1 percent for the third quarter of fiscal 2014 and 52.2 percent for the fourth quarter of fiscal 2013. GAAP gross margin for fiscal year 2014 was 51.4 percent compared to 52.9 percent for fiscal year 2013.</w:t>
      </w:r>
    </w:p>
    <w:p>
      <w:pPr>
        <w:spacing w:after="0" w:line="147" w:lineRule="exact"/>
        <w:rPr>
          <w:sz w:val="20"/>
          <w:szCs w:val="20"/>
          <w:color w:val="auto"/>
        </w:rPr>
      </w:pPr>
    </w:p>
    <w:p>
      <w:pPr>
        <w:ind w:right="60"/>
        <w:spacing w:after="0" w:line="342" w:lineRule="auto"/>
        <w:rPr>
          <w:sz w:val="20"/>
          <w:szCs w:val="20"/>
          <w:color w:val="auto"/>
        </w:rPr>
      </w:pPr>
      <w:r>
        <w:rPr>
          <w:rFonts w:ascii="Arial" w:cs="Arial" w:eastAsia="Arial" w:hAnsi="Arial"/>
          <w:sz w:val="16"/>
          <w:szCs w:val="16"/>
          <w:color w:val="auto"/>
        </w:rPr>
        <w:t>Non-GAAP gross margin for the fourth quarter of fiscal 2014 was 50.1 percent, compared to 50.3 percent for the third quarter of fiscal 2014 and 53.2 percent for the fourth quarter of fiscal 2013. Non-GAAP gross margin for fiscal year 2014 was 51.8 percent compared to 53.4 percent for fiscal year 2013.</w:t>
      </w:r>
    </w:p>
    <w:p>
      <w:pPr>
        <w:spacing w:after="0" w:line="124" w:lineRule="exact"/>
        <w:rPr>
          <w:sz w:val="20"/>
          <w:szCs w:val="20"/>
          <w:color w:val="auto"/>
        </w:rPr>
      </w:pPr>
    </w:p>
    <w:p>
      <w:pPr>
        <w:spacing w:after="0" w:line="264" w:lineRule="auto"/>
        <w:rPr>
          <w:sz w:val="20"/>
          <w:szCs w:val="20"/>
          <w:color w:val="auto"/>
        </w:rPr>
      </w:pPr>
      <w:r>
        <w:rPr>
          <w:rFonts w:ascii="Arial" w:cs="Arial" w:eastAsia="Arial" w:hAnsi="Arial"/>
          <w:sz w:val="18"/>
          <w:szCs w:val="18"/>
          <w:color w:val="auto"/>
        </w:rPr>
        <w:t>Shares used to compute GAAP net income per diluted share for the fourth quarter of fiscal 2014 were 510 million shares, compared with 501 million shares in the third quarter of fiscal 2014 and 528 million shares in the fourth quarter of fiscal 2013. Shares used to compute GAAP net income per diluted share for fiscal year 2014 were 504 million shares as compared with 563 million shares for fiscal year 2013.</w:t>
      </w:r>
    </w:p>
    <w:p>
      <w:pPr>
        <w:spacing w:after="0" w:line="181" w:lineRule="exact"/>
        <w:rPr>
          <w:sz w:val="20"/>
          <w:szCs w:val="20"/>
          <w:color w:val="auto"/>
        </w:rPr>
      </w:pPr>
    </w:p>
    <w:p>
      <w:pPr>
        <w:jc w:val="both"/>
        <w:ind w:right="340"/>
        <w:spacing w:after="0" w:line="286" w:lineRule="auto"/>
        <w:rPr>
          <w:sz w:val="20"/>
          <w:szCs w:val="20"/>
          <w:color w:val="auto"/>
        </w:rPr>
      </w:pPr>
      <w:r>
        <w:rPr>
          <w:rFonts w:ascii="Arial" w:cs="Arial" w:eastAsia="Arial" w:hAnsi="Arial"/>
          <w:sz w:val="17"/>
          <w:szCs w:val="17"/>
          <w:color w:val="auto"/>
        </w:rPr>
        <w:t>Shares used to compute non-GAAP net income per diluted share for the fourth quarter of fiscal 2014 were 523 million shares, compared with 514 million shares for the third quarter of fiscal 2014 and 544 million shares for the fourth quarter of fiscal 2013. Shares used to compute non-GAAP net income per diluted share for fiscal year 2014 were 519 million shares as compared with 579 million shares for fiscal year 2013.</w:t>
      </w:r>
    </w:p>
    <w:p>
      <w:pPr>
        <w:spacing w:after="0" w:line="166" w:lineRule="exact"/>
        <w:rPr>
          <w:sz w:val="20"/>
          <w:szCs w:val="20"/>
          <w:color w:val="auto"/>
        </w:rPr>
      </w:pPr>
    </w:p>
    <w:p>
      <w:pPr>
        <w:spacing w:after="0" w:line="257" w:lineRule="auto"/>
        <w:rPr>
          <w:sz w:val="20"/>
          <w:szCs w:val="20"/>
          <w:color w:val="auto"/>
        </w:rPr>
      </w:pPr>
      <w:r>
        <w:rPr>
          <w:rFonts w:ascii="Arial" w:cs="Arial" w:eastAsia="Arial" w:hAnsi="Arial"/>
          <w:sz w:val="18"/>
          <w:szCs w:val="18"/>
          <w:color w:val="auto"/>
        </w:rPr>
        <w:t>Cash flow from operations for the fourth quarter of fiscal 2014 was $100 million, compared to the $177 million reported in the third quarter of fiscal 2014 and the $205 million reported in the fourth quarter of fiscal 2013. Free cash flow for the fourth quarter of fiscal 2014 was $82 million, compared to the $157 million reported in the third quarter of fiscal 2014 and the $161 million reported in the fourth quarter of fiscal 2013. Free cash flow as presented above is defined as cash flow from operations, less capital expenditures and purchases of technology licenses reported under investing and financing activities in the consolidated statement of cash flows.</w:t>
      </w:r>
    </w:p>
    <w:p>
      <w:pPr>
        <w:spacing w:after="0" w:line="12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20"/>
          </w:cols>
          <w:pgMar w:left="240" w:top="274" w:right="239" w:bottom="1440" w:gutter="0" w:footer="0" w:header="0"/>
        </w:sectPr>
      </w:pPr>
    </w:p>
    <w:bookmarkStart w:id="9" w:name="page10"/>
    <w:bookmarkEnd w:id="9"/>
    <w:p>
      <w:pPr>
        <w:ind w:right="80"/>
        <w:spacing w:after="0" w:line="279"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paid a quarterly dividend of $0.06 per share on December 23, 2013 to all shareholders of record as of December 12, 2013. Marvell intends to pay its next quarterly dividend of $0.06 per share on March 27, 2014 to all shareholders of record as of March 13, 2014. Developments in on-going litigation could affect Marvell’s ability to pay the dividend on March 27, 2014 under Bermuda law, where Marvell is incorporated. In such an event, the dividend payment could be delayed until such time as Marvell can meet statutory requirements under Bermuda law.</w:t>
      </w:r>
    </w:p>
    <w:p>
      <w:pPr>
        <w:spacing w:after="0" w:line="171" w:lineRule="exact"/>
        <w:rPr>
          <w:sz w:val="20"/>
          <w:szCs w:val="20"/>
          <w:color w:val="auto"/>
        </w:rPr>
      </w:pPr>
    </w:p>
    <w:p>
      <w:pPr>
        <w:spacing w:after="0" w:line="264" w:lineRule="auto"/>
        <w:rPr>
          <w:sz w:val="20"/>
          <w:szCs w:val="20"/>
          <w:color w:val="auto"/>
        </w:rPr>
      </w:pPr>
      <w:r>
        <w:rPr>
          <w:rFonts w:ascii="Arial" w:cs="Arial" w:eastAsia="Arial" w:hAnsi="Arial"/>
          <w:sz w:val="18"/>
          <w:szCs w:val="18"/>
          <w:color w:val="auto"/>
        </w:rPr>
        <w:t>The payment of future quarterly cash dividends on Marvell’s common shares is subject to, among other things, the best interests of its shareholders, its results of operations, cash balances and future cash requirements, financial condition, statutory requirements of Bermuda law, and other factors that the board of directors may deem relevant.</w:t>
      </w:r>
    </w:p>
    <w:p>
      <w:pPr>
        <w:spacing w:after="0" w:line="28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Conference Call</w:t>
      </w:r>
    </w:p>
    <w:p>
      <w:pPr>
        <w:spacing w:after="0" w:line="121" w:lineRule="exact"/>
        <w:rPr>
          <w:sz w:val="20"/>
          <w:szCs w:val="20"/>
          <w:color w:val="auto"/>
        </w:rPr>
      </w:pPr>
    </w:p>
    <w:p>
      <w:pPr>
        <w:ind w:right="100"/>
        <w:spacing w:after="0" w:line="259" w:lineRule="auto"/>
        <w:rPr>
          <w:sz w:val="20"/>
          <w:szCs w:val="20"/>
          <w:color w:val="auto"/>
        </w:rPr>
      </w:pPr>
      <w:r>
        <w:rPr>
          <w:rFonts w:ascii="Arial" w:cs="Arial" w:eastAsia="Arial" w:hAnsi="Arial"/>
          <w:sz w:val="18"/>
          <w:szCs w:val="18"/>
          <w:color w:val="auto"/>
        </w:rPr>
        <w:t>Marvell will be conducting a conference call on Thursday, February 20, 2014 at 1:45 p.m. Pacific Time to discuss results for the fourth fiscal quarter and fiscal year 2014. Interested parties may join the conference call by dialing 1- 866-318-8620 or 1- 617-399-5139, pass-code 20681461. The call will be webcast by Thomson Reuters and can be accessed at the Marvell Investor Relations website at http://investor.marvell.com/ with a replay available following the call until March 19, 2014.</w:t>
      </w:r>
    </w:p>
    <w:p>
      <w:pPr>
        <w:spacing w:after="0" w:line="2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Discussion of Non-GAAP Financial Measures</w:t>
      </w:r>
    </w:p>
    <w:p>
      <w:pPr>
        <w:spacing w:after="0" w:line="121" w:lineRule="exact"/>
        <w:rPr>
          <w:sz w:val="20"/>
          <w:szCs w:val="20"/>
          <w:color w:val="auto"/>
        </w:rPr>
      </w:pPr>
    </w:p>
    <w:p>
      <w:pPr>
        <w:spacing w:after="0" w:line="291" w:lineRule="auto"/>
        <w:rPr>
          <w:sz w:val="20"/>
          <w:szCs w:val="20"/>
          <w:color w:val="auto"/>
        </w:rPr>
      </w:pPr>
      <w:r>
        <w:rPr>
          <w:rFonts w:ascii="Arial" w:cs="Arial" w:eastAsia="Arial" w:hAnsi="Arial"/>
          <w:sz w:val="16"/>
          <w:szCs w:val="16"/>
          <w:color w:val="auto"/>
        </w:rPr>
        <w:t>Non-GAAP financial measures exclude the effect of share-based compensation expense, amortization and write-off of acquired intangible assets, acquisition-related costs, restructuring and other exit-related costs, and certain one-time expenses and benefits that are driven primarily by discrete events that management does not consider to be directly related to Marvell’s core operating performance. Non-GAAP net income per share is calculated by dividing non-GAAP net income by non-GAAP weighted average shares outstanding (diluted). For purposes of calculating non-GAAP net income per share, the GAAP weighted average shares outstanding (diluted) is adjusted to exclude the potential benefits of share-based compensation expected to be incurred in future periods but not yet recognized in the financial statements. The expected compensation costs are treated as proceeds assumed to be used to repurchase shares under the GAAP treasury stock method and also include the dilutive/anti-dilutive effects of common stock options and restricted stock units.</w:t>
      </w:r>
    </w:p>
    <w:p>
      <w:pPr>
        <w:spacing w:after="0" w:line="10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380"/>
          </w:cols>
          <w:pgMar w:left="240" w:top="274" w:right="279" w:bottom="1440" w:gutter="0" w:footer="0" w:header="0"/>
        </w:sectPr>
      </w:pPr>
    </w:p>
    <w:bookmarkStart w:id="10" w:name="page11"/>
    <w:bookmarkEnd w:id="10"/>
    <w:p>
      <w:pPr>
        <w:spacing w:after="0" w:line="289"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believes that the presentation of non-GAAP financial measures provide important supplemental information to management and investors regarding financial and business trends relating to Marvell’s financial condition and results of operations. While Marvell uses non-GAAP financial measures as a tool to enhance its understanding of certain aspects of its financial performance, Marvell does not consider these measures to be a substitute for, or superior to, the information provided by GAAP financial measures. Consistent with this approach, Marvell believes that disclosing non-GAAP financial measures to the readers of its financial statements provides such readers with useful supplemental data that, while not a substitute for GAAP financial measures, allows for greater transparency in the review of its financial and operational performance. For further information regarding why Marvell believes that these non-GAAP measures provide useful information to investors, the specific manner in which management uses these measures, and some of the limitations associated with the use of these measures, please refer to Marvell’s Current Report on Form 8-K filed today with the SEC. The Form 8-K is available on the SEC’s website at www.sec.gov as well as on the Marvell website in the Investor Relations section at www.marvell.com.</w:t>
      </w:r>
    </w:p>
    <w:p>
      <w:pPr>
        <w:spacing w:after="0" w:line="2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Forward-Looking Statements under the Private Securities Litigation Reform Act of 1995</w:t>
      </w:r>
    </w:p>
    <w:p>
      <w:pPr>
        <w:spacing w:after="0" w:line="121" w:lineRule="exact"/>
        <w:rPr>
          <w:sz w:val="20"/>
          <w:szCs w:val="20"/>
          <w:color w:val="auto"/>
        </w:rPr>
      </w:pPr>
    </w:p>
    <w:p>
      <w:pPr>
        <w:ind w:right="20"/>
        <w:spacing w:after="0" w:line="270" w:lineRule="auto"/>
        <w:rPr>
          <w:sz w:val="20"/>
          <w:szCs w:val="20"/>
          <w:color w:val="auto"/>
        </w:rPr>
      </w:pPr>
      <w:r>
        <w:rPr>
          <w:rFonts w:ascii="Arial" w:cs="Arial" w:eastAsia="Arial" w:hAnsi="Arial"/>
          <w:sz w:val="17"/>
          <w:szCs w:val="17"/>
          <w:color w:val="auto"/>
        </w:rPr>
        <w:t>This press release contains forward-looking statements that involve risks and uncertainties, including Marvell’s expectations and statements regarding: its financial outlook for the first quarter of fiscal 2015; its continued investment in advanced technologies that should help drive increased business opportunities and result in continued revenue and profit growth in all of Marvell’s target end markets; its dividend program including the declaration of, timing of, funding of, payment of and quarterly amount of dividends; and its use of non-GAAP financial measures as important supplemental information. These statements are not guarantees of results and should not be considered as an indication of future activity or future performance. Actual events or results may differ materially from those described in this press release due to a number of risks and uncertainties, including, among others, Marvell’s reliance on a few customers for a significant portion of its revenue; costs and liabilities relating to current and future litigation; Marvell’s ability to develop and introduce new and enhanced products in a timely and cost effective manner and the adoption of those products in the market; seasonality in sales of consumer devices in which our products are incorporated; Marvell’s ability to compete in products and prices in an intensely competitive industry; uncertainty in the worldwide economic conditions; Marvell’s ability to</w:t>
      </w:r>
    </w:p>
    <w:p>
      <w:pPr>
        <w:spacing w:after="0" w:line="11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400"/>
          </w:cols>
          <w:pgMar w:left="240" w:top="274" w:right="259" w:bottom="1440" w:gutter="0" w:footer="0" w:header="0"/>
        </w:sectPr>
      </w:pPr>
    </w:p>
    <w:bookmarkStart w:id="11" w:name="page12"/>
    <w:bookmarkEnd w:id="11"/>
    <w:p>
      <w:pPr>
        <w:ind w:right="60"/>
        <w:spacing w:after="0" w:line="273"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recruit and retain skilled personnel; Marvell’s ability to generate cash flows; and other risks detailed in Marvell’s SEC filings from time to time. When Marvell files its Annual Report on Form 10-K for the year ended February 1, 2014, the financial statements may differ from the results disclosed in this press release because judgments and estimates that management used in preparing the financial results reported in this press release may need to be updated to the date of the filing. For other factors that could cause Marvell’s results to vary from expectations, please see the risk factors identified in the Marvell’s latest Quarterly Report on Form 10-Q for the quarter ended November 2, 2013 as filed with the SEC, and other factors detailed from time to time in Marvell’s filings with the SEC. Marvell undertakes no obligation to revise or update publicly any forward-looking statements.</w:t>
      </w:r>
    </w:p>
    <w:p>
      <w:pPr>
        <w:spacing w:after="0" w:line="28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121" w:lineRule="exact"/>
        <w:rPr>
          <w:sz w:val="20"/>
          <w:szCs w:val="20"/>
          <w:color w:val="auto"/>
        </w:rPr>
      </w:pPr>
    </w:p>
    <w:p>
      <w:pPr>
        <w:ind w:right="100"/>
        <w:spacing w:after="0" w:line="297" w:lineRule="auto"/>
        <w:rPr>
          <w:sz w:val="20"/>
          <w:szCs w:val="20"/>
          <w:color w:val="auto"/>
        </w:rPr>
      </w:pPr>
      <w:r>
        <w:rPr>
          <w:rFonts w:ascii="Arial" w:cs="Arial" w:eastAsia="Arial" w:hAnsi="Arial"/>
          <w:sz w:val="16"/>
          <w:szCs w:val="16"/>
          <w:color w:val="auto"/>
        </w:rPr>
        <w:t>Marvell is a global leader in providing complete silicon solutions enabling the Smart lifestyle. From mobile communications to storage, cloud infrastructure, digital entertainment and in-home content delivery, Marvell’s diverse product portfolio aligns complete platform designs with industry-leading performance, security, reliability and efficiency. At the core of the world’s most powerful consumer, network and enterprise systems, Marvell empowers partners and their customers to always stand at the forefront of innovation, performance and mass appeal. By providing people around the world with mobility and ease of access to services adding value to their social, private and work lives, Marvell is committed to enhancing the human experience.</w:t>
      </w:r>
    </w:p>
    <w:p>
      <w:pPr>
        <w:spacing w:after="0" w:line="158" w:lineRule="exact"/>
        <w:rPr>
          <w:sz w:val="20"/>
          <w:szCs w:val="20"/>
          <w:color w:val="auto"/>
        </w:rPr>
      </w:pPr>
    </w:p>
    <w:p>
      <w:pPr>
        <w:spacing w:after="0"/>
        <w:rPr>
          <w:sz w:val="20"/>
          <w:szCs w:val="20"/>
          <w:color w:val="auto"/>
        </w:rPr>
      </w:pPr>
      <w:r>
        <w:rPr>
          <w:rFonts w:ascii="Arial" w:cs="Arial" w:eastAsia="Arial" w:hAnsi="Arial"/>
          <w:sz w:val="16"/>
          <w:szCs w:val="16"/>
          <w:color w:val="auto"/>
        </w:rPr>
        <w:t xml:space="preserve">As used in this release, the term “Marvell” refers to Marvell Technology Group Ltd. and its subsidiaries. For more information please visit </w:t>
      </w:r>
      <w:r>
        <w:rPr>
          <w:rFonts w:ascii="Arial" w:cs="Arial" w:eastAsia="Arial" w:hAnsi="Arial"/>
          <w:sz w:val="16"/>
          <w:szCs w:val="16"/>
          <w:u w:val="single" w:color="auto"/>
          <w:color w:val="auto"/>
        </w:rPr>
        <w:t>www.marvell.com</w:t>
      </w:r>
      <w:r>
        <w:rPr>
          <w:rFonts w:ascii="Arial" w:cs="Arial" w:eastAsia="Arial" w:hAnsi="Arial"/>
          <w:sz w:val="16"/>
          <w:szCs w:val="16"/>
          <w:color w:val="auto"/>
        </w:rPr>
        <w:t>.</w:t>
      </w:r>
    </w:p>
    <w:p>
      <w:pPr>
        <w:spacing w:after="0" w:line="248"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Marvell® and the Marvell logo are registered trademarks of Marvell and/or its affiliates.</w:t>
      </w:r>
    </w:p>
    <w:p>
      <w:pPr>
        <w:spacing w:after="0" w:line="158" w:lineRule="exact"/>
        <w:rPr>
          <w:sz w:val="20"/>
          <w:szCs w:val="20"/>
          <w:color w:val="auto"/>
        </w:rPr>
      </w:pPr>
    </w:p>
    <w:p>
      <w:pPr>
        <w:ind w:left="5660"/>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400"/>
          </w:cols>
          <w:pgMar w:left="240" w:top="274" w:right="259" w:bottom="1440" w:gutter="0" w:footer="0" w:header="0"/>
        </w:sectPr>
      </w:pPr>
    </w:p>
    <w:bookmarkStart w:id="12" w:name="page13"/>
    <w:bookmarkEnd w:id="12"/>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Statements of Operations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29"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5020" w:type="dxa"/>
            <w:vAlign w:val="bottom"/>
          </w:tcPr>
          <w:p>
            <w:pPr>
              <w:spacing w:after="0"/>
              <w:rPr>
                <w:sz w:val="14"/>
                <w:szCs w:val="14"/>
                <w:color w:val="auto"/>
              </w:rPr>
            </w:pPr>
          </w:p>
        </w:tc>
        <w:tc>
          <w:tcPr>
            <w:tcW w:w="15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920" w:type="dxa"/>
            <w:vAlign w:val="bottom"/>
            <w:gridSpan w:val="7"/>
          </w:tcPr>
          <w:p>
            <w:pPr>
              <w:ind w:left="560"/>
              <w:spacing w:after="0"/>
              <w:rPr>
                <w:sz w:val="20"/>
                <w:szCs w:val="20"/>
                <w:color w:val="auto"/>
              </w:rPr>
            </w:pPr>
            <w:r>
              <w:rPr>
                <w:rFonts w:ascii="Arial" w:cs="Arial" w:eastAsia="Arial" w:hAnsi="Arial"/>
                <w:sz w:val="14"/>
                <w:szCs w:val="14"/>
                <w:b w:val="1"/>
                <w:bCs w:val="1"/>
                <w:color w:val="auto"/>
                <w:w w:val="96"/>
              </w:rPr>
              <w:t>Three Months Ended</w:t>
            </w:r>
          </w:p>
        </w:tc>
        <w:tc>
          <w:tcPr>
            <w:tcW w:w="6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840" w:type="dxa"/>
            <w:vAlign w:val="bottom"/>
            <w:gridSpan w:val="6"/>
          </w:tcPr>
          <w:p>
            <w:pPr>
              <w:jc w:val="right"/>
              <w:ind w:right="660"/>
              <w:spacing w:after="0"/>
              <w:rPr>
                <w:sz w:val="20"/>
                <w:szCs w:val="20"/>
                <w:color w:val="auto"/>
              </w:rPr>
            </w:pPr>
            <w:r>
              <w:rPr>
                <w:rFonts w:ascii="Arial" w:cs="Arial" w:eastAsia="Arial" w:hAnsi="Arial"/>
                <w:sz w:val="14"/>
                <w:szCs w:val="14"/>
                <w:b w:val="1"/>
                <w:bCs w:val="1"/>
                <w:color w:val="auto"/>
              </w:rPr>
              <w:t>Year Ended</w:t>
            </w: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5020" w:type="dxa"/>
            <w:vAlign w:val="bottom"/>
          </w:tcPr>
          <w:p>
            <w:pPr>
              <w:spacing w:after="0"/>
              <w:rPr>
                <w:sz w:val="10"/>
                <w:szCs w:val="10"/>
                <w:color w:val="auto"/>
              </w:rPr>
            </w:pPr>
          </w:p>
        </w:tc>
        <w:tc>
          <w:tcPr>
            <w:tcW w:w="1580" w:type="dxa"/>
            <w:vAlign w:val="bottom"/>
          </w:tcPr>
          <w:p>
            <w:pPr>
              <w:spacing w:after="0"/>
              <w:rPr>
                <w:sz w:val="10"/>
                <w:szCs w:val="10"/>
                <w:color w:val="auto"/>
              </w:rPr>
            </w:pPr>
          </w:p>
        </w:tc>
        <w:tc>
          <w:tcPr>
            <w:tcW w:w="840" w:type="dxa"/>
            <w:vAlign w:val="bottom"/>
            <w:tcBorders>
              <w:top w:val="single" w:sz="8" w:color="auto"/>
            </w:tcBorders>
            <w:gridSpan w:val="3"/>
          </w:tcPr>
          <w:p>
            <w:pPr>
              <w:spacing w:after="0" w:line="119" w:lineRule="exact"/>
              <w:rPr>
                <w:sz w:val="20"/>
                <w:szCs w:val="20"/>
                <w:color w:val="auto"/>
              </w:rPr>
            </w:pPr>
            <w:r>
              <w:rPr>
                <w:rFonts w:ascii="Arial" w:cs="Arial" w:eastAsia="Arial" w:hAnsi="Arial"/>
                <w:sz w:val="13"/>
                <w:szCs w:val="13"/>
                <w:b w:val="1"/>
                <w:bCs w:val="1"/>
                <w:color w:val="auto"/>
              </w:rPr>
              <w:t>February 1,</w:t>
            </w:r>
          </w:p>
        </w:tc>
        <w:tc>
          <w:tcPr>
            <w:tcW w:w="100" w:type="dxa"/>
            <w:vAlign w:val="bottom"/>
            <w:tcBorders>
              <w:top w:val="single" w:sz="8" w:color="auto"/>
            </w:tcBorders>
          </w:tcPr>
          <w:p>
            <w:pPr>
              <w:spacing w:after="0"/>
              <w:rPr>
                <w:sz w:val="10"/>
                <w:szCs w:val="10"/>
                <w:color w:val="auto"/>
              </w:rPr>
            </w:pPr>
          </w:p>
        </w:tc>
        <w:tc>
          <w:tcPr>
            <w:tcW w:w="980" w:type="dxa"/>
            <w:vAlign w:val="bottom"/>
            <w:tcBorders>
              <w:top w:val="single" w:sz="8" w:color="auto"/>
            </w:tcBorders>
            <w:gridSpan w:val="3"/>
          </w:tcPr>
          <w:p>
            <w:pPr>
              <w:spacing w:after="0" w:line="119" w:lineRule="exact"/>
              <w:rPr>
                <w:sz w:val="20"/>
                <w:szCs w:val="20"/>
                <w:color w:val="auto"/>
              </w:rPr>
            </w:pPr>
            <w:r>
              <w:rPr>
                <w:rFonts w:ascii="Arial" w:cs="Arial" w:eastAsia="Arial" w:hAnsi="Arial"/>
                <w:sz w:val="13"/>
                <w:szCs w:val="13"/>
                <w:b w:val="1"/>
                <w:bCs w:val="1"/>
                <w:color w:val="auto"/>
              </w:rPr>
              <w:t>November 2,</w:t>
            </w:r>
          </w:p>
        </w:tc>
        <w:tc>
          <w:tcPr>
            <w:tcW w:w="740" w:type="dxa"/>
            <w:vAlign w:val="bottom"/>
            <w:tcBorders>
              <w:top w:val="single" w:sz="8" w:color="auto"/>
            </w:tcBorders>
            <w:gridSpan w:val="2"/>
          </w:tcPr>
          <w:p>
            <w:pPr>
              <w:spacing w:after="0" w:line="119" w:lineRule="exact"/>
              <w:rPr>
                <w:sz w:val="20"/>
                <w:szCs w:val="20"/>
                <w:color w:val="auto"/>
              </w:rPr>
            </w:pPr>
            <w:r>
              <w:rPr>
                <w:rFonts w:ascii="Arial" w:cs="Arial" w:eastAsia="Arial" w:hAnsi="Arial"/>
                <w:sz w:val="13"/>
                <w:szCs w:val="13"/>
                <w:b w:val="1"/>
                <w:bCs w:val="1"/>
                <w:color w:val="auto"/>
              </w:rPr>
              <w:t>February 2,</w:t>
            </w:r>
          </w:p>
        </w:tc>
        <w:tc>
          <w:tcPr>
            <w:tcW w:w="1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960" w:type="dxa"/>
            <w:vAlign w:val="bottom"/>
            <w:tcBorders>
              <w:top w:val="single" w:sz="8" w:color="auto"/>
            </w:tcBorders>
            <w:gridSpan w:val="3"/>
          </w:tcPr>
          <w:p>
            <w:pPr>
              <w:jc w:val="right"/>
              <w:ind w:right="180"/>
              <w:spacing w:after="0" w:line="119" w:lineRule="exact"/>
              <w:rPr>
                <w:sz w:val="20"/>
                <w:szCs w:val="20"/>
                <w:color w:val="auto"/>
              </w:rPr>
            </w:pPr>
            <w:r>
              <w:rPr>
                <w:rFonts w:ascii="Arial" w:cs="Arial" w:eastAsia="Arial" w:hAnsi="Arial"/>
                <w:sz w:val="13"/>
                <w:szCs w:val="13"/>
                <w:b w:val="1"/>
                <w:bCs w:val="1"/>
                <w:color w:val="auto"/>
              </w:rPr>
              <w:t>February 1,</w:t>
            </w:r>
          </w:p>
        </w:tc>
        <w:tc>
          <w:tcPr>
            <w:tcW w:w="60" w:type="dxa"/>
            <w:vAlign w:val="bottom"/>
            <w:tcBorders>
              <w:top w:val="single" w:sz="8" w:color="auto"/>
            </w:tcBorders>
          </w:tcPr>
          <w:p>
            <w:pPr>
              <w:spacing w:after="0"/>
              <w:rPr>
                <w:sz w:val="10"/>
                <w:szCs w:val="10"/>
                <w:color w:val="auto"/>
              </w:rPr>
            </w:pPr>
          </w:p>
        </w:tc>
        <w:tc>
          <w:tcPr>
            <w:tcW w:w="820" w:type="dxa"/>
            <w:vAlign w:val="bottom"/>
            <w:tcBorders>
              <w:top w:val="single" w:sz="8" w:color="auto"/>
            </w:tcBorders>
            <w:gridSpan w:val="2"/>
          </w:tcPr>
          <w:p>
            <w:pPr>
              <w:jc w:val="right"/>
              <w:spacing w:after="0" w:line="119" w:lineRule="exact"/>
              <w:rPr>
                <w:sz w:val="20"/>
                <w:szCs w:val="20"/>
                <w:color w:val="auto"/>
              </w:rPr>
            </w:pPr>
            <w:r>
              <w:rPr>
                <w:rFonts w:ascii="Arial" w:cs="Arial" w:eastAsia="Arial" w:hAnsi="Arial"/>
                <w:sz w:val="13"/>
                <w:szCs w:val="13"/>
                <w:b w:val="1"/>
                <w:bCs w:val="1"/>
                <w:color w:val="auto"/>
              </w:rPr>
              <w:t>February 2,</w:t>
            </w: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5020" w:type="dxa"/>
            <w:vAlign w:val="bottom"/>
            <w:tcBorders>
              <w:bottom w:val="single" w:sz="8" w:color="CCEEFF"/>
            </w:tcBorders>
          </w:tcPr>
          <w:p>
            <w:pPr>
              <w:spacing w:after="0"/>
              <w:rPr>
                <w:sz w:val="14"/>
                <w:szCs w:val="14"/>
                <w:color w:val="auto"/>
              </w:rPr>
            </w:pPr>
          </w:p>
        </w:tc>
        <w:tc>
          <w:tcPr>
            <w:tcW w:w="158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right"/>
              <w:ind w:right="132"/>
              <w:spacing w:after="0"/>
              <w:rPr>
                <w:sz w:val="20"/>
                <w:szCs w:val="20"/>
                <w:color w:val="auto"/>
              </w:rPr>
            </w:pPr>
            <w:r>
              <w:rPr>
                <w:rFonts w:ascii="Arial" w:cs="Arial" w:eastAsia="Arial" w:hAnsi="Arial"/>
                <w:sz w:val="14"/>
                <w:szCs w:val="14"/>
                <w:b w:val="1"/>
                <w:bCs w:val="1"/>
                <w:color w:val="auto"/>
              </w:rPr>
              <w:t>2014</w:t>
            </w:r>
          </w:p>
        </w:tc>
        <w:tc>
          <w:tcPr>
            <w:tcW w:w="100" w:type="dxa"/>
            <w:vAlign w:val="bottom"/>
            <w:tcBorders>
              <w:bottom w:val="single" w:sz="8" w:color="CCEEFF"/>
            </w:tcBorders>
          </w:tcPr>
          <w:p>
            <w:pPr>
              <w:spacing w:after="0"/>
              <w:rPr>
                <w:sz w:val="14"/>
                <w:szCs w:val="14"/>
                <w:color w:val="auto"/>
              </w:rPr>
            </w:pPr>
          </w:p>
        </w:tc>
        <w:tc>
          <w:tcPr>
            <w:tcW w:w="10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right"/>
              <w:ind w:right="151"/>
              <w:spacing w:after="0"/>
              <w:rPr>
                <w:sz w:val="20"/>
                <w:szCs w:val="20"/>
                <w:color w:val="auto"/>
              </w:rPr>
            </w:pPr>
            <w:r>
              <w:rPr>
                <w:rFonts w:ascii="Arial" w:cs="Arial" w:eastAsia="Arial" w:hAnsi="Arial"/>
                <w:sz w:val="14"/>
                <w:szCs w:val="14"/>
                <w:b w:val="1"/>
                <w:bCs w:val="1"/>
                <w:color w:val="auto"/>
              </w:rPr>
              <w:t>2013</w:t>
            </w:r>
          </w:p>
        </w:tc>
        <w:tc>
          <w:tcPr>
            <w:tcW w:w="20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right"/>
              <w:ind w:right="131"/>
              <w:spacing w:after="0"/>
              <w:rPr>
                <w:sz w:val="20"/>
                <w:szCs w:val="20"/>
                <w:color w:val="auto"/>
              </w:rPr>
            </w:pPr>
            <w:r>
              <w:rPr>
                <w:rFonts w:ascii="Arial" w:cs="Arial" w:eastAsia="Arial" w:hAnsi="Arial"/>
                <w:sz w:val="14"/>
                <w:szCs w:val="14"/>
                <w:b w:val="1"/>
                <w:bCs w:val="1"/>
                <w:color w:val="auto"/>
              </w:rPr>
              <w:t>2013</w:t>
            </w:r>
          </w:p>
        </w:tc>
        <w:tc>
          <w:tcPr>
            <w:tcW w:w="120" w:type="dxa"/>
            <w:vAlign w:val="bottom"/>
            <w:tcBorders>
              <w:bottom w:val="single" w:sz="8" w:color="CCEEFF"/>
            </w:tcBorders>
          </w:tcPr>
          <w:p>
            <w:pPr>
              <w:spacing w:after="0"/>
              <w:rPr>
                <w:sz w:val="14"/>
                <w:szCs w:val="14"/>
                <w:color w:val="auto"/>
              </w:rPr>
            </w:pPr>
          </w:p>
        </w:tc>
        <w:tc>
          <w:tcPr>
            <w:tcW w:w="8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72"/>
              <w:spacing w:after="0"/>
              <w:rPr>
                <w:sz w:val="20"/>
                <w:szCs w:val="20"/>
                <w:color w:val="auto"/>
              </w:rPr>
            </w:pPr>
            <w:r>
              <w:rPr>
                <w:rFonts w:ascii="Arial" w:cs="Arial" w:eastAsia="Arial" w:hAnsi="Arial"/>
                <w:sz w:val="14"/>
                <w:szCs w:val="14"/>
                <w:b w:val="1"/>
                <w:bCs w:val="1"/>
                <w:color w:val="auto"/>
              </w:rPr>
              <w:t>2014</w:t>
            </w:r>
          </w:p>
        </w:tc>
        <w:tc>
          <w:tcPr>
            <w:tcW w:w="140" w:type="dxa"/>
            <w:vAlign w:val="bottom"/>
            <w:tcBorders>
              <w:bottom w:val="single" w:sz="8" w:color="CCEEFF"/>
            </w:tcBorders>
          </w:tcPr>
          <w:p>
            <w:pPr>
              <w:spacing w:after="0"/>
              <w:rPr>
                <w:sz w:val="14"/>
                <w:szCs w:val="14"/>
                <w:color w:val="auto"/>
              </w:rPr>
            </w:pPr>
          </w:p>
        </w:tc>
        <w:tc>
          <w:tcPr>
            <w:tcW w:w="6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71"/>
              <w:spacing w:after="0"/>
              <w:rPr>
                <w:sz w:val="20"/>
                <w:szCs w:val="20"/>
                <w:color w:val="auto"/>
              </w:rPr>
            </w:pPr>
            <w:r>
              <w:rPr>
                <w:rFonts w:ascii="Arial" w:cs="Arial" w:eastAsia="Arial" w:hAnsi="Arial"/>
                <w:sz w:val="14"/>
                <w:szCs w:val="14"/>
                <w:b w:val="1"/>
                <w:bCs w:val="1"/>
                <w:color w:val="auto"/>
              </w:rPr>
              <w:t>2013</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02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15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931,749</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931,226</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775,294</w:t>
            </w: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3,404,400</w:t>
            </w:r>
          </w:p>
        </w:tc>
        <w:tc>
          <w:tcPr>
            <w:tcW w:w="14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3,168,630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20" w:type="dxa"/>
            <w:vAlign w:val="bottom"/>
          </w:tcPr>
          <w:p>
            <w:pPr>
              <w:spacing w:after="0"/>
              <w:rPr>
                <w:sz w:val="20"/>
                <w:szCs w:val="20"/>
                <w:color w:val="auto"/>
              </w:rPr>
            </w:pPr>
            <w:r>
              <w:rPr>
                <w:rFonts w:ascii="Arial" w:cs="Arial" w:eastAsia="Arial" w:hAnsi="Arial"/>
                <w:sz w:val="18"/>
                <w:szCs w:val="18"/>
                <w:color w:val="auto"/>
              </w:rPr>
              <w:t>Cost of goods sold</w:t>
            </w:r>
          </w:p>
        </w:tc>
        <w:tc>
          <w:tcPr>
            <w:tcW w:w="15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w w:val="92"/>
              </w:rPr>
              <w:t>467,752</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40" w:type="dxa"/>
            <w:vAlign w:val="bottom"/>
            <w:gridSpan w:val="2"/>
          </w:tcPr>
          <w:p>
            <w:pPr>
              <w:jc w:val="right"/>
              <w:ind w:right="200"/>
              <w:spacing w:after="0"/>
              <w:rPr>
                <w:sz w:val="20"/>
                <w:szCs w:val="20"/>
                <w:color w:val="auto"/>
              </w:rPr>
            </w:pPr>
            <w:r>
              <w:rPr>
                <w:rFonts w:ascii="Arial" w:cs="Arial" w:eastAsia="Arial" w:hAnsi="Arial"/>
                <w:sz w:val="18"/>
                <w:szCs w:val="18"/>
                <w:color w:val="auto"/>
                <w:w w:val="95"/>
              </w:rPr>
              <w:t>464,981</w:t>
            </w:r>
          </w:p>
        </w:tc>
        <w:tc>
          <w:tcPr>
            <w:tcW w:w="12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w w:val="92"/>
              </w:rPr>
              <w:t>370,833</w:t>
            </w: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w w:val="87"/>
              </w:rPr>
              <w:t>1,654,230</w:t>
            </w:r>
          </w:p>
        </w:tc>
        <w:tc>
          <w:tcPr>
            <w:tcW w:w="14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w w:val="87"/>
              </w:rPr>
              <w:t>1,493,497</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020" w:type="dxa"/>
            <w:vAlign w:val="bottom"/>
          </w:tcPr>
          <w:p>
            <w:pPr>
              <w:spacing w:after="0"/>
              <w:rPr>
                <w:sz w:val="2"/>
                <w:szCs w:val="2"/>
                <w:color w:val="auto"/>
              </w:rPr>
            </w:pPr>
          </w:p>
        </w:tc>
        <w:tc>
          <w:tcPr>
            <w:tcW w:w="158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40" w:type="dxa"/>
            <w:vAlign w:val="bottom"/>
          </w:tcPr>
          <w:p>
            <w:pPr>
              <w:spacing w:after="0"/>
              <w:rPr>
                <w:sz w:val="2"/>
                <w:szCs w:val="2"/>
                <w:color w:val="auto"/>
              </w:rPr>
            </w:pPr>
          </w:p>
        </w:tc>
        <w:tc>
          <w:tcPr>
            <w:tcW w:w="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020" w:type="dxa"/>
            <w:vAlign w:val="bottom"/>
            <w:shd w:val="clear" w:color="auto" w:fill="CCEEFF"/>
          </w:tcPr>
          <w:p>
            <w:pPr>
              <w:spacing w:after="0"/>
              <w:rPr>
                <w:sz w:val="20"/>
                <w:szCs w:val="20"/>
                <w:color w:val="auto"/>
              </w:rPr>
            </w:pPr>
            <w:r>
              <w:rPr>
                <w:rFonts w:ascii="Arial" w:cs="Arial" w:eastAsia="Arial" w:hAnsi="Arial"/>
                <w:sz w:val="18"/>
                <w:szCs w:val="18"/>
                <w:color w:val="auto"/>
              </w:rPr>
              <w:t>Gross profit</w:t>
            </w:r>
          </w:p>
        </w:tc>
        <w:tc>
          <w:tcPr>
            <w:tcW w:w="15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463,997</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95"/>
              </w:rPr>
              <w:t>466,245</w:t>
            </w: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404,461</w:t>
            </w: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1,750,170</w:t>
            </w:r>
          </w:p>
        </w:tc>
        <w:tc>
          <w:tcPr>
            <w:tcW w:w="14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1,675,133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20" w:type="dxa"/>
            <w:vAlign w:val="bottom"/>
          </w:tcPr>
          <w:p>
            <w:pPr>
              <w:spacing w:after="0"/>
              <w:rPr>
                <w:sz w:val="20"/>
                <w:szCs w:val="20"/>
                <w:color w:val="auto"/>
              </w:rPr>
            </w:pPr>
            <w:r>
              <w:rPr>
                <w:rFonts w:ascii="Arial" w:cs="Arial" w:eastAsia="Arial" w:hAnsi="Arial"/>
                <w:sz w:val="18"/>
                <w:szCs w:val="18"/>
                <w:color w:val="auto"/>
              </w:rPr>
              <w:t>Operating expenses:</w:t>
            </w:r>
          </w:p>
        </w:tc>
        <w:tc>
          <w:tcPr>
            <w:tcW w:w="15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Research and development</w:t>
            </w:r>
          </w:p>
        </w:tc>
        <w:tc>
          <w:tcPr>
            <w:tcW w:w="15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2"/>
              </w:rPr>
              <w:t>288,900</w:t>
            </w:r>
          </w:p>
        </w:tc>
        <w:tc>
          <w:tcPr>
            <w:tcW w:w="1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95"/>
              </w:rPr>
              <w:t>296,291</w:t>
            </w: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273,685</w:t>
            </w: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1,156,885</w:t>
            </w:r>
          </w:p>
        </w:tc>
        <w:tc>
          <w:tcPr>
            <w:tcW w:w="14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1,057,445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20" w:type="dxa"/>
            <w:vAlign w:val="bottom"/>
          </w:tcPr>
          <w:p>
            <w:pPr>
              <w:ind w:left="340"/>
              <w:spacing w:after="0"/>
              <w:rPr>
                <w:sz w:val="20"/>
                <w:szCs w:val="20"/>
                <w:color w:val="auto"/>
              </w:rPr>
            </w:pPr>
            <w:r>
              <w:rPr>
                <w:rFonts w:ascii="Arial" w:cs="Arial" w:eastAsia="Arial" w:hAnsi="Arial"/>
                <w:sz w:val="18"/>
                <w:szCs w:val="18"/>
                <w:color w:val="auto"/>
              </w:rPr>
              <w:t>Selling and marketing</w:t>
            </w:r>
          </w:p>
        </w:tc>
        <w:tc>
          <w:tcPr>
            <w:tcW w:w="15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20" w:type="dxa"/>
            <w:vAlign w:val="bottom"/>
            <w:gridSpan w:val="2"/>
          </w:tcPr>
          <w:p>
            <w:pPr>
              <w:jc w:val="right"/>
              <w:ind w:right="100"/>
              <w:spacing w:after="0"/>
              <w:rPr>
                <w:sz w:val="20"/>
                <w:szCs w:val="20"/>
                <w:color w:val="auto"/>
              </w:rPr>
            </w:pPr>
            <w:r>
              <w:rPr>
                <w:rFonts w:ascii="Arial" w:cs="Arial" w:eastAsia="Arial" w:hAnsi="Arial"/>
                <w:sz w:val="18"/>
                <w:szCs w:val="18"/>
                <w:color w:val="auto"/>
              </w:rPr>
              <w:t>36,665</w:t>
            </w:r>
          </w:p>
        </w:tc>
        <w:tc>
          <w:tcPr>
            <w:tcW w:w="1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40" w:type="dxa"/>
            <w:vAlign w:val="bottom"/>
            <w:gridSpan w:val="2"/>
          </w:tcPr>
          <w:p>
            <w:pPr>
              <w:jc w:val="right"/>
              <w:ind w:right="200"/>
              <w:spacing w:after="0"/>
              <w:rPr>
                <w:sz w:val="20"/>
                <w:szCs w:val="20"/>
                <w:color w:val="auto"/>
              </w:rPr>
            </w:pPr>
            <w:r>
              <w:rPr>
                <w:rFonts w:ascii="Arial" w:cs="Arial" w:eastAsia="Arial" w:hAnsi="Arial"/>
                <w:sz w:val="18"/>
                <w:szCs w:val="18"/>
                <w:color w:val="auto"/>
              </w:rPr>
              <w:t>37,496</w:t>
            </w:r>
          </w:p>
        </w:tc>
        <w:tc>
          <w:tcPr>
            <w:tcW w:w="120" w:type="dxa"/>
            <w:vAlign w:val="bottom"/>
          </w:tcPr>
          <w:p>
            <w:pPr>
              <w:spacing w:after="0"/>
              <w:rPr>
                <w:sz w:val="18"/>
                <w:szCs w:val="18"/>
                <w:color w:val="auto"/>
              </w:rPr>
            </w:pPr>
          </w:p>
        </w:tc>
        <w:tc>
          <w:tcPr>
            <w:tcW w:w="740" w:type="dxa"/>
            <w:vAlign w:val="bottom"/>
            <w:gridSpan w:val="2"/>
          </w:tcPr>
          <w:p>
            <w:pPr>
              <w:jc w:val="right"/>
              <w:ind w:right="120"/>
              <w:spacing w:after="0"/>
              <w:rPr>
                <w:sz w:val="20"/>
                <w:szCs w:val="20"/>
                <w:color w:val="auto"/>
              </w:rPr>
            </w:pPr>
            <w:r>
              <w:rPr>
                <w:rFonts w:ascii="Arial" w:cs="Arial" w:eastAsia="Arial" w:hAnsi="Arial"/>
                <w:sz w:val="18"/>
                <w:szCs w:val="18"/>
                <w:color w:val="auto"/>
              </w:rPr>
              <w:t>42,319</w:t>
            </w: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152,698</w:t>
            </w:r>
          </w:p>
        </w:tc>
        <w:tc>
          <w:tcPr>
            <w:tcW w:w="14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161,817</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General and administrative</w:t>
            </w:r>
          </w:p>
        </w:tc>
        <w:tc>
          <w:tcPr>
            <w:tcW w:w="15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26,367</w:t>
            </w:r>
          </w:p>
        </w:tc>
        <w:tc>
          <w:tcPr>
            <w:tcW w:w="1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26,589</w:t>
            </w:r>
          </w:p>
        </w:tc>
        <w:tc>
          <w:tcPr>
            <w:tcW w:w="12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32,577</w:t>
            </w: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106,471</w:t>
            </w:r>
          </w:p>
        </w:tc>
        <w:tc>
          <w:tcPr>
            <w:tcW w:w="14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108,514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20" w:type="dxa"/>
            <w:vAlign w:val="bottom"/>
          </w:tcPr>
          <w:p>
            <w:pPr>
              <w:ind w:left="340"/>
              <w:spacing w:after="0"/>
              <w:rPr>
                <w:sz w:val="20"/>
                <w:szCs w:val="20"/>
                <w:color w:val="auto"/>
              </w:rPr>
            </w:pPr>
            <w:r>
              <w:rPr>
                <w:rFonts w:ascii="Arial" w:cs="Arial" w:eastAsia="Arial" w:hAnsi="Arial"/>
                <w:sz w:val="18"/>
                <w:szCs w:val="18"/>
                <w:color w:val="auto"/>
              </w:rPr>
              <w:t>Amortization and write-off of acquired intangible assets</w:t>
            </w:r>
          </w:p>
        </w:tc>
        <w:tc>
          <w:tcPr>
            <w:tcW w:w="15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11,956</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40" w:type="dxa"/>
            <w:vAlign w:val="bottom"/>
            <w:gridSpan w:val="2"/>
          </w:tcPr>
          <w:p>
            <w:pPr>
              <w:jc w:val="right"/>
              <w:ind w:right="200"/>
              <w:spacing w:after="0"/>
              <w:rPr>
                <w:sz w:val="20"/>
                <w:szCs w:val="20"/>
                <w:color w:val="auto"/>
              </w:rPr>
            </w:pPr>
            <w:r>
              <w:rPr>
                <w:rFonts w:ascii="Arial" w:cs="Arial" w:eastAsia="Arial" w:hAnsi="Arial"/>
                <w:sz w:val="18"/>
                <w:szCs w:val="18"/>
                <w:color w:val="auto"/>
              </w:rPr>
              <w:t>10,645</w:t>
            </w:r>
          </w:p>
        </w:tc>
        <w:tc>
          <w:tcPr>
            <w:tcW w:w="120" w:type="dxa"/>
            <w:vAlign w:val="bottom"/>
          </w:tcPr>
          <w:p>
            <w:pPr>
              <w:spacing w:after="0"/>
              <w:rPr>
                <w:sz w:val="18"/>
                <w:szCs w:val="18"/>
                <w:color w:val="auto"/>
              </w:rPr>
            </w:pPr>
          </w:p>
        </w:tc>
        <w:tc>
          <w:tcPr>
            <w:tcW w:w="740" w:type="dxa"/>
            <w:vAlign w:val="bottom"/>
            <w:gridSpan w:val="2"/>
          </w:tcPr>
          <w:p>
            <w:pPr>
              <w:jc w:val="right"/>
              <w:ind w:right="120"/>
              <w:spacing w:after="0"/>
              <w:rPr>
                <w:sz w:val="20"/>
                <w:szCs w:val="20"/>
                <w:color w:val="auto"/>
              </w:rPr>
            </w:pPr>
            <w:r>
              <w:rPr>
                <w:rFonts w:ascii="Arial" w:cs="Arial" w:eastAsia="Arial" w:hAnsi="Arial"/>
                <w:sz w:val="18"/>
                <w:szCs w:val="18"/>
                <w:color w:val="auto"/>
              </w:rPr>
              <w:t>12,268</w:t>
            </w: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140"/>
              <w:spacing w:after="0"/>
              <w:rPr>
                <w:sz w:val="20"/>
                <w:szCs w:val="20"/>
                <w:color w:val="auto"/>
              </w:rPr>
            </w:pPr>
            <w:r>
              <w:rPr>
                <w:rFonts w:ascii="Arial" w:cs="Arial" w:eastAsia="Arial" w:hAnsi="Arial"/>
                <w:sz w:val="18"/>
                <w:szCs w:val="18"/>
                <w:color w:val="auto"/>
              </w:rPr>
              <w:t>43,925</w:t>
            </w: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52,700</w:t>
            </w: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5020" w:type="dxa"/>
            <w:vAlign w:val="bottom"/>
          </w:tcPr>
          <w:p>
            <w:pPr>
              <w:spacing w:after="0"/>
              <w:rPr>
                <w:sz w:val="2"/>
                <w:szCs w:val="2"/>
                <w:color w:val="auto"/>
              </w:rPr>
            </w:pPr>
          </w:p>
        </w:tc>
        <w:tc>
          <w:tcPr>
            <w:tcW w:w="158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40" w:type="dxa"/>
            <w:vAlign w:val="bottom"/>
          </w:tcPr>
          <w:p>
            <w:pPr>
              <w:spacing w:after="0"/>
              <w:rPr>
                <w:sz w:val="2"/>
                <w:szCs w:val="2"/>
                <w:color w:val="auto"/>
              </w:rPr>
            </w:pPr>
          </w:p>
        </w:tc>
        <w:tc>
          <w:tcPr>
            <w:tcW w:w="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5020" w:type="dxa"/>
            <w:vAlign w:val="bottom"/>
            <w:shd w:val="clear" w:color="auto" w:fill="CCEEFF"/>
          </w:tcPr>
          <w:p>
            <w:pPr>
              <w:ind w:left="700"/>
              <w:spacing w:after="0"/>
              <w:rPr>
                <w:sz w:val="20"/>
                <w:szCs w:val="20"/>
                <w:color w:val="auto"/>
              </w:rPr>
            </w:pPr>
            <w:r>
              <w:rPr>
                <w:rFonts w:ascii="Arial" w:cs="Arial" w:eastAsia="Arial" w:hAnsi="Arial"/>
                <w:sz w:val="18"/>
                <w:szCs w:val="18"/>
                <w:color w:val="auto"/>
              </w:rPr>
              <w:t>Total operating expenses</w:t>
            </w:r>
          </w:p>
        </w:tc>
        <w:tc>
          <w:tcPr>
            <w:tcW w:w="15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363,888</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95"/>
              </w:rPr>
              <w:t>371,021</w:t>
            </w: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360,849</w:t>
            </w: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1,459,979</w:t>
            </w:r>
          </w:p>
        </w:tc>
        <w:tc>
          <w:tcPr>
            <w:tcW w:w="14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1,380,476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5040" w:type="dxa"/>
            <w:vAlign w:val="bottom"/>
            <w:gridSpan w:val="2"/>
          </w:tcPr>
          <w:p>
            <w:pPr>
              <w:spacing w:after="0"/>
              <w:rPr>
                <w:sz w:val="20"/>
                <w:szCs w:val="20"/>
                <w:color w:val="auto"/>
              </w:rPr>
            </w:pPr>
            <w:r>
              <w:rPr>
                <w:rFonts w:ascii="Arial" w:cs="Arial" w:eastAsia="Arial" w:hAnsi="Arial"/>
                <w:sz w:val="18"/>
                <w:szCs w:val="18"/>
                <w:color w:val="auto"/>
              </w:rPr>
              <w:t>Operating income</w:t>
            </w:r>
          </w:p>
        </w:tc>
        <w:tc>
          <w:tcPr>
            <w:tcW w:w="1580" w:type="dxa"/>
            <w:vAlign w:val="bottom"/>
          </w:tcPr>
          <w:p>
            <w:pPr>
              <w:spacing w:after="0"/>
              <w:rPr>
                <w:sz w:val="19"/>
                <w:szCs w:val="19"/>
                <w:color w:val="auto"/>
              </w:rPr>
            </w:pPr>
          </w:p>
        </w:tc>
        <w:tc>
          <w:tcPr>
            <w:tcW w:w="120" w:type="dxa"/>
            <w:vAlign w:val="bottom"/>
            <w:tcBorders>
              <w:top w:val="single" w:sz="8" w:color="auto"/>
            </w:tcBorders>
          </w:tcPr>
          <w:p>
            <w:pPr>
              <w:spacing w:after="0"/>
              <w:rPr>
                <w:sz w:val="19"/>
                <w:szCs w:val="19"/>
                <w:color w:val="auto"/>
              </w:rPr>
            </w:pPr>
          </w:p>
        </w:tc>
        <w:tc>
          <w:tcPr>
            <w:tcW w:w="6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2"/>
              </w:rPr>
              <w:t>100,109</w:t>
            </w:r>
          </w:p>
        </w:tc>
        <w:tc>
          <w:tcPr>
            <w:tcW w:w="1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40" w:type="dxa"/>
            <w:vAlign w:val="bottom"/>
            <w:tcBorders>
              <w:top w:val="single" w:sz="8" w:color="auto"/>
            </w:tcBorders>
          </w:tcPr>
          <w:p>
            <w:pPr>
              <w:spacing w:after="0"/>
              <w:rPr>
                <w:sz w:val="19"/>
                <w:szCs w:val="19"/>
                <w:color w:val="auto"/>
              </w:rPr>
            </w:pPr>
          </w:p>
        </w:tc>
        <w:tc>
          <w:tcPr>
            <w:tcW w:w="6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95,224</w:t>
            </w:r>
          </w:p>
        </w:tc>
        <w:tc>
          <w:tcPr>
            <w:tcW w:w="200" w:type="dxa"/>
            <w:vAlign w:val="bottom"/>
          </w:tcPr>
          <w:p>
            <w:pPr>
              <w:spacing w:after="0"/>
              <w:rPr>
                <w:sz w:val="19"/>
                <w:szCs w:val="19"/>
                <w:color w:val="auto"/>
              </w:rPr>
            </w:pPr>
          </w:p>
        </w:tc>
        <w:tc>
          <w:tcPr>
            <w:tcW w:w="120" w:type="dxa"/>
            <w:vAlign w:val="bottom"/>
            <w:tcBorders>
              <w:top w:val="single" w:sz="8" w:color="auto"/>
            </w:tcBorders>
          </w:tcPr>
          <w:p>
            <w:pPr>
              <w:spacing w:after="0"/>
              <w:rPr>
                <w:sz w:val="19"/>
                <w:szCs w:val="19"/>
                <w:color w:val="auto"/>
              </w:rPr>
            </w:pPr>
          </w:p>
        </w:tc>
        <w:tc>
          <w:tcPr>
            <w:tcW w:w="6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43,612</w:t>
            </w:r>
          </w:p>
        </w:tc>
        <w:tc>
          <w:tcPr>
            <w:tcW w:w="1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290,191</w:t>
            </w:r>
          </w:p>
        </w:tc>
        <w:tc>
          <w:tcPr>
            <w:tcW w:w="14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294,657</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20" w:type="dxa"/>
            <w:vAlign w:val="bottom"/>
            <w:shd w:val="clear" w:color="auto" w:fill="CCEEFF"/>
          </w:tcPr>
          <w:p>
            <w:pPr>
              <w:spacing w:after="0"/>
              <w:rPr>
                <w:sz w:val="20"/>
                <w:szCs w:val="20"/>
                <w:color w:val="auto"/>
              </w:rPr>
            </w:pPr>
            <w:r>
              <w:rPr>
                <w:rFonts w:ascii="Arial" w:cs="Arial" w:eastAsia="Arial" w:hAnsi="Arial"/>
                <w:sz w:val="18"/>
                <w:szCs w:val="18"/>
                <w:color w:val="auto"/>
              </w:rPr>
              <w:t>Interest and other income, net</w:t>
            </w:r>
          </w:p>
        </w:tc>
        <w:tc>
          <w:tcPr>
            <w:tcW w:w="15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12,617</w:t>
            </w:r>
          </w:p>
        </w:tc>
        <w:tc>
          <w:tcPr>
            <w:tcW w:w="1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1,536</w:t>
            </w: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6,225</w:t>
            </w: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25,566</w:t>
            </w: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15,533</w:t>
            </w:r>
          </w:p>
        </w:tc>
        <w:tc>
          <w:tcPr>
            <w:tcW w:w="0" w:type="dxa"/>
            <w:vAlign w:val="bottom"/>
          </w:tcPr>
          <w:p>
            <w:pPr>
              <w:spacing w:after="0"/>
              <w:rPr>
                <w:sz w:val="1"/>
                <w:szCs w:val="1"/>
                <w:color w:val="auto"/>
              </w:rPr>
            </w:pPr>
          </w:p>
        </w:tc>
      </w:tr>
      <w:tr>
        <w:trPr>
          <w:trHeight w:val="223"/>
        </w:trPr>
        <w:tc>
          <w:tcPr>
            <w:tcW w:w="5040" w:type="dxa"/>
            <w:vAlign w:val="bottom"/>
            <w:gridSpan w:val="2"/>
          </w:tcPr>
          <w:p>
            <w:pPr>
              <w:spacing w:after="0"/>
              <w:rPr>
                <w:sz w:val="20"/>
                <w:szCs w:val="20"/>
                <w:color w:val="auto"/>
              </w:rPr>
            </w:pPr>
            <w:r>
              <w:rPr>
                <w:rFonts w:ascii="Arial" w:cs="Arial" w:eastAsia="Arial" w:hAnsi="Arial"/>
                <w:sz w:val="18"/>
                <w:szCs w:val="18"/>
                <w:color w:val="auto"/>
              </w:rPr>
              <w:t>Income before income taxes</w:t>
            </w:r>
          </w:p>
        </w:tc>
        <w:tc>
          <w:tcPr>
            <w:tcW w:w="1580" w:type="dxa"/>
            <w:vAlign w:val="bottom"/>
          </w:tcPr>
          <w:p>
            <w:pPr>
              <w:spacing w:after="0"/>
              <w:rPr>
                <w:sz w:val="19"/>
                <w:szCs w:val="19"/>
                <w:color w:val="auto"/>
              </w:rPr>
            </w:pPr>
          </w:p>
        </w:tc>
        <w:tc>
          <w:tcPr>
            <w:tcW w:w="120" w:type="dxa"/>
            <w:vAlign w:val="bottom"/>
            <w:tcBorders>
              <w:top w:val="single" w:sz="8" w:color="auto"/>
            </w:tcBorders>
          </w:tcPr>
          <w:p>
            <w:pPr>
              <w:spacing w:after="0"/>
              <w:rPr>
                <w:sz w:val="19"/>
                <w:szCs w:val="19"/>
                <w:color w:val="auto"/>
              </w:rPr>
            </w:pPr>
          </w:p>
        </w:tc>
        <w:tc>
          <w:tcPr>
            <w:tcW w:w="6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2"/>
              </w:rPr>
              <w:t>112,726</w:t>
            </w:r>
          </w:p>
        </w:tc>
        <w:tc>
          <w:tcPr>
            <w:tcW w:w="1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40" w:type="dxa"/>
            <w:vAlign w:val="bottom"/>
            <w:tcBorders>
              <w:top w:val="single" w:sz="8" w:color="auto"/>
            </w:tcBorders>
          </w:tcPr>
          <w:p>
            <w:pPr>
              <w:spacing w:after="0"/>
              <w:rPr>
                <w:sz w:val="19"/>
                <w:szCs w:val="19"/>
                <w:color w:val="auto"/>
              </w:rPr>
            </w:pPr>
          </w:p>
        </w:tc>
        <w:tc>
          <w:tcPr>
            <w:tcW w:w="6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96,760</w:t>
            </w:r>
          </w:p>
        </w:tc>
        <w:tc>
          <w:tcPr>
            <w:tcW w:w="200" w:type="dxa"/>
            <w:vAlign w:val="bottom"/>
          </w:tcPr>
          <w:p>
            <w:pPr>
              <w:spacing w:after="0"/>
              <w:rPr>
                <w:sz w:val="19"/>
                <w:szCs w:val="19"/>
                <w:color w:val="auto"/>
              </w:rPr>
            </w:pPr>
          </w:p>
        </w:tc>
        <w:tc>
          <w:tcPr>
            <w:tcW w:w="120" w:type="dxa"/>
            <w:vAlign w:val="bottom"/>
            <w:tcBorders>
              <w:top w:val="single" w:sz="8" w:color="auto"/>
            </w:tcBorders>
          </w:tcPr>
          <w:p>
            <w:pPr>
              <w:spacing w:after="0"/>
              <w:rPr>
                <w:sz w:val="19"/>
                <w:szCs w:val="19"/>
                <w:color w:val="auto"/>
              </w:rPr>
            </w:pPr>
          </w:p>
        </w:tc>
        <w:tc>
          <w:tcPr>
            <w:tcW w:w="6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49,837</w:t>
            </w:r>
          </w:p>
        </w:tc>
        <w:tc>
          <w:tcPr>
            <w:tcW w:w="1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315,757</w:t>
            </w:r>
          </w:p>
        </w:tc>
        <w:tc>
          <w:tcPr>
            <w:tcW w:w="14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310,190</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20" w:type="dxa"/>
            <w:vAlign w:val="bottom"/>
            <w:shd w:val="clear" w:color="auto" w:fill="CCEEFF"/>
          </w:tcPr>
          <w:p>
            <w:pPr>
              <w:spacing w:after="0"/>
              <w:rPr>
                <w:sz w:val="20"/>
                <w:szCs w:val="20"/>
                <w:color w:val="auto"/>
              </w:rPr>
            </w:pPr>
            <w:r>
              <w:rPr>
                <w:rFonts w:ascii="Arial" w:cs="Arial" w:eastAsia="Arial" w:hAnsi="Arial"/>
                <w:sz w:val="18"/>
                <w:szCs w:val="18"/>
                <w:color w:val="auto"/>
              </w:rPr>
              <w:t>Provision (benefit) for income taxes</w:t>
            </w:r>
          </w:p>
        </w:tc>
        <w:tc>
          <w:tcPr>
            <w:tcW w:w="15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6,097</w:t>
            </w:r>
          </w:p>
        </w:tc>
        <w:tc>
          <w:tcPr>
            <w:tcW w:w="1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(6,396)</w:t>
            </w:r>
          </w:p>
        </w:tc>
        <w:tc>
          <w:tcPr>
            <w:tcW w:w="12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(315)</w:t>
            </w: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(9,063)</w:t>
            </w: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3,605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5040" w:type="dxa"/>
            <w:vAlign w:val="bottom"/>
            <w:gridSpan w:val="2"/>
          </w:tcPr>
          <w:p>
            <w:pPr>
              <w:spacing w:after="0"/>
              <w:rPr>
                <w:sz w:val="20"/>
                <w:szCs w:val="20"/>
                <w:color w:val="auto"/>
              </w:rPr>
            </w:pPr>
            <w:r>
              <w:rPr>
                <w:rFonts w:ascii="Arial" w:cs="Arial" w:eastAsia="Arial" w:hAnsi="Arial"/>
                <w:sz w:val="18"/>
                <w:szCs w:val="18"/>
                <w:color w:val="auto"/>
              </w:rPr>
              <w:t>Net income</w:t>
            </w:r>
          </w:p>
        </w:tc>
        <w:tc>
          <w:tcPr>
            <w:tcW w:w="1580" w:type="dxa"/>
            <w:vAlign w:val="bottom"/>
          </w:tcPr>
          <w:p>
            <w:pPr>
              <w:spacing w:after="0"/>
              <w:rPr>
                <w:sz w:val="19"/>
                <w:szCs w:val="19"/>
                <w:color w:val="auto"/>
              </w:rPr>
            </w:pPr>
          </w:p>
        </w:tc>
        <w:tc>
          <w:tcPr>
            <w:tcW w:w="12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6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2"/>
              </w:rPr>
              <w:t>106,629</w:t>
            </w:r>
          </w:p>
        </w:tc>
        <w:tc>
          <w:tcPr>
            <w:tcW w:w="1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4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rPr>
              <w:t>$</w:t>
            </w:r>
          </w:p>
        </w:tc>
        <w:tc>
          <w:tcPr>
            <w:tcW w:w="6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5"/>
              </w:rPr>
              <w:t>103,156</w:t>
            </w:r>
          </w:p>
        </w:tc>
        <w:tc>
          <w:tcPr>
            <w:tcW w:w="200" w:type="dxa"/>
            <w:vAlign w:val="bottom"/>
          </w:tcPr>
          <w:p>
            <w:pPr>
              <w:spacing w:after="0"/>
              <w:rPr>
                <w:sz w:val="19"/>
                <w:szCs w:val="19"/>
                <w:color w:val="auto"/>
              </w:rPr>
            </w:pPr>
          </w:p>
        </w:tc>
        <w:tc>
          <w:tcPr>
            <w:tcW w:w="12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6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50,152</w:t>
            </w:r>
          </w:p>
        </w:tc>
        <w:tc>
          <w:tcPr>
            <w:tcW w:w="1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324,820</w:t>
            </w:r>
          </w:p>
        </w:tc>
        <w:tc>
          <w:tcPr>
            <w:tcW w:w="14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306,585</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020" w:type="dxa"/>
            <w:vAlign w:val="bottom"/>
          </w:tcPr>
          <w:p>
            <w:pPr>
              <w:spacing w:after="0" w:line="20" w:lineRule="exact"/>
              <w:rPr>
                <w:sz w:val="1"/>
                <w:szCs w:val="1"/>
                <w:color w:val="auto"/>
              </w:rPr>
            </w:pPr>
          </w:p>
        </w:tc>
        <w:tc>
          <w:tcPr>
            <w:tcW w:w="158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5020" w:type="dxa"/>
            <w:vAlign w:val="bottom"/>
            <w:shd w:val="clear" w:color="auto" w:fill="CCEEFF"/>
          </w:tcPr>
          <w:p>
            <w:pPr>
              <w:spacing w:after="0"/>
              <w:rPr>
                <w:sz w:val="20"/>
                <w:szCs w:val="20"/>
                <w:color w:val="auto"/>
              </w:rPr>
            </w:pPr>
            <w:r>
              <w:rPr>
                <w:rFonts w:ascii="Arial" w:cs="Arial" w:eastAsia="Arial" w:hAnsi="Arial"/>
                <w:sz w:val="18"/>
                <w:szCs w:val="18"/>
                <w:color w:val="auto"/>
              </w:rPr>
              <w:t>Basic net income per share</w:t>
            </w:r>
          </w:p>
        </w:tc>
        <w:tc>
          <w:tcPr>
            <w:tcW w:w="15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0.21</w:t>
            </w:r>
          </w:p>
        </w:tc>
        <w:tc>
          <w:tcPr>
            <w:tcW w:w="100" w:type="dxa"/>
            <w:vAlign w:val="bottom"/>
            <w:shd w:val="clear" w:color="auto" w:fill="CCEEFF"/>
          </w:tcPr>
          <w:p>
            <w:pPr>
              <w:spacing w:after="0"/>
              <w:rPr>
                <w:sz w:val="18"/>
                <w:szCs w:val="18"/>
                <w:color w:val="auto"/>
              </w:rPr>
            </w:pPr>
          </w:p>
        </w:tc>
        <w:tc>
          <w:tcPr>
            <w:tcW w:w="240" w:type="dxa"/>
            <w:vAlign w:val="bottom"/>
            <w:gridSpan w:val="2"/>
            <w:shd w:val="clear" w:color="auto" w:fill="CCEEFF"/>
          </w:tcPr>
          <w:p>
            <w:pPr>
              <w:ind w:left="100"/>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0.21</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74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0.10</w:t>
            </w:r>
          </w:p>
        </w:tc>
        <w:tc>
          <w:tcPr>
            <w:tcW w:w="1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0.65</w:t>
            </w:r>
          </w:p>
        </w:tc>
        <w:tc>
          <w:tcPr>
            <w:tcW w:w="1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0.55</w:t>
            </w:r>
          </w:p>
        </w:tc>
        <w:tc>
          <w:tcPr>
            <w:tcW w:w="0" w:type="dxa"/>
            <w:vAlign w:val="bottom"/>
          </w:tcPr>
          <w:p>
            <w:pPr>
              <w:spacing w:after="0"/>
              <w:rPr>
                <w:sz w:val="1"/>
                <w:szCs w:val="1"/>
                <w:color w:val="auto"/>
              </w:rPr>
            </w:pPr>
          </w:p>
        </w:tc>
      </w:tr>
      <w:tr>
        <w:trPr>
          <w:trHeight w:val="20"/>
        </w:trPr>
        <w:tc>
          <w:tcPr>
            <w:tcW w:w="5040" w:type="dxa"/>
            <w:vAlign w:val="bottom"/>
            <w:gridSpan w:val="2"/>
            <w:vMerge w:val="restart"/>
          </w:tcPr>
          <w:p>
            <w:pPr>
              <w:spacing w:after="0"/>
              <w:rPr>
                <w:sz w:val="20"/>
                <w:szCs w:val="20"/>
                <w:color w:val="auto"/>
              </w:rPr>
            </w:pPr>
            <w:r>
              <w:rPr>
                <w:rFonts w:ascii="Arial" w:cs="Arial" w:eastAsia="Arial" w:hAnsi="Arial"/>
                <w:sz w:val="18"/>
                <w:szCs w:val="18"/>
                <w:color w:val="auto"/>
              </w:rPr>
              <w:t>Diluted net income per share</w:t>
            </w:r>
          </w:p>
        </w:tc>
        <w:tc>
          <w:tcPr>
            <w:tcW w:w="15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5040" w:type="dxa"/>
            <w:vAlign w:val="bottom"/>
            <w:gridSpan w:val="2"/>
            <w:vMerge w:val="continue"/>
          </w:tcPr>
          <w:p>
            <w:pPr>
              <w:spacing w:after="0"/>
              <w:rPr>
                <w:sz w:val="18"/>
                <w:szCs w:val="18"/>
                <w:color w:val="auto"/>
              </w:rPr>
            </w:pPr>
          </w:p>
        </w:tc>
        <w:tc>
          <w:tcPr>
            <w:tcW w:w="1580" w:type="dxa"/>
            <w:vAlign w:val="bottom"/>
          </w:tcPr>
          <w:p>
            <w:pPr>
              <w:spacing w:after="0"/>
              <w:rPr>
                <w:sz w:val="18"/>
                <w:szCs w:val="18"/>
                <w:color w:val="auto"/>
              </w:rPr>
            </w:pPr>
          </w:p>
        </w:tc>
        <w:tc>
          <w:tcPr>
            <w:tcW w:w="120" w:type="dxa"/>
            <w:vAlign w:val="bottom"/>
            <w:tcBorders>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0.21</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4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w:t>
            </w:r>
          </w:p>
        </w:tc>
        <w:tc>
          <w:tcPr>
            <w:tcW w:w="6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0.21</w:t>
            </w:r>
          </w:p>
        </w:tc>
        <w:tc>
          <w:tcPr>
            <w:tcW w:w="200" w:type="dxa"/>
            <w:vAlign w:val="bottom"/>
          </w:tcPr>
          <w:p>
            <w:pPr>
              <w:spacing w:after="0"/>
              <w:rPr>
                <w:sz w:val="18"/>
                <w:szCs w:val="18"/>
                <w:color w:val="auto"/>
              </w:rPr>
            </w:pPr>
          </w:p>
        </w:tc>
        <w:tc>
          <w:tcPr>
            <w:tcW w:w="120" w:type="dxa"/>
            <w:vAlign w:val="bottom"/>
            <w:tcBorders>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0.09</w:t>
            </w: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0.64</w:t>
            </w:r>
          </w:p>
        </w:tc>
        <w:tc>
          <w:tcPr>
            <w:tcW w:w="14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0.54</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020" w:type="dxa"/>
            <w:vAlign w:val="bottom"/>
          </w:tcPr>
          <w:p>
            <w:pPr>
              <w:spacing w:after="0" w:line="20" w:lineRule="exact"/>
              <w:rPr>
                <w:sz w:val="1"/>
                <w:szCs w:val="1"/>
                <w:color w:val="auto"/>
              </w:rPr>
            </w:pPr>
          </w:p>
        </w:tc>
        <w:tc>
          <w:tcPr>
            <w:tcW w:w="158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5020" w:type="dxa"/>
            <w:vAlign w:val="bottom"/>
            <w:shd w:val="clear" w:color="auto" w:fill="CCEEFF"/>
          </w:tcPr>
          <w:p>
            <w:pPr>
              <w:spacing w:after="0"/>
              <w:rPr>
                <w:sz w:val="20"/>
                <w:szCs w:val="20"/>
                <w:color w:val="auto"/>
              </w:rPr>
            </w:pPr>
            <w:r>
              <w:rPr>
                <w:rFonts w:ascii="Arial" w:cs="Arial" w:eastAsia="Arial" w:hAnsi="Arial"/>
                <w:sz w:val="18"/>
                <w:szCs w:val="18"/>
                <w:color w:val="auto"/>
              </w:rPr>
              <w:t>Shares used in computing basic earnings per share</w:t>
            </w:r>
          </w:p>
        </w:tc>
        <w:tc>
          <w:tcPr>
            <w:tcW w:w="15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2"/>
              </w:rPr>
              <w:t>497,620</w:t>
            </w:r>
          </w:p>
        </w:tc>
        <w:tc>
          <w:tcPr>
            <w:tcW w:w="1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95"/>
              </w:rPr>
              <w:t>491,979</w:t>
            </w: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525,804</w:t>
            </w: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496,518</w:t>
            </w:r>
          </w:p>
        </w:tc>
        <w:tc>
          <w:tcPr>
            <w:tcW w:w="14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555,310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5020" w:type="dxa"/>
            <w:vAlign w:val="bottom"/>
          </w:tcPr>
          <w:p>
            <w:pPr>
              <w:spacing w:after="0"/>
              <w:rPr>
                <w:sz w:val="20"/>
                <w:szCs w:val="20"/>
                <w:color w:val="auto"/>
              </w:rPr>
            </w:pPr>
            <w:r>
              <w:rPr>
                <w:rFonts w:ascii="Arial" w:cs="Arial" w:eastAsia="Arial" w:hAnsi="Arial"/>
                <w:sz w:val="18"/>
                <w:szCs w:val="18"/>
                <w:color w:val="auto"/>
              </w:rPr>
              <w:t>Shares used in computing diluted earnings per share</w:t>
            </w:r>
          </w:p>
        </w:tc>
        <w:tc>
          <w:tcPr>
            <w:tcW w:w="15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720" w:type="dxa"/>
            <w:vAlign w:val="bottom"/>
            <w:gridSpan w:val="2"/>
          </w:tcPr>
          <w:p>
            <w:pPr>
              <w:jc w:val="right"/>
              <w:ind w:right="100"/>
              <w:spacing w:after="0"/>
              <w:rPr>
                <w:sz w:val="20"/>
                <w:szCs w:val="20"/>
                <w:color w:val="auto"/>
              </w:rPr>
            </w:pPr>
            <w:r>
              <w:rPr>
                <w:rFonts w:ascii="Arial" w:cs="Arial" w:eastAsia="Arial" w:hAnsi="Arial"/>
                <w:sz w:val="18"/>
                <w:szCs w:val="18"/>
                <w:color w:val="auto"/>
                <w:w w:val="92"/>
              </w:rPr>
              <w:t>510,449</w:t>
            </w:r>
          </w:p>
        </w:tc>
        <w:tc>
          <w:tcPr>
            <w:tcW w:w="10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840" w:type="dxa"/>
            <w:vAlign w:val="bottom"/>
            <w:gridSpan w:val="2"/>
          </w:tcPr>
          <w:p>
            <w:pPr>
              <w:jc w:val="right"/>
              <w:ind w:right="200"/>
              <w:spacing w:after="0"/>
              <w:rPr>
                <w:sz w:val="20"/>
                <w:szCs w:val="20"/>
                <w:color w:val="auto"/>
              </w:rPr>
            </w:pPr>
            <w:r>
              <w:rPr>
                <w:rFonts w:ascii="Arial" w:cs="Arial" w:eastAsia="Arial" w:hAnsi="Arial"/>
                <w:sz w:val="18"/>
                <w:szCs w:val="18"/>
                <w:color w:val="auto"/>
                <w:w w:val="95"/>
              </w:rPr>
              <w:t>501,189</w:t>
            </w:r>
          </w:p>
        </w:tc>
        <w:tc>
          <w:tcPr>
            <w:tcW w:w="120" w:type="dxa"/>
            <w:vAlign w:val="bottom"/>
          </w:tcPr>
          <w:p>
            <w:pPr>
              <w:spacing w:after="0"/>
              <w:rPr>
                <w:sz w:val="20"/>
                <w:szCs w:val="20"/>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w w:val="92"/>
              </w:rPr>
              <w:t>528,082</w:t>
            </w:r>
          </w:p>
        </w:tc>
        <w:tc>
          <w:tcPr>
            <w:tcW w:w="1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504,413</w:t>
            </w:r>
          </w:p>
        </w:tc>
        <w:tc>
          <w:tcPr>
            <w:tcW w:w="14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563,123</w:t>
            </w: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350"/>
        </w:trPr>
        <w:tc>
          <w:tcPr>
            <w:tcW w:w="20" w:type="dxa"/>
            <w:vAlign w:val="bottom"/>
          </w:tcPr>
          <w:p>
            <w:pPr>
              <w:spacing w:after="0"/>
              <w:rPr>
                <w:sz w:val="24"/>
                <w:szCs w:val="24"/>
                <w:color w:val="auto"/>
              </w:rPr>
            </w:pPr>
          </w:p>
        </w:tc>
        <w:tc>
          <w:tcPr>
            <w:tcW w:w="5020" w:type="dxa"/>
            <w:vAlign w:val="bottom"/>
          </w:tcPr>
          <w:p>
            <w:pPr>
              <w:spacing w:after="0"/>
              <w:rPr>
                <w:sz w:val="24"/>
                <w:szCs w:val="24"/>
                <w:color w:val="auto"/>
              </w:rPr>
            </w:pPr>
          </w:p>
        </w:tc>
        <w:tc>
          <w:tcPr>
            <w:tcW w:w="1580" w:type="dxa"/>
            <w:vAlign w:val="bottom"/>
          </w:tcPr>
          <w:p>
            <w:pPr>
              <w:jc w:val="right"/>
              <w:ind w:right="770"/>
              <w:spacing w:after="0"/>
              <w:rPr>
                <w:sz w:val="20"/>
                <w:szCs w:val="20"/>
                <w:color w:val="auto"/>
              </w:rPr>
            </w:pPr>
            <w:r>
              <w:rPr>
                <w:rFonts w:ascii="Arial" w:cs="Arial" w:eastAsia="Arial" w:hAnsi="Arial"/>
                <w:sz w:val="18"/>
                <w:szCs w:val="18"/>
                <w:color w:val="auto"/>
              </w:rPr>
              <w:t>7</w:t>
            </w:r>
          </w:p>
        </w:tc>
        <w:tc>
          <w:tcPr>
            <w:tcW w:w="12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270" w:right="239" w:bottom="1440" w:gutter="0" w:footer="0" w:header="0"/>
        </w:sectPr>
      </w:pPr>
    </w:p>
    <w:bookmarkStart w:id="13" w:name="page14"/>
    <w:bookmarkEnd w:id="13"/>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Balance Sheets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1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820" w:type="dxa"/>
            <w:vAlign w:val="bottom"/>
          </w:tcPr>
          <w:p>
            <w:pPr>
              <w:spacing w:after="0"/>
              <w:rPr>
                <w:sz w:val="14"/>
                <w:szCs w:val="14"/>
                <w:color w:val="auto"/>
              </w:rPr>
            </w:pPr>
          </w:p>
        </w:tc>
        <w:tc>
          <w:tcPr>
            <w:tcW w:w="4640" w:type="dxa"/>
            <w:vAlign w:val="bottom"/>
          </w:tcPr>
          <w:p>
            <w:pPr>
              <w:spacing w:after="0"/>
              <w:rPr>
                <w:sz w:val="14"/>
                <w:szCs w:val="14"/>
                <w:color w:val="auto"/>
              </w:rPr>
            </w:pPr>
          </w:p>
        </w:tc>
        <w:tc>
          <w:tcPr>
            <w:tcW w:w="920" w:type="dxa"/>
            <w:vAlign w:val="bottom"/>
            <w:gridSpan w:val="3"/>
          </w:tcPr>
          <w:p>
            <w:pPr>
              <w:ind w:left="40"/>
              <w:spacing w:after="0"/>
              <w:rPr>
                <w:sz w:val="20"/>
                <w:szCs w:val="20"/>
                <w:color w:val="auto"/>
              </w:rPr>
            </w:pPr>
            <w:r>
              <w:rPr>
                <w:rFonts w:ascii="Arial" w:cs="Arial" w:eastAsia="Arial" w:hAnsi="Arial"/>
                <w:sz w:val="14"/>
                <w:szCs w:val="14"/>
                <w:b w:val="1"/>
                <w:bCs w:val="1"/>
                <w:color w:val="auto"/>
              </w:rPr>
              <w:t>February 1,</w:t>
            </w:r>
          </w:p>
        </w:tc>
        <w:tc>
          <w:tcPr>
            <w:tcW w:w="100" w:type="dxa"/>
            <w:vAlign w:val="bottom"/>
          </w:tcPr>
          <w:p>
            <w:pPr>
              <w:spacing w:after="0"/>
              <w:rPr>
                <w:sz w:val="14"/>
                <w:szCs w:val="14"/>
                <w:color w:val="auto"/>
              </w:rPr>
            </w:pPr>
          </w:p>
        </w:tc>
        <w:tc>
          <w:tcPr>
            <w:tcW w:w="920" w:type="dxa"/>
            <w:vAlign w:val="bottom"/>
            <w:gridSpan w:val="3"/>
          </w:tcPr>
          <w:p>
            <w:pPr>
              <w:jc w:val="right"/>
              <w:ind w:right="140"/>
              <w:spacing w:after="0"/>
              <w:rPr>
                <w:sz w:val="20"/>
                <w:szCs w:val="20"/>
                <w:color w:val="auto"/>
              </w:rPr>
            </w:pPr>
            <w:r>
              <w:rPr>
                <w:rFonts w:ascii="Arial" w:cs="Arial" w:eastAsia="Arial" w:hAnsi="Arial"/>
                <w:sz w:val="14"/>
                <w:szCs w:val="14"/>
                <w:b w:val="1"/>
                <w:bCs w:val="1"/>
                <w:color w:val="auto"/>
              </w:rPr>
              <w:t>February 2,</w:t>
            </w: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4820" w:type="dxa"/>
            <w:vAlign w:val="bottom"/>
            <w:tcBorders>
              <w:bottom w:val="single" w:sz="8" w:color="CCEEFF"/>
            </w:tcBorders>
          </w:tcPr>
          <w:p>
            <w:pPr>
              <w:spacing w:after="0"/>
              <w:rPr>
                <w:sz w:val="14"/>
                <w:szCs w:val="14"/>
                <w:color w:val="auto"/>
              </w:rPr>
            </w:pPr>
          </w:p>
        </w:tc>
        <w:tc>
          <w:tcPr>
            <w:tcW w:w="464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71"/>
              <w:spacing w:after="0"/>
              <w:rPr>
                <w:sz w:val="20"/>
                <w:szCs w:val="20"/>
                <w:color w:val="auto"/>
              </w:rPr>
            </w:pPr>
            <w:r>
              <w:rPr>
                <w:rFonts w:ascii="Arial" w:cs="Arial" w:eastAsia="Arial" w:hAnsi="Arial"/>
                <w:sz w:val="14"/>
                <w:szCs w:val="14"/>
                <w:b w:val="1"/>
                <w:bCs w:val="1"/>
                <w:color w:val="auto"/>
              </w:rPr>
              <w:t>2014</w:t>
            </w:r>
          </w:p>
        </w:tc>
        <w:tc>
          <w:tcPr>
            <w:tcW w:w="100" w:type="dxa"/>
            <w:vAlign w:val="bottom"/>
            <w:tcBorders>
              <w:bottom w:val="single" w:sz="8" w:color="CCEEFF"/>
            </w:tcBorders>
          </w:tcPr>
          <w:p>
            <w:pPr>
              <w:spacing w:after="0"/>
              <w:rPr>
                <w:sz w:val="14"/>
                <w:szCs w:val="14"/>
                <w:color w:val="auto"/>
              </w:rPr>
            </w:pPr>
          </w:p>
        </w:tc>
        <w:tc>
          <w:tcPr>
            <w:tcW w:w="1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71"/>
              <w:spacing w:after="0"/>
              <w:rPr>
                <w:sz w:val="20"/>
                <w:szCs w:val="20"/>
                <w:color w:val="auto"/>
              </w:rPr>
            </w:pPr>
            <w:r>
              <w:rPr>
                <w:rFonts w:ascii="Arial" w:cs="Arial" w:eastAsia="Arial" w:hAnsi="Arial"/>
                <w:sz w:val="14"/>
                <w:szCs w:val="14"/>
                <w:b w:val="1"/>
                <w:bCs w:val="1"/>
                <w:color w:val="auto"/>
              </w:rPr>
              <w:t>2013</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482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Assets</w:t>
            </w:r>
          </w:p>
        </w:tc>
        <w:tc>
          <w:tcPr>
            <w:tcW w:w="46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tcPr>
          <w:p>
            <w:pPr>
              <w:spacing w:after="0"/>
              <w:rPr>
                <w:sz w:val="20"/>
                <w:szCs w:val="20"/>
                <w:color w:val="auto"/>
              </w:rPr>
            </w:pPr>
            <w:r>
              <w:rPr>
                <w:rFonts w:ascii="Arial" w:cs="Arial" w:eastAsia="Arial" w:hAnsi="Arial"/>
                <w:sz w:val="18"/>
                <w:szCs w:val="18"/>
                <w:color w:val="auto"/>
              </w:rPr>
              <w:t>Current assets:</w:t>
            </w:r>
          </w:p>
        </w:tc>
        <w:tc>
          <w:tcPr>
            <w:tcW w:w="46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Cash, cash equivalents and short-term investments</w:t>
            </w:r>
          </w:p>
        </w:tc>
        <w:tc>
          <w:tcPr>
            <w:tcW w:w="47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1,969,405</w:t>
            </w:r>
          </w:p>
        </w:tc>
        <w:tc>
          <w:tcPr>
            <w:tcW w:w="100" w:type="dxa"/>
            <w:vAlign w:val="bottom"/>
            <w:shd w:val="clear" w:color="auto" w:fill="CCEEFF"/>
          </w:tcPr>
          <w:p>
            <w:pPr>
              <w:spacing w:after="0"/>
              <w:rPr>
                <w:sz w:val="18"/>
                <w:szCs w:val="18"/>
                <w:color w:val="auto"/>
              </w:rPr>
            </w:pPr>
          </w:p>
        </w:tc>
        <w:tc>
          <w:tcPr>
            <w:tcW w:w="2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1,918,990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tcPr>
          <w:p>
            <w:pPr>
              <w:ind w:left="340"/>
              <w:spacing w:after="0"/>
              <w:rPr>
                <w:sz w:val="20"/>
                <w:szCs w:val="20"/>
                <w:color w:val="auto"/>
              </w:rPr>
            </w:pPr>
            <w:r>
              <w:rPr>
                <w:rFonts w:ascii="Arial" w:cs="Arial" w:eastAsia="Arial" w:hAnsi="Arial"/>
                <w:sz w:val="18"/>
                <w:szCs w:val="18"/>
                <w:color w:val="auto"/>
              </w:rPr>
              <w:t>Accounts receivable, net</w:t>
            </w:r>
          </w:p>
        </w:tc>
        <w:tc>
          <w:tcPr>
            <w:tcW w:w="46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453,496</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330,238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Inventories</w:t>
            </w:r>
          </w:p>
        </w:tc>
        <w:tc>
          <w:tcPr>
            <w:tcW w:w="46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347,861</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250,420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820" w:type="dxa"/>
            <w:vAlign w:val="bottom"/>
          </w:tcPr>
          <w:p>
            <w:pPr>
              <w:ind w:left="340"/>
              <w:spacing w:after="0"/>
              <w:rPr>
                <w:sz w:val="20"/>
                <w:szCs w:val="20"/>
                <w:color w:val="auto"/>
              </w:rPr>
            </w:pPr>
            <w:r>
              <w:rPr>
                <w:rFonts w:ascii="Arial" w:cs="Arial" w:eastAsia="Arial" w:hAnsi="Arial"/>
                <w:sz w:val="18"/>
                <w:szCs w:val="18"/>
                <w:color w:val="auto"/>
              </w:rPr>
              <w:t>Prepaid expenses and other current assets</w:t>
            </w:r>
          </w:p>
        </w:tc>
        <w:tc>
          <w:tcPr>
            <w:tcW w:w="46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68,458</w:t>
            </w:r>
          </w:p>
        </w:tc>
        <w:tc>
          <w:tcPr>
            <w:tcW w:w="1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85,698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shd w:val="clear" w:color="auto" w:fill="CCEEFF"/>
          </w:tcPr>
          <w:p>
            <w:pPr>
              <w:ind w:left="700"/>
              <w:spacing w:after="0"/>
              <w:rPr>
                <w:sz w:val="20"/>
                <w:szCs w:val="20"/>
                <w:color w:val="auto"/>
              </w:rPr>
            </w:pPr>
            <w:r>
              <w:rPr>
                <w:rFonts w:ascii="Arial" w:cs="Arial" w:eastAsia="Arial" w:hAnsi="Arial"/>
                <w:sz w:val="18"/>
                <w:szCs w:val="18"/>
                <w:color w:val="auto"/>
              </w:rPr>
              <w:t>Total current assets</w:t>
            </w:r>
          </w:p>
        </w:tc>
        <w:tc>
          <w:tcPr>
            <w:tcW w:w="464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2,839,220</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2,585,346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tcPr>
          <w:p>
            <w:pPr>
              <w:spacing w:after="0"/>
              <w:rPr>
                <w:sz w:val="20"/>
                <w:szCs w:val="20"/>
                <w:color w:val="auto"/>
              </w:rPr>
            </w:pPr>
            <w:r>
              <w:rPr>
                <w:rFonts w:ascii="Arial" w:cs="Arial" w:eastAsia="Arial" w:hAnsi="Arial"/>
                <w:sz w:val="18"/>
                <w:szCs w:val="18"/>
                <w:color w:val="auto"/>
              </w:rPr>
              <w:t>Property and equipment, net</w:t>
            </w:r>
          </w:p>
        </w:tc>
        <w:tc>
          <w:tcPr>
            <w:tcW w:w="46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356,165</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372,971</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shd w:val="clear" w:color="auto" w:fill="CCEEFF"/>
          </w:tcPr>
          <w:p>
            <w:pPr>
              <w:spacing w:after="0"/>
              <w:rPr>
                <w:sz w:val="20"/>
                <w:szCs w:val="20"/>
                <w:color w:val="auto"/>
              </w:rPr>
            </w:pPr>
            <w:r>
              <w:rPr>
                <w:rFonts w:ascii="Arial" w:cs="Arial" w:eastAsia="Arial" w:hAnsi="Arial"/>
                <w:sz w:val="18"/>
                <w:szCs w:val="18"/>
                <w:color w:val="auto"/>
              </w:rPr>
              <w:t>Long-term investments</w:t>
            </w:r>
          </w:p>
        </w:tc>
        <w:tc>
          <w:tcPr>
            <w:tcW w:w="46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16,279</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16,769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tcPr>
          <w:p>
            <w:pPr>
              <w:spacing w:after="0"/>
              <w:rPr>
                <w:sz w:val="20"/>
                <w:szCs w:val="20"/>
                <w:color w:val="auto"/>
              </w:rPr>
            </w:pPr>
            <w:r>
              <w:rPr>
                <w:rFonts w:ascii="Arial" w:cs="Arial" w:eastAsia="Arial" w:hAnsi="Arial"/>
                <w:sz w:val="18"/>
                <w:szCs w:val="18"/>
                <w:color w:val="auto"/>
              </w:rPr>
              <w:t>Goodwill and acquired intangible assets, net</w:t>
            </w:r>
          </w:p>
        </w:tc>
        <w:tc>
          <w:tcPr>
            <w:tcW w:w="46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w w:val="87"/>
              </w:rPr>
              <w:t>2,078,980</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w w:val="87"/>
              </w:rPr>
              <w:t>2,121,793</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assets</w:t>
            </w:r>
          </w:p>
        </w:tc>
        <w:tc>
          <w:tcPr>
            <w:tcW w:w="46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160,366</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164,885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820" w:type="dxa"/>
            <w:vAlign w:val="bottom"/>
          </w:tcPr>
          <w:p>
            <w:pPr>
              <w:ind w:left="700"/>
              <w:spacing w:after="0"/>
              <w:rPr>
                <w:sz w:val="20"/>
                <w:szCs w:val="20"/>
                <w:color w:val="auto"/>
              </w:rPr>
            </w:pPr>
            <w:r>
              <w:rPr>
                <w:rFonts w:ascii="Arial" w:cs="Arial" w:eastAsia="Arial" w:hAnsi="Arial"/>
                <w:sz w:val="18"/>
                <w:szCs w:val="18"/>
                <w:color w:val="auto"/>
              </w:rPr>
              <w:t>Total assets</w:t>
            </w:r>
          </w:p>
        </w:tc>
        <w:tc>
          <w:tcPr>
            <w:tcW w:w="4640" w:type="dxa"/>
            <w:vAlign w:val="bottom"/>
          </w:tcPr>
          <w:p>
            <w:pPr>
              <w:spacing w:after="0"/>
              <w:rPr>
                <w:sz w:val="19"/>
                <w:szCs w:val="19"/>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5"/>
                <w:szCs w:val="15"/>
                <w:u w:val="single" w:color="auto"/>
                <w:color w:val="auto"/>
                <w:w w:val="71"/>
              </w:rPr>
              <w:t>$</w:t>
            </w: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7"/>
              </w:rPr>
              <w:t>5,451,010</w:t>
            </w:r>
          </w:p>
        </w:tc>
        <w:tc>
          <w:tcPr>
            <w:tcW w:w="1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79"/>
              </w:rPr>
              <w:t>$</w:t>
            </w: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7"/>
              </w:rPr>
              <w:t>5,261,764</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820" w:type="dxa"/>
            <w:vAlign w:val="bottom"/>
          </w:tcPr>
          <w:p>
            <w:pPr>
              <w:spacing w:after="0" w:line="20" w:lineRule="exact"/>
              <w:rPr>
                <w:sz w:val="1"/>
                <w:szCs w:val="1"/>
                <w:color w:val="auto"/>
              </w:rPr>
            </w:pPr>
          </w:p>
        </w:tc>
        <w:tc>
          <w:tcPr>
            <w:tcW w:w="46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482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Liabilities and Shareholders’ Equity</w:t>
            </w:r>
          </w:p>
        </w:tc>
        <w:tc>
          <w:tcPr>
            <w:tcW w:w="46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tcPr>
          <w:p>
            <w:pPr>
              <w:spacing w:after="0"/>
              <w:rPr>
                <w:sz w:val="20"/>
                <w:szCs w:val="20"/>
                <w:color w:val="auto"/>
              </w:rPr>
            </w:pPr>
            <w:r>
              <w:rPr>
                <w:rFonts w:ascii="Arial" w:cs="Arial" w:eastAsia="Arial" w:hAnsi="Arial"/>
                <w:sz w:val="18"/>
                <w:szCs w:val="18"/>
                <w:color w:val="auto"/>
              </w:rPr>
              <w:t>Current liabilities:</w:t>
            </w:r>
          </w:p>
        </w:tc>
        <w:tc>
          <w:tcPr>
            <w:tcW w:w="46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Accounts payable</w:t>
            </w:r>
          </w:p>
        </w:tc>
        <w:tc>
          <w:tcPr>
            <w:tcW w:w="47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316,389</w:t>
            </w:r>
          </w:p>
        </w:tc>
        <w:tc>
          <w:tcPr>
            <w:tcW w:w="100" w:type="dxa"/>
            <w:vAlign w:val="bottom"/>
            <w:shd w:val="clear" w:color="auto" w:fill="CCEEFF"/>
          </w:tcPr>
          <w:p>
            <w:pPr>
              <w:spacing w:after="0"/>
              <w:rPr>
                <w:sz w:val="18"/>
                <w:szCs w:val="18"/>
                <w:color w:val="auto"/>
              </w:rPr>
            </w:pPr>
          </w:p>
        </w:tc>
        <w:tc>
          <w:tcPr>
            <w:tcW w:w="2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286,552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tcPr>
          <w:p>
            <w:pPr>
              <w:ind w:left="340"/>
              <w:spacing w:after="0"/>
              <w:rPr>
                <w:sz w:val="20"/>
                <w:szCs w:val="20"/>
                <w:color w:val="auto"/>
              </w:rPr>
            </w:pPr>
            <w:r>
              <w:rPr>
                <w:rFonts w:ascii="Arial" w:cs="Arial" w:eastAsia="Arial" w:hAnsi="Arial"/>
                <w:sz w:val="18"/>
                <w:szCs w:val="18"/>
                <w:color w:val="auto"/>
              </w:rPr>
              <w:t>Accrued liabilities</w:t>
            </w:r>
          </w:p>
        </w:tc>
        <w:tc>
          <w:tcPr>
            <w:tcW w:w="46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263,670</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261,186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Deferred income</w:t>
            </w:r>
          </w:p>
        </w:tc>
        <w:tc>
          <w:tcPr>
            <w:tcW w:w="46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61,747</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60,150</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820" w:type="dxa"/>
            <w:vAlign w:val="bottom"/>
          </w:tcPr>
          <w:p>
            <w:pPr>
              <w:ind w:left="700"/>
              <w:spacing w:after="0"/>
              <w:rPr>
                <w:sz w:val="20"/>
                <w:szCs w:val="20"/>
                <w:color w:val="auto"/>
              </w:rPr>
            </w:pPr>
            <w:r>
              <w:rPr>
                <w:rFonts w:ascii="Arial" w:cs="Arial" w:eastAsia="Arial" w:hAnsi="Arial"/>
                <w:sz w:val="18"/>
                <w:szCs w:val="18"/>
                <w:color w:val="auto"/>
              </w:rPr>
              <w:t>Total current liabilities</w:t>
            </w:r>
          </w:p>
        </w:tc>
        <w:tc>
          <w:tcPr>
            <w:tcW w:w="464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641,806</w:t>
            </w:r>
          </w:p>
        </w:tc>
        <w:tc>
          <w:tcPr>
            <w:tcW w:w="1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607,888</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liabilities</w:t>
            </w:r>
          </w:p>
        </w:tc>
        <w:tc>
          <w:tcPr>
            <w:tcW w:w="46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123,794</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169,281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4820" w:type="dxa"/>
            <w:vAlign w:val="bottom"/>
          </w:tcPr>
          <w:p>
            <w:pPr>
              <w:ind w:left="700"/>
              <w:spacing w:after="0"/>
              <w:rPr>
                <w:sz w:val="20"/>
                <w:szCs w:val="20"/>
                <w:color w:val="auto"/>
              </w:rPr>
            </w:pPr>
            <w:r>
              <w:rPr>
                <w:rFonts w:ascii="Arial" w:cs="Arial" w:eastAsia="Arial" w:hAnsi="Arial"/>
                <w:sz w:val="18"/>
                <w:szCs w:val="18"/>
                <w:color w:val="auto"/>
              </w:rPr>
              <w:t>Total liabilities</w:t>
            </w:r>
          </w:p>
        </w:tc>
        <w:tc>
          <w:tcPr>
            <w:tcW w:w="464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765,600</w:t>
            </w:r>
          </w:p>
        </w:tc>
        <w:tc>
          <w:tcPr>
            <w:tcW w:w="1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777,169</w:t>
            </w: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shd w:val="clear" w:color="auto" w:fill="CCEEFF"/>
          </w:tcPr>
          <w:p>
            <w:pPr>
              <w:spacing w:after="0"/>
              <w:rPr>
                <w:sz w:val="20"/>
                <w:szCs w:val="20"/>
                <w:color w:val="auto"/>
              </w:rPr>
            </w:pPr>
            <w:r>
              <w:rPr>
                <w:rFonts w:ascii="Arial" w:cs="Arial" w:eastAsia="Arial" w:hAnsi="Arial"/>
                <w:sz w:val="18"/>
                <w:szCs w:val="18"/>
                <w:color w:val="auto"/>
              </w:rPr>
              <w:t>Shareholders’ equity:</w:t>
            </w:r>
          </w:p>
        </w:tc>
        <w:tc>
          <w:tcPr>
            <w:tcW w:w="46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tcPr>
          <w:p>
            <w:pPr>
              <w:ind w:left="340"/>
              <w:spacing w:after="0"/>
              <w:rPr>
                <w:sz w:val="20"/>
                <w:szCs w:val="20"/>
                <w:color w:val="auto"/>
              </w:rPr>
            </w:pPr>
            <w:r>
              <w:rPr>
                <w:rFonts w:ascii="Arial" w:cs="Arial" w:eastAsia="Arial" w:hAnsi="Arial"/>
                <w:sz w:val="18"/>
                <w:szCs w:val="18"/>
                <w:color w:val="auto"/>
              </w:rPr>
              <w:t>Common stock</w:t>
            </w:r>
          </w:p>
        </w:tc>
        <w:tc>
          <w:tcPr>
            <w:tcW w:w="46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1,005</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1,017</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Additional paid-in capital</w:t>
            </w:r>
          </w:p>
        </w:tc>
        <w:tc>
          <w:tcPr>
            <w:tcW w:w="46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2,941,650</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2,945,643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tcPr>
          <w:p>
            <w:pPr>
              <w:ind w:left="340"/>
              <w:spacing w:after="0"/>
              <w:rPr>
                <w:sz w:val="20"/>
                <w:szCs w:val="20"/>
                <w:color w:val="auto"/>
              </w:rPr>
            </w:pPr>
            <w:r>
              <w:rPr>
                <w:rFonts w:ascii="Arial" w:cs="Arial" w:eastAsia="Arial" w:hAnsi="Arial"/>
                <w:sz w:val="18"/>
                <w:szCs w:val="18"/>
                <w:color w:val="auto"/>
              </w:rPr>
              <w:t>Accumulated other comprehensive income</w:t>
            </w:r>
          </w:p>
        </w:tc>
        <w:tc>
          <w:tcPr>
            <w:tcW w:w="46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597</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1,148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Retained earnings</w:t>
            </w:r>
          </w:p>
        </w:tc>
        <w:tc>
          <w:tcPr>
            <w:tcW w:w="46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1,742,158</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1,536,787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4820" w:type="dxa"/>
            <w:vAlign w:val="bottom"/>
          </w:tcPr>
          <w:p>
            <w:pPr>
              <w:ind w:left="700"/>
              <w:spacing w:after="0"/>
              <w:rPr>
                <w:sz w:val="20"/>
                <w:szCs w:val="20"/>
                <w:color w:val="auto"/>
              </w:rPr>
            </w:pPr>
            <w:r>
              <w:rPr>
                <w:rFonts w:ascii="Arial" w:cs="Arial" w:eastAsia="Arial" w:hAnsi="Arial"/>
                <w:sz w:val="18"/>
                <w:szCs w:val="18"/>
                <w:color w:val="auto"/>
              </w:rPr>
              <w:t>Total shareholders’ equity</w:t>
            </w:r>
          </w:p>
        </w:tc>
        <w:tc>
          <w:tcPr>
            <w:tcW w:w="464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7"/>
              </w:rPr>
              <w:t>4,685,410</w:t>
            </w:r>
          </w:p>
        </w:tc>
        <w:tc>
          <w:tcPr>
            <w:tcW w:w="1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7"/>
              </w:rPr>
              <w:t>4,484,595</w:t>
            </w: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shd w:val="clear" w:color="auto" w:fill="CCEEFF"/>
          </w:tcPr>
          <w:p>
            <w:pPr>
              <w:ind w:left="700"/>
              <w:spacing w:after="0"/>
              <w:rPr>
                <w:sz w:val="20"/>
                <w:szCs w:val="20"/>
                <w:color w:val="auto"/>
              </w:rPr>
            </w:pPr>
            <w:r>
              <w:rPr>
                <w:rFonts w:ascii="Arial" w:cs="Arial" w:eastAsia="Arial" w:hAnsi="Arial"/>
                <w:sz w:val="18"/>
                <w:szCs w:val="18"/>
                <w:color w:val="auto"/>
              </w:rPr>
              <w:t>Total liabilities and shareholders’ equity</w:t>
            </w:r>
          </w:p>
        </w:tc>
        <w:tc>
          <w:tcPr>
            <w:tcW w:w="474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5,451,010</w:t>
            </w:r>
          </w:p>
        </w:tc>
        <w:tc>
          <w:tcPr>
            <w:tcW w:w="100" w:type="dxa"/>
            <w:vAlign w:val="bottom"/>
            <w:shd w:val="clear" w:color="auto" w:fill="CCEEFF"/>
          </w:tcPr>
          <w:p>
            <w:pPr>
              <w:spacing w:after="0"/>
              <w:rPr>
                <w:sz w:val="18"/>
                <w:szCs w:val="18"/>
                <w:color w:val="auto"/>
              </w:rPr>
            </w:pPr>
          </w:p>
        </w:tc>
        <w:tc>
          <w:tcPr>
            <w:tcW w:w="20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5,261,764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820" w:type="dxa"/>
            <w:vAlign w:val="bottom"/>
          </w:tcPr>
          <w:p>
            <w:pPr>
              <w:spacing w:after="0" w:line="20" w:lineRule="exact"/>
              <w:rPr>
                <w:sz w:val="1"/>
                <w:szCs w:val="1"/>
                <w:color w:val="auto"/>
              </w:rPr>
            </w:pPr>
          </w:p>
        </w:tc>
        <w:tc>
          <w:tcPr>
            <w:tcW w:w="4640" w:type="dxa"/>
            <w:vAlign w:val="bottom"/>
            <w:vMerge w:val="restart"/>
          </w:tcPr>
          <w:p>
            <w:pPr>
              <w:jc w:val="right"/>
              <w:ind w:right="3630"/>
              <w:spacing w:after="0"/>
              <w:rPr>
                <w:sz w:val="20"/>
                <w:szCs w:val="20"/>
                <w:color w:val="auto"/>
              </w:rPr>
            </w:pPr>
            <w:r>
              <w:rPr>
                <w:rFonts w:ascii="Arial" w:cs="Arial" w:eastAsia="Arial" w:hAnsi="Arial"/>
                <w:sz w:val="18"/>
                <w:szCs w:val="18"/>
                <w:color w:val="auto"/>
              </w:rPr>
              <w:t>8</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20" w:type="dxa"/>
            <w:vAlign w:val="bottom"/>
          </w:tcPr>
          <w:p>
            <w:pPr>
              <w:spacing w:after="0"/>
              <w:rPr>
                <w:sz w:val="24"/>
                <w:szCs w:val="24"/>
                <w:color w:val="auto"/>
              </w:rPr>
            </w:pPr>
          </w:p>
        </w:tc>
        <w:tc>
          <w:tcPr>
            <w:tcW w:w="4820" w:type="dxa"/>
            <w:vAlign w:val="bottom"/>
          </w:tcPr>
          <w:p>
            <w:pPr>
              <w:spacing w:after="0"/>
              <w:rPr>
                <w:sz w:val="24"/>
                <w:szCs w:val="24"/>
                <w:color w:val="auto"/>
              </w:rPr>
            </w:pPr>
          </w:p>
        </w:tc>
        <w:tc>
          <w:tcPr>
            <w:tcW w:w="4640" w:type="dxa"/>
            <w:vAlign w:val="bottom"/>
            <w:vMerge w:val="continue"/>
          </w:tcPr>
          <w:p>
            <w:pPr>
              <w:spacing w:after="0"/>
              <w:rPr>
                <w:sz w:val="24"/>
                <w:szCs w:val="24"/>
                <w:color w:val="auto"/>
              </w:rPr>
            </w:pPr>
          </w:p>
        </w:tc>
        <w:tc>
          <w:tcPr>
            <w:tcW w:w="1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270" w:right="239" w:bottom="1440" w:gutter="0" w:footer="0" w:header="0"/>
        </w:sectPr>
      </w:pPr>
    </w:p>
    <w:bookmarkStart w:id="14" w:name="page15"/>
    <w:bookmarkEnd w:id="14"/>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Statements of Cash Flows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29"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7380" w:type="dxa"/>
            <w:vAlign w:val="bottom"/>
          </w:tcPr>
          <w:p>
            <w:pPr>
              <w:spacing w:after="0"/>
              <w:rPr>
                <w:sz w:val="14"/>
                <w:szCs w:val="14"/>
                <w:color w:val="auto"/>
              </w:rPr>
            </w:pPr>
          </w:p>
        </w:tc>
        <w:tc>
          <w:tcPr>
            <w:tcW w:w="2080" w:type="dxa"/>
            <w:vAlign w:val="bottom"/>
            <w:gridSpan w:val="5"/>
          </w:tcPr>
          <w:p>
            <w:pPr>
              <w:jc w:val="right"/>
              <w:ind w:right="500"/>
              <w:spacing w:after="0"/>
              <w:rPr>
                <w:sz w:val="20"/>
                <w:szCs w:val="20"/>
                <w:color w:val="auto"/>
              </w:rPr>
            </w:pPr>
            <w:r>
              <w:rPr>
                <w:rFonts w:ascii="Arial" w:cs="Arial" w:eastAsia="Arial" w:hAnsi="Arial"/>
                <w:sz w:val="14"/>
                <w:szCs w:val="14"/>
                <w:b w:val="1"/>
                <w:bCs w:val="1"/>
                <w:color w:val="auto"/>
              </w:rPr>
              <w:t>Three Months Ended</w:t>
            </w:r>
          </w:p>
        </w:tc>
        <w:tc>
          <w:tcPr>
            <w:tcW w:w="1940" w:type="dxa"/>
            <w:vAlign w:val="bottom"/>
            <w:gridSpan w:val="6"/>
          </w:tcPr>
          <w:p>
            <w:pPr>
              <w:jc w:val="right"/>
              <w:ind w:right="660"/>
              <w:spacing w:after="0"/>
              <w:rPr>
                <w:sz w:val="20"/>
                <w:szCs w:val="20"/>
                <w:color w:val="auto"/>
              </w:rPr>
            </w:pPr>
            <w:r>
              <w:rPr>
                <w:rFonts w:ascii="Arial" w:cs="Arial" w:eastAsia="Arial" w:hAnsi="Arial"/>
                <w:sz w:val="14"/>
                <w:szCs w:val="14"/>
                <w:b w:val="1"/>
                <w:bCs w:val="1"/>
                <w:color w:val="auto"/>
              </w:rPr>
              <w:t>Year Ended</w:t>
            </w:r>
          </w:p>
        </w:tc>
      </w:tr>
      <w:tr>
        <w:trPr>
          <w:trHeight w:val="119"/>
        </w:trPr>
        <w:tc>
          <w:tcPr>
            <w:tcW w:w="20" w:type="dxa"/>
            <w:vAlign w:val="bottom"/>
          </w:tcPr>
          <w:p>
            <w:pPr>
              <w:spacing w:after="0"/>
              <w:rPr>
                <w:sz w:val="10"/>
                <w:szCs w:val="10"/>
                <w:color w:val="auto"/>
              </w:rPr>
            </w:pPr>
          </w:p>
        </w:tc>
        <w:tc>
          <w:tcPr>
            <w:tcW w:w="7380" w:type="dxa"/>
            <w:vAlign w:val="bottom"/>
          </w:tcPr>
          <w:p>
            <w:pPr>
              <w:spacing w:after="0"/>
              <w:rPr>
                <w:sz w:val="10"/>
                <w:szCs w:val="10"/>
                <w:color w:val="auto"/>
              </w:rPr>
            </w:pPr>
          </w:p>
        </w:tc>
        <w:tc>
          <w:tcPr>
            <w:tcW w:w="940" w:type="dxa"/>
            <w:vAlign w:val="bottom"/>
            <w:tcBorders>
              <w:top w:val="single" w:sz="8" w:color="auto"/>
            </w:tcBorders>
            <w:gridSpan w:val="2"/>
          </w:tcPr>
          <w:p>
            <w:pPr>
              <w:jc w:val="right"/>
              <w:ind w:right="200"/>
              <w:spacing w:after="0" w:line="119" w:lineRule="exact"/>
              <w:rPr>
                <w:sz w:val="20"/>
                <w:szCs w:val="20"/>
                <w:color w:val="auto"/>
              </w:rPr>
            </w:pPr>
            <w:r>
              <w:rPr>
                <w:rFonts w:ascii="Arial" w:cs="Arial" w:eastAsia="Arial" w:hAnsi="Arial"/>
                <w:sz w:val="13"/>
                <w:szCs w:val="13"/>
                <w:b w:val="1"/>
                <w:bCs w:val="1"/>
                <w:color w:val="auto"/>
              </w:rPr>
              <w:t>February 1,</w:t>
            </w:r>
          </w:p>
        </w:tc>
        <w:tc>
          <w:tcPr>
            <w:tcW w:w="740" w:type="dxa"/>
            <w:vAlign w:val="bottom"/>
            <w:tcBorders>
              <w:top w:val="single" w:sz="8" w:color="auto"/>
            </w:tcBorders>
            <w:gridSpan w:val="2"/>
          </w:tcPr>
          <w:p>
            <w:pPr>
              <w:spacing w:after="0" w:line="119" w:lineRule="exact"/>
              <w:rPr>
                <w:sz w:val="20"/>
                <w:szCs w:val="20"/>
                <w:color w:val="auto"/>
              </w:rPr>
            </w:pPr>
            <w:r>
              <w:rPr>
                <w:rFonts w:ascii="Arial" w:cs="Arial" w:eastAsia="Arial" w:hAnsi="Arial"/>
                <w:sz w:val="13"/>
                <w:szCs w:val="13"/>
                <w:b w:val="1"/>
                <w:bCs w:val="1"/>
                <w:color w:val="auto"/>
              </w:rPr>
              <w:t>February 2,</w:t>
            </w:r>
          </w:p>
        </w:tc>
        <w:tc>
          <w:tcPr>
            <w:tcW w:w="400" w:type="dxa"/>
            <w:vAlign w:val="bottom"/>
          </w:tcPr>
          <w:p>
            <w:pPr>
              <w:spacing w:after="0"/>
              <w:rPr>
                <w:sz w:val="10"/>
                <w:szCs w:val="10"/>
                <w:color w:val="auto"/>
              </w:rPr>
            </w:pPr>
          </w:p>
        </w:tc>
        <w:tc>
          <w:tcPr>
            <w:tcW w:w="880" w:type="dxa"/>
            <w:vAlign w:val="bottom"/>
            <w:tcBorders>
              <w:top w:val="single" w:sz="8" w:color="auto"/>
            </w:tcBorders>
            <w:gridSpan w:val="2"/>
          </w:tcPr>
          <w:p>
            <w:pPr>
              <w:jc w:val="right"/>
              <w:ind w:right="60"/>
              <w:spacing w:after="0" w:line="119" w:lineRule="exact"/>
              <w:rPr>
                <w:sz w:val="20"/>
                <w:szCs w:val="20"/>
                <w:color w:val="auto"/>
              </w:rPr>
            </w:pPr>
            <w:r>
              <w:rPr>
                <w:rFonts w:ascii="Arial" w:cs="Arial" w:eastAsia="Arial" w:hAnsi="Arial"/>
                <w:sz w:val="13"/>
                <w:szCs w:val="13"/>
                <w:b w:val="1"/>
                <w:bCs w:val="1"/>
                <w:color w:val="auto"/>
              </w:rPr>
              <w:t>February 1,</w:t>
            </w:r>
          </w:p>
        </w:tc>
        <w:tc>
          <w:tcPr>
            <w:tcW w:w="80" w:type="dxa"/>
            <w:vAlign w:val="bottom"/>
            <w:tcBorders>
              <w:top w:val="single" w:sz="8" w:color="auto"/>
            </w:tcBorders>
          </w:tcPr>
          <w:p>
            <w:pPr>
              <w:spacing w:after="0"/>
              <w:rPr>
                <w:sz w:val="10"/>
                <w:szCs w:val="10"/>
                <w:color w:val="auto"/>
              </w:rPr>
            </w:pPr>
          </w:p>
        </w:tc>
        <w:tc>
          <w:tcPr>
            <w:tcW w:w="880" w:type="dxa"/>
            <w:vAlign w:val="bottom"/>
            <w:tcBorders>
              <w:top w:val="single" w:sz="8" w:color="auto"/>
            </w:tcBorders>
            <w:gridSpan w:val="2"/>
          </w:tcPr>
          <w:p>
            <w:pPr>
              <w:jc w:val="right"/>
              <w:spacing w:after="0" w:line="119" w:lineRule="exact"/>
              <w:rPr>
                <w:sz w:val="20"/>
                <w:szCs w:val="20"/>
                <w:color w:val="auto"/>
              </w:rPr>
            </w:pPr>
            <w:r>
              <w:rPr>
                <w:rFonts w:ascii="Arial" w:cs="Arial" w:eastAsia="Arial" w:hAnsi="Arial"/>
                <w:sz w:val="13"/>
                <w:szCs w:val="13"/>
                <w:b w:val="1"/>
                <w:bCs w:val="1"/>
                <w:color w:val="auto"/>
              </w:rPr>
              <w:t>February 2,</w:t>
            </w:r>
          </w:p>
        </w:tc>
        <w:tc>
          <w:tcPr>
            <w:tcW w:w="100" w:type="dxa"/>
            <w:vAlign w:val="bottom"/>
          </w:tcPr>
          <w:p>
            <w:pPr>
              <w:spacing w:after="0"/>
              <w:rPr>
                <w:sz w:val="10"/>
                <w:szCs w:val="10"/>
                <w:color w:val="auto"/>
              </w:rPr>
            </w:pPr>
          </w:p>
        </w:tc>
      </w:tr>
      <w:tr>
        <w:trPr>
          <w:trHeight w:val="171"/>
        </w:trPr>
        <w:tc>
          <w:tcPr>
            <w:tcW w:w="20" w:type="dxa"/>
            <w:vAlign w:val="bottom"/>
          </w:tcPr>
          <w:p>
            <w:pPr>
              <w:spacing w:after="0"/>
              <w:rPr>
                <w:sz w:val="14"/>
                <w:szCs w:val="14"/>
                <w:color w:val="auto"/>
              </w:rPr>
            </w:pPr>
          </w:p>
        </w:tc>
        <w:tc>
          <w:tcPr>
            <w:tcW w:w="7380" w:type="dxa"/>
            <w:vAlign w:val="bottom"/>
            <w:tcBorders>
              <w:bottom w:val="single" w:sz="8" w:color="CCEEFF"/>
            </w:tcBorders>
          </w:tcPr>
          <w:p>
            <w:pPr>
              <w:spacing w:after="0"/>
              <w:rPr>
                <w:sz w:val="14"/>
                <w:szCs w:val="14"/>
                <w:color w:val="auto"/>
              </w:rPr>
            </w:pPr>
          </w:p>
        </w:tc>
        <w:tc>
          <w:tcPr>
            <w:tcW w:w="740" w:type="dxa"/>
            <w:vAlign w:val="bottom"/>
            <w:tcBorders>
              <w:bottom w:val="single" w:sz="8" w:color="auto"/>
            </w:tcBorders>
          </w:tcPr>
          <w:p>
            <w:pPr>
              <w:jc w:val="right"/>
              <w:ind w:right="132"/>
              <w:spacing w:after="0"/>
              <w:rPr>
                <w:sz w:val="20"/>
                <w:szCs w:val="20"/>
                <w:color w:val="auto"/>
              </w:rPr>
            </w:pPr>
            <w:r>
              <w:rPr>
                <w:rFonts w:ascii="Arial" w:cs="Arial" w:eastAsia="Arial" w:hAnsi="Arial"/>
                <w:sz w:val="14"/>
                <w:szCs w:val="14"/>
                <w:b w:val="1"/>
                <w:bCs w:val="1"/>
                <w:color w:val="auto"/>
              </w:rPr>
              <w:t>2014</w:t>
            </w:r>
          </w:p>
        </w:tc>
        <w:tc>
          <w:tcPr>
            <w:tcW w:w="2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right"/>
              <w:ind w:right="131"/>
              <w:spacing w:after="0"/>
              <w:rPr>
                <w:sz w:val="20"/>
                <w:szCs w:val="20"/>
                <w:color w:val="auto"/>
              </w:rPr>
            </w:pPr>
            <w:r>
              <w:rPr>
                <w:rFonts w:ascii="Arial" w:cs="Arial" w:eastAsia="Arial" w:hAnsi="Arial"/>
                <w:sz w:val="14"/>
                <w:szCs w:val="14"/>
                <w:b w:val="1"/>
                <w:bCs w:val="1"/>
                <w:color w:val="auto"/>
              </w:rPr>
              <w:t>2013</w:t>
            </w:r>
          </w:p>
        </w:tc>
        <w:tc>
          <w:tcPr>
            <w:tcW w:w="400" w:type="dxa"/>
            <w:vAlign w:val="bottom"/>
            <w:tcBorders>
              <w:bottom w:val="single" w:sz="8" w:color="CCEEFF"/>
            </w:tcBorders>
          </w:tcPr>
          <w:p>
            <w:pPr>
              <w:spacing w:after="0"/>
              <w:rPr>
                <w:sz w:val="14"/>
                <w:szCs w:val="14"/>
                <w:color w:val="auto"/>
              </w:rPr>
            </w:pPr>
          </w:p>
        </w:tc>
        <w:tc>
          <w:tcPr>
            <w:tcW w:w="760" w:type="dxa"/>
            <w:vAlign w:val="bottom"/>
            <w:tcBorders>
              <w:bottom w:val="single" w:sz="8" w:color="auto"/>
            </w:tcBorders>
          </w:tcPr>
          <w:p>
            <w:pPr>
              <w:jc w:val="right"/>
              <w:ind w:right="152"/>
              <w:spacing w:after="0"/>
              <w:rPr>
                <w:sz w:val="20"/>
                <w:szCs w:val="20"/>
                <w:color w:val="auto"/>
              </w:rPr>
            </w:pPr>
            <w:r>
              <w:rPr>
                <w:rFonts w:ascii="Arial" w:cs="Arial" w:eastAsia="Arial" w:hAnsi="Arial"/>
                <w:sz w:val="14"/>
                <w:szCs w:val="14"/>
                <w:b w:val="1"/>
                <w:bCs w:val="1"/>
                <w:color w:val="auto"/>
              </w:rPr>
              <w:t>2014</w:t>
            </w:r>
          </w:p>
        </w:tc>
        <w:tc>
          <w:tcPr>
            <w:tcW w:w="120" w:type="dxa"/>
            <w:vAlign w:val="bottom"/>
            <w:tcBorders>
              <w:bottom w:val="single" w:sz="8" w:color="CCEEFF"/>
            </w:tcBorders>
          </w:tcPr>
          <w:p>
            <w:pPr>
              <w:spacing w:after="0"/>
              <w:rPr>
                <w:sz w:val="14"/>
                <w:szCs w:val="14"/>
                <w:color w:val="auto"/>
              </w:rPr>
            </w:pPr>
          </w:p>
        </w:tc>
        <w:tc>
          <w:tcPr>
            <w:tcW w:w="8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800" w:type="dxa"/>
            <w:vAlign w:val="bottom"/>
            <w:tcBorders>
              <w:bottom w:val="single" w:sz="8" w:color="auto"/>
            </w:tcBorders>
          </w:tcPr>
          <w:p>
            <w:pPr>
              <w:jc w:val="right"/>
              <w:ind w:right="211"/>
              <w:spacing w:after="0"/>
              <w:rPr>
                <w:sz w:val="20"/>
                <w:szCs w:val="20"/>
                <w:color w:val="auto"/>
              </w:rPr>
            </w:pPr>
            <w:r>
              <w:rPr>
                <w:rFonts w:ascii="Arial" w:cs="Arial" w:eastAsia="Arial" w:hAnsi="Arial"/>
                <w:sz w:val="14"/>
                <w:szCs w:val="14"/>
                <w:b w:val="1"/>
                <w:bCs w:val="1"/>
                <w:color w:val="auto"/>
              </w:rPr>
              <w:t>2013</w:t>
            </w:r>
          </w:p>
        </w:tc>
        <w:tc>
          <w:tcPr>
            <w:tcW w:w="100" w:type="dxa"/>
            <w:vAlign w:val="bottom"/>
            <w:tcBorders>
              <w:bottom w:val="single" w:sz="8" w:color="CCEEFF"/>
            </w:tcBorders>
          </w:tcPr>
          <w:p>
            <w:pPr>
              <w:spacing w:after="0"/>
              <w:rPr>
                <w:sz w:val="14"/>
                <w:szCs w:val="14"/>
                <w:color w:val="auto"/>
              </w:rPr>
            </w:pPr>
          </w:p>
        </w:tc>
      </w:tr>
      <w:tr>
        <w:trPr>
          <w:trHeight w:val="196"/>
        </w:trPr>
        <w:tc>
          <w:tcPr>
            <w:tcW w:w="20" w:type="dxa"/>
            <w:vAlign w:val="bottom"/>
          </w:tcPr>
          <w:p>
            <w:pPr>
              <w:spacing w:after="0"/>
              <w:rPr>
                <w:sz w:val="17"/>
                <w:szCs w:val="17"/>
                <w:color w:val="auto"/>
              </w:rPr>
            </w:pPr>
          </w:p>
        </w:tc>
        <w:tc>
          <w:tcPr>
            <w:tcW w:w="7380" w:type="dxa"/>
            <w:vAlign w:val="bottom"/>
            <w:shd w:val="clear" w:color="auto" w:fill="CCEEFF"/>
          </w:tcPr>
          <w:p>
            <w:pPr>
              <w:spacing w:after="0" w:line="196" w:lineRule="exact"/>
              <w:rPr>
                <w:sz w:val="20"/>
                <w:szCs w:val="20"/>
                <w:color w:val="auto"/>
              </w:rPr>
            </w:pPr>
            <w:r>
              <w:rPr>
                <w:rFonts w:ascii="Arial" w:cs="Arial" w:eastAsia="Arial" w:hAnsi="Arial"/>
                <w:sz w:val="18"/>
                <w:szCs w:val="18"/>
                <w:color w:val="auto"/>
              </w:rPr>
              <w:t>Cash flows from operating activities:</w:t>
            </w:r>
          </w:p>
        </w:tc>
        <w:tc>
          <w:tcPr>
            <w:tcW w:w="74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640" w:type="dxa"/>
            <w:vAlign w:val="bottom"/>
            <w:shd w:val="clear" w:color="auto" w:fill="CCEEFF"/>
          </w:tcPr>
          <w:p>
            <w:pPr>
              <w:spacing w:after="0"/>
              <w:rPr>
                <w:sz w:val="17"/>
                <w:szCs w:val="17"/>
                <w:color w:val="auto"/>
              </w:rPr>
            </w:pPr>
          </w:p>
        </w:tc>
        <w:tc>
          <w:tcPr>
            <w:tcW w:w="400" w:type="dxa"/>
            <w:vAlign w:val="bottom"/>
            <w:shd w:val="clear" w:color="auto" w:fill="CCEEFF"/>
          </w:tcPr>
          <w:p>
            <w:pPr>
              <w:spacing w:after="0"/>
              <w:rPr>
                <w:sz w:val="17"/>
                <w:szCs w:val="17"/>
                <w:color w:val="auto"/>
              </w:rPr>
            </w:pPr>
          </w:p>
        </w:tc>
        <w:tc>
          <w:tcPr>
            <w:tcW w:w="7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8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r>
      <w:tr>
        <w:trPr>
          <w:trHeight w:val="216"/>
        </w:trPr>
        <w:tc>
          <w:tcPr>
            <w:tcW w:w="20" w:type="dxa"/>
            <w:vAlign w:val="bottom"/>
          </w:tcPr>
          <w:p>
            <w:pPr>
              <w:spacing w:after="0"/>
              <w:rPr>
                <w:sz w:val="18"/>
                <w:szCs w:val="18"/>
                <w:color w:val="auto"/>
              </w:rPr>
            </w:pPr>
          </w:p>
        </w:tc>
        <w:tc>
          <w:tcPr>
            <w:tcW w:w="7380" w:type="dxa"/>
            <w:vAlign w:val="bottom"/>
          </w:tcPr>
          <w:p>
            <w:pPr>
              <w:spacing w:after="0"/>
              <w:rPr>
                <w:sz w:val="20"/>
                <w:szCs w:val="20"/>
                <w:color w:val="auto"/>
              </w:rPr>
            </w:pPr>
            <w:r>
              <w:rPr>
                <w:rFonts w:ascii="Arial" w:cs="Arial" w:eastAsia="Arial" w:hAnsi="Arial"/>
                <w:sz w:val="18"/>
                <w:szCs w:val="18"/>
                <w:color w:val="auto"/>
              </w:rPr>
              <w:t>Net income</w:t>
            </w:r>
          </w:p>
        </w:tc>
        <w:tc>
          <w:tcPr>
            <w:tcW w:w="940" w:type="dxa"/>
            <w:vAlign w:val="bottom"/>
            <w:gridSpan w:val="2"/>
          </w:tcPr>
          <w:p>
            <w:pPr>
              <w:jc w:val="right"/>
              <w:ind w:right="200"/>
              <w:spacing w:after="0"/>
              <w:rPr>
                <w:sz w:val="20"/>
                <w:szCs w:val="20"/>
                <w:color w:val="auto"/>
              </w:rPr>
            </w:pPr>
            <w:r>
              <w:rPr>
                <w:rFonts w:ascii="Arial" w:cs="Arial" w:eastAsia="Arial" w:hAnsi="Arial"/>
                <w:sz w:val="18"/>
                <w:szCs w:val="18"/>
                <w:color w:val="auto"/>
                <w:w w:val="89"/>
              </w:rPr>
              <w:t>$ 106,629</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50,152</w:t>
            </w: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w w:val="92"/>
              </w:rPr>
              <w:t>$ 324,820</w:t>
            </w:r>
          </w:p>
        </w:tc>
        <w:tc>
          <w:tcPr>
            <w:tcW w:w="1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00" w:type="dxa"/>
            <w:vAlign w:val="bottom"/>
            <w:gridSpan w:val="2"/>
          </w:tcPr>
          <w:p>
            <w:pPr>
              <w:jc w:val="right"/>
              <w:ind w:right="100"/>
              <w:spacing w:after="0"/>
              <w:rPr>
                <w:sz w:val="20"/>
                <w:szCs w:val="20"/>
                <w:color w:val="auto"/>
              </w:rPr>
            </w:pPr>
            <w:r>
              <w:rPr>
                <w:rFonts w:ascii="Arial" w:cs="Arial" w:eastAsia="Arial" w:hAnsi="Arial"/>
                <w:sz w:val="18"/>
                <w:szCs w:val="18"/>
                <w:color w:val="auto"/>
              </w:rPr>
              <w:t>306,585</w:t>
            </w:r>
          </w:p>
        </w:tc>
      </w:tr>
      <w:tr>
        <w:trPr>
          <w:trHeight w:val="216"/>
        </w:trPr>
        <w:tc>
          <w:tcPr>
            <w:tcW w:w="20" w:type="dxa"/>
            <w:vAlign w:val="bottom"/>
          </w:tcPr>
          <w:p>
            <w:pPr>
              <w:spacing w:after="0"/>
              <w:rPr>
                <w:sz w:val="18"/>
                <w:szCs w:val="18"/>
                <w:color w:val="auto"/>
              </w:rPr>
            </w:pPr>
          </w:p>
        </w:tc>
        <w:tc>
          <w:tcPr>
            <w:tcW w:w="7380" w:type="dxa"/>
            <w:vAlign w:val="bottom"/>
            <w:shd w:val="clear" w:color="auto" w:fill="CCEEFF"/>
          </w:tcPr>
          <w:p>
            <w:pPr>
              <w:spacing w:after="0"/>
              <w:rPr>
                <w:sz w:val="20"/>
                <w:szCs w:val="20"/>
                <w:color w:val="auto"/>
              </w:rPr>
            </w:pPr>
            <w:r>
              <w:rPr>
                <w:rFonts w:ascii="Arial" w:cs="Arial" w:eastAsia="Arial" w:hAnsi="Arial"/>
                <w:sz w:val="18"/>
                <w:szCs w:val="18"/>
                <w:color w:val="auto"/>
              </w:rPr>
              <w:t>Adjustments to reconcile net income to net cash provided by operating activities:</w:t>
            </w:r>
          </w:p>
        </w:tc>
        <w:tc>
          <w:tcPr>
            <w:tcW w:w="7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7380" w:type="dxa"/>
            <w:vAlign w:val="bottom"/>
          </w:tcPr>
          <w:p>
            <w:pPr>
              <w:ind w:left="340"/>
              <w:spacing w:after="0"/>
              <w:rPr>
                <w:sz w:val="20"/>
                <w:szCs w:val="20"/>
                <w:color w:val="auto"/>
              </w:rPr>
            </w:pPr>
            <w:r>
              <w:rPr>
                <w:rFonts w:ascii="Arial" w:cs="Arial" w:eastAsia="Arial" w:hAnsi="Arial"/>
                <w:sz w:val="18"/>
                <w:szCs w:val="18"/>
                <w:color w:val="auto"/>
              </w:rPr>
              <w:t>Depreciation and amortization</w:t>
            </w:r>
          </w:p>
        </w:tc>
        <w:tc>
          <w:tcPr>
            <w:tcW w:w="940" w:type="dxa"/>
            <w:vAlign w:val="bottom"/>
            <w:gridSpan w:val="2"/>
          </w:tcPr>
          <w:p>
            <w:pPr>
              <w:jc w:val="right"/>
              <w:ind w:right="200"/>
              <w:spacing w:after="0"/>
              <w:rPr>
                <w:sz w:val="20"/>
                <w:szCs w:val="20"/>
                <w:color w:val="auto"/>
              </w:rPr>
            </w:pPr>
            <w:r>
              <w:rPr>
                <w:rFonts w:ascii="Arial" w:cs="Arial" w:eastAsia="Arial" w:hAnsi="Arial"/>
                <w:sz w:val="18"/>
                <w:szCs w:val="18"/>
                <w:color w:val="auto"/>
              </w:rPr>
              <w:t>26,029</w:t>
            </w:r>
          </w:p>
        </w:tc>
        <w:tc>
          <w:tcPr>
            <w:tcW w:w="10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26,227</w:t>
            </w: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rPr>
              <w:t>102,605</w:t>
            </w: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00" w:type="dxa"/>
            <w:vAlign w:val="bottom"/>
            <w:gridSpan w:val="2"/>
          </w:tcPr>
          <w:p>
            <w:pPr>
              <w:jc w:val="right"/>
              <w:ind w:right="100"/>
              <w:spacing w:after="0"/>
              <w:rPr>
                <w:sz w:val="20"/>
                <w:szCs w:val="20"/>
                <w:color w:val="auto"/>
              </w:rPr>
            </w:pPr>
            <w:r>
              <w:rPr>
                <w:rFonts w:ascii="Arial" w:cs="Arial" w:eastAsia="Arial" w:hAnsi="Arial"/>
                <w:sz w:val="18"/>
                <w:szCs w:val="18"/>
                <w:color w:val="auto"/>
              </w:rPr>
              <w:t>91,028</w:t>
            </w:r>
          </w:p>
        </w:tc>
      </w:tr>
      <w:tr>
        <w:trPr>
          <w:trHeight w:val="216"/>
        </w:trPr>
        <w:tc>
          <w:tcPr>
            <w:tcW w:w="20" w:type="dxa"/>
            <w:vAlign w:val="bottom"/>
          </w:tcPr>
          <w:p>
            <w:pPr>
              <w:spacing w:after="0"/>
              <w:rPr>
                <w:sz w:val="18"/>
                <w:szCs w:val="18"/>
                <w:color w:val="auto"/>
              </w:rPr>
            </w:pPr>
          </w:p>
        </w:tc>
        <w:tc>
          <w:tcPr>
            <w:tcW w:w="7380" w:type="dxa"/>
            <w:vAlign w:val="bottom"/>
            <w:shd w:val="clear" w:color="auto" w:fill="CCEEFF"/>
          </w:tcPr>
          <w:p>
            <w:pPr>
              <w:ind w:left="340"/>
              <w:spacing w:after="0"/>
              <w:rPr>
                <w:sz w:val="20"/>
                <w:szCs w:val="20"/>
                <w:color w:val="auto"/>
              </w:rPr>
            </w:pPr>
            <w:r>
              <w:rPr>
                <w:rFonts w:ascii="Arial" w:cs="Arial" w:eastAsia="Arial" w:hAnsi="Arial"/>
                <w:sz w:val="18"/>
                <w:szCs w:val="18"/>
                <w:color w:val="auto"/>
              </w:rPr>
              <w:t>Share-based compensation</w:t>
            </w:r>
          </w:p>
        </w:tc>
        <w:tc>
          <w:tcPr>
            <w:tcW w:w="9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38,068</w:t>
            </w: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36,486</w:t>
            </w: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155,873</w:t>
            </w: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127,280</w:t>
            </w:r>
          </w:p>
        </w:tc>
      </w:tr>
      <w:tr>
        <w:trPr>
          <w:trHeight w:val="216"/>
        </w:trPr>
        <w:tc>
          <w:tcPr>
            <w:tcW w:w="20" w:type="dxa"/>
            <w:vAlign w:val="bottom"/>
          </w:tcPr>
          <w:p>
            <w:pPr>
              <w:spacing w:after="0"/>
              <w:rPr>
                <w:sz w:val="18"/>
                <w:szCs w:val="18"/>
                <w:color w:val="auto"/>
              </w:rPr>
            </w:pPr>
          </w:p>
        </w:tc>
        <w:tc>
          <w:tcPr>
            <w:tcW w:w="7380" w:type="dxa"/>
            <w:vAlign w:val="bottom"/>
          </w:tcPr>
          <w:p>
            <w:pPr>
              <w:ind w:left="340"/>
              <w:spacing w:after="0"/>
              <w:rPr>
                <w:sz w:val="20"/>
                <w:szCs w:val="20"/>
                <w:color w:val="auto"/>
              </w:rPr>
            </w:pPr>
            <w:r>
              <w:rPr>
                <w:rFonts w:ascii="Arial" w:cs="Arial" w:eastAsia="Arial" w:hAnsi="Arial"/>
                <w:sz w:val="18"/>
                <w:szCs w:val="18"/>
                <w:color w:val="auto"/>
              </w:rPr>
              <w:t>Amortization and write-off of acquired intangible assets</w:t>
            </w:r>
          </w:p>
        </w:tc>
        <w:tc>
          <w:tcPr>
            <w:tcW w:w="940" w:type="dxa"/>
            <w:vAlign w:val="bottom"/>
            <w:gridSpan w:val="2"/>
          </w:tcPr>
          <w:p>
            <w:pPr>
              <w:jc w:val="right"/>
              <w:ind w:right="200"/>
              <w:spacing w:after="0"/>
              <w:rPr>
                <w:sz w:val="20"/>
                <w:szCs w:val="20"/>
                <w:color w:val="auto"/>
              </w:rPr>
            </w:pPr>
            <w:r>
              <w:rPr>
                <w:rFonts w:ascii="Arial" w:cs="Arial" w:eastAsia="Arial" w:hAnsi="Arial"/>
                <w:sz w:val="18"/>
                <w:szCs w:val="18"/>
                <w:color w:val="auto"/>
              </w:rPr>
              <w:t>12,184</w:t>
            </w:r>
          </w:p>
        </w:tc>
        <w:tc>
          <w:tcPr>
            <w:tcW w:w="10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12,268</w:t>
            </w: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rPr>
              <w:t>44,153</w:t>
            </w: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00" w:type="dxa"/>
            <w:vAlign w:val="bottom"/>
            <w:gridSpan w:val="2"/>
          </w:tcPr>
          <w:p>
            <w:pPr>
              <w:jc w:val="right"/>
              <w:ind w:right="100"/>
              <w:spacing w:after="0"/>
              <w:rPr>
                <w:sz w:val="20"/>
                <w:szCs w:val="20"/>
                <w:color w:val="auto"/>
              </w:rPr>
            </w:pPr>
            <w:r>
              <w:rPr>
                <w:rFonts w:ascii="Arial" w:cs="Arial" w:eastAsia="Arial" w:hAnsi="Arial"/>
                <w:sz w:val="18"/>
                <w:szCs w:val="18"/>
                <w:color w:val="auto"/>
              </w:rPr>
              <w:t>52,700</w:t>
            </w:r>
          </w:p>
        </w:tc>
      </w:tr>
      <w:tr>
        <w:trPr>
          <w:trHeight w:val="216"/>
        </w:trPr>
        <w:tc>
          <w:tcPr>
            <w:tcW w:w="20" w:type="dxa"/>
            <w:vAlign w:val="bottom"/>
          </w:tcPr>
          <w:p>
            <w:pPr>
              <w:spacing w:after="0"/>
              <w:rPr>
                <w:sz w:val="18"/>
                <w:szCs w:val="18"/>
                <w:color w:val="auto"/>
              </w:rPr>
            </w:pPr>
          </w:p>
        </w:tc>
        <w:tc>
          <w:tcPr>
            <w:tcW w:w="7380" w:type="dxa"/>
            <w:vAlign w:val="bottom"/>
            <w:shd w:val="clear" w:color="auto" w:fill="CCEEFF"/>
          </w:tcPr>
          <w:p>
            <w:pPr>
              <w:ind w:left="340"/>
              <w:spacing w:after="0"/>
              <w:rPr>
                <w:sz w:val="20"/>
                <w:szCs w:val="20"/>
                <w:color w:val="auto"/>
              </w:rPr>
            </w:pPr>
            <w:r>
              <w:rPr>
                <w:rFonts w:ascii="Arial" w:cs="Arial" w:eastAsia="Arial" w:hAnsi="Arial"/>
                <w:sz w:val="18"/>
                <w:szCs w:val="18"/>
                <w:color w:val="auto"/>
              </w:rPr>
              <w:t>Other expense, net</w:t>
            </w:r>
          </w:p>
        </w:tc>
        <w:tc>
          <w:tcPr>
            <w:tcW w:w="9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2,184</w:t>
            </w: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957</w:t>
            </w: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8,178</w:t>
            </w: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7,392</w:t>
            </w:r>
          </w:p>
        </w:tc>
      </w:tr>
      <w:tr>
        <w:trPr>
          <w:trHeight w:val="216"/>
        </w:trPr>
        <w:tc>
          <w:tcPr>
            <w:tcW w:w="20" w:type="dxa"/>
            <w:vAlign w:val="bottom"/>
          </w:tcPr>
          <w:p>
            <w:pPr>
              <w:spacing w:after="0"/>
              <w:rPr>
                <w:sz w:val="18"/>
                <w:szCs w:val="18"/>
                <w:color w:val="auto"/>
              </w:rPr>
            </w:pPr>
          </w:p>
        </w:tc>
        <w:tc>
          <w:tcPr>
            <w:tcW w:w="7380" w:type="dxa"/>
            <w:vAlign w:val="bottom"/>
          </w:tcPr>
          <w:p>
            <w:pPr>
              <w:ind w:left="340"/>
              <w:spacing w:after="0"/>
              <w:rPr>
                <w:sz w:val="20"/>
                <w:szCs w:val="20"/>
                <w:color w:val="auto"/>
              </w:rPr>
            </w:pPr>
            <w:r>
              <w:rPr>
                <w:rFonts w:ascii="Arial" w:cs="Arial" w:eastAsia="Arial" w:hAnsi="Arial"/>
                <w:sz w:val="18"/>
                <w:szCs w:val="18"/>
                <w:color w:val="auto"/>
              </w:rPr>
              <w:t>Gain from sale of a product line</w:t>
            </w:r>
          </w:p>
        </w:tc>
        <w:tc>
          <w:tcPr>
            <w:tcW w:w="940" w:type="dxa"/>
            <w:vAlign w:val="bottom"/>
            <w:gridSpan w:val="2"/>
          </w:tcPr>
          <w:p>
            <w:pPr>
              <w:jc w:val="right"/>
              <w:ind w:right="140"/>
              <w:spacing w:after="0"/>
              <w:rPr>
                <w:sz w:val="20"/>
                <w:szCs w:val="20"/>
                <w:color w:val="auto"/>
              </w:rPr>
            </w:pPr>
            <w:r>
              <w:rPr>
                <w:rFonts w:ascii="Arial" w:cs="Arial" w:eastAsia="Arial" w:hAnsi="Arial"/>
                <w:sz w:val="18"/>
                <w:szCs w:val="18"/>
                <w:color w:val="auto"/>
              </w:rPr>
              <w:t>(6,975)</w:t>
            </w:r>
          </w:p>
        </w:tc>
        <w:tc>
          <w:tcPr>
            <w:tcW w:w="100" w:type="dxa"/>
            <w:vAlign w:val="bottom"/>
          </w:tcPr>
          <w:p>
            <w:pPr>
              <w:spacing w:after="0"/>
              <w:rPr>
                <w:sz w:val="18"/>
                <w:szCs w:val="18"/>
                <w:color w:val="auto"/>
              </w:rPr>
            </w:pPr>
          </w:p>
        </w:tc>
        <w:tc>
          <w:tcPr>
            <w:tcW w:w="104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880" w:type="dxa"/>
            <w:vAlign w:val="bottom"/>
            <w:gridSpan w:val="2"/>
          </w:tcPr>
          <w:p>
            <w:pPr>
              <w:jc w:val="right"/>
              <w:spacing w:after="0"/>
              <w:rPr>
                <w:sz w:val="20"/>
                <w:szCs w:val="20"/>
                <w:color w:val="auto"/>
              </w:rPr>
            </w:pPr>
            <w:r>
              <w:rPr>
                <w:rFonts w:ascii="Arial" w:cs="Arial" w:eastAsia="Arial" w:hAnsi="Arial"/>
                <w:sz w:val="18"/>
                <w:szCs w:val="18"/>
                <w:color w:val="auto"/>
              </w:rPr>
              <w:t>(6,975)</w:t>
            </w: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r>
      <w:tr>
        <w:trPr>
          <w:trHeight w:val="216"/>
        </w:trPr>
        <w:tc>
          <w:tcPr>
            <w:tcW w:w="20" w:type="dxa"/>
            <w:vAlign w:val="bottom"/>
          </w:tcPr>
          <w:p>
            <w:pPr>
              <w:spacing w:after="0"/>
              <w:rPr>
                <w:sz w:val="18"/>
                <w:szCs w:val="18"/>
                <w:color w:val="auto"/>
              </w:rPr>
            </w:pPr>
          </w:p>
        </w:tc>
        <w:tc>
          <w:tcPr>
            <w:tcW w:w="7380" w:type="dxa"/>
            <w:vAlign w:val="bottom"/>
            <w:shd w:val="clear" w:color="auto" w:fill="CCEEFF"/>
          </w:tcPr>
          <w:p>
            <w:pPr>
              <w:ind w:left="340"/>
              <w:spacing w:after="0"/>
              <w:rPr>
                <w:sz w:val="20"/>
                <w:szCs w:val="20"/>
                <w:color w:val="auto"/>
              </w:rPr>
            </w:pPr>
            <w:r>
              <w:rPr>
                <w:rFonts w:ascii="Arial" w:cs="Arial" w:eastAsia="Arial" w:hAnsi="Arial"/>
                <w:sz w:val="18"/>
                <w:szCs w:val="18"/>
                <w:color w:val="auto"/>
              </w:rPr>
              <w:t>Excess tax benefits from share-based compensation</w:t>
            </w:r>
          </w:p>
        </w:tc>
        <w:tc>
          <w:tcPr>
            <w:tcW w:w="9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22</w:t>
            </w: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(9)</w:t>
            </w:r>
          </w:p>
        </w:tc>
        <w:tc>
          <w:tcPr>
            <w:tcW w:w="8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(20)</w:t>
            </w: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(58)</w:t>
            </w:r>
          </w:p>
        </w:tc>
      </w:tr>
      <w:tr>
        <w:trPr>
          <w:trHeight w:val="216"/>
        </w:trPr>
        <w:tc>
          <w:tcPr>
            <w:tcW w:w="20" w:type="dxa"/>
            <w:vAlign w:val="bottom"/>
          </w:tcPr>
          <w:p>
            <w:pPr>
              <w:spacing w:after="0"/>
              <w:rPr>
                <w:sz w:val="18"/>
                <w:szCs w:val="18"/>
                <w:color w:val="auto"/>
              </w:rPr>
            </w:pPr>
          </w:p>
        </w:tc>
        <w:tc>
          <w:tcPr>
            <w:tcW w:w="7380" w:type="dxa"/>
            <w:vAlign w:val="bottom"/>
          </w:tcPr>
          <w:p>
            <w:pPr>
              <w:ind w:left="340"/>
              <w:spacing w:after="0"/>
              <w:rPr>
                <w:sz w:val="20"/>
                <w:szCs w:val="20"/>
                <w:color w:val="auto"/>
              </w:rPr>
            </w:pPr>
            <w:r>
              <w:rPr>
                <w:rFonts w:ascii="Arial" w:cs="Arial" w:eastAsia="Arial" w:hAnsi="Arial"/>
                <w:sz w:val="18"/>
                <w:szCs w:val="18"/>
                <w:color w:val="auto"/>
              </w:rPr>
              <w:t>Changes in assets and liabilities:</w:t>
            </w:r>
          </w:p>
        </w:tc>
        <w:tc>
          <w:tcPr>
            <w:tcW w:w="7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7380" w:type="dxa"/>
            <w:vAlign w:val="bottom"/>
            <w:shd w:val="clear" w:color="auto" w:fill="CCEEFF"/>
          </w:tcPr>
          <w:p>
            <w:pPr>
              <w:ind w:left="700"/>
              <w:spacing w:after="0"/>
              <w:rPr>
                <w:sz w:val="20"/>
                <w:szCs w:val="20"/>
                <w:color w:val="auto"/>
              </w:rPr>
            </w:pPr>
            <w:r>
              <w:rPr>
                <w:rFonts w:ascii="Arial" w:cs="Arial" w:eastAsia="Arial" w:hAnsi="Arial"/>
                <w:sz w:val="18"/>
                <w:szCs w:val="18"/>
                <w:color w:val="auto"/>
              </w:rPr>
              <w:t>Accounts receivable</w:t>
            </w:r>
          </w:p>
        </w:tc>
        <w:tc>
          <w:tcPr>
            <w:tcW w:w="9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13,233</w:t>
            </w: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44,532</w:t>
            </w:r>
          </w:p>
        </w:tc>
        <w:tc>
          <w:tcPr>
            <w:tcW w:w="8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(123,258)</w:t>
            </w: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77,025</w:t>
            </w:r>
          </w:p>
        </w:tc>
      </w:tr>
      <w:tr>
        <w:trPr>
          <w:trHeight w:val="216"/>
        </w:trPr>
        <w:tc>
          <w:tcPr>
            <w:tcW w:w="20" w:type="dxa"/>
            <w:vAlign w:val="bottom"/>
          </w:tcPr>
          <w:p>
            <w:pPr>
              <w:spacing w:after="0"/>
              <w:rPr>
                <w:sz w:val="18"/>
                <w:szCs w:val="18"/>
                <w:color w:val="auto"/>
              </w:rPr>
            </w:pPr>
          </w:p>
        </w:tc>
        <w:tc>
          <w:tcPr>
            <w:tcW w:w="7380" w:type="dxa"/>
            <w:vAlign w:val="bottom"/>
          </w:tcPr>
          <w:p>
            <w:pPr>
              <w:ind w:left="700"/>
              <w:spacing w:after="0"/>
              <w:rPr>
                <w:sz w:val="20"/>
                <w:szCs w:val="20"/>
                <w:color w:val="auto"/>
              </w:rPr>
            </w:pPr>
            <w:r>
              <w:rPr>
                <w:rFonts w:ascii="Arial" w:cs="Arial" w:eastAsia="Arial" w:hAnsi="Arial"/>
                <w:sz w:val="18"/>
                <w:szCs w:val="18"/>
                <w:color w:val="auto"/>
              </w:rPr>
              <w:t>Inventories</w:t>
            </w:r>
          </w:p>
        </w:tc>
        <w:tc>
          <w:tcPr>
            <w:tcW w:w="940" w:type="dxa"/>
            <w:vAlign w:val="bottom"/>
            <w:gridSpan w:val="2"/>
          </w:tcPr>
          <w:p>
            <w:pPr>
              <w:jc w:val="right"/>
              <w:ind w:right="200"/>
              <w:spacing w:after="0"/>
              <w:rPr>
                <w:sz w:val="20"/>
                <w:szCs w:val="20"/>
                <w:color w:val="auto"/>
              </w:rPr>
            </w:pPr>
            <w:r>
              <w:rPr>
                <w:rFonts w:ascii="Arial" w:cs="Arial" w:eastAsia="Arial" w:hAnsi="Arial"/>
                <w:sz w:val="18"/>
                <w:szCs w:val="18"/>
                <w:color w:val="auto"/>
              </w:rPr>
              <w:t>32,262</w:t>
            </w:r>
          </w:p>
        </w:tc>
        <w:tc>
          <w:tcPr>
            <w:tcW w:w="10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73,468</w:t>
            </w:r>
          </w:p>
        </w:tc>
        <w:tc>
          <w:tcPr>
            <w:tcW w:w="880" w:type="dxa"/>
            <w:vAlign w:val="bottom"/>
            <w:gridSpan w:val="2"/>
          </w:tcPr>
          <w:p>
            <w:pPr>
              <w:jc w:val="right"/>
              <w:spacing w:after="0"/>
              <w:rPr>
                <w:sz w:val="20"/>
                <w:szCs w:val="20"/>
                <w:color w:val="auto"/>
              </w:rPr>
            </w:pPr>
            <w:r>
              <w:rPr>
                <w:rFonts w:ascii="Arial" w:cs="Arial" w:eastAsia="Arial" w:hAnsi="Arial"/>
                <w:sz w:val="18"/>
                <w:szCs w:val="18"/>
                <w:color w:val="auto"/>
              </w:rPr>
              <w:t>(97,188)</w:t>
            </w: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00" w:type="dxa"/>
            <w:vAlign w:val="bottom"/>
            <w:gridSpan w:val="2"/>
          </w:tcPr>
          <w:p>
            <w:pPr>
              <w:jc w:val="right"/>
              <w:ind w:right="100"/>
              <w:spacing w:after="0"/>
              <w:rPr>
                <w:sz w:val="20"/>
                <w:szCs w:val="20"/>
                <w:color w:val="auto"/>
              </w:rPr>
            </w:pPr>
            <w:r>
              <w:rPr>
                <w:rFonts w:ascii="Arial" w:cs="Arial" w:eastAsia="Arial" w:hAnsi="Arial"/>
                <w:sz w:val="18"/>
                <w:szCs w:val="18"/>
                <w:color w:val="auto"/>
              </w:rPr>
              <w:t>103,102</w:t>
            </w:r>
          </w:p>
        </w:tc>
      </w:tr>
      <w:tr>
        <w:trPr>
          <w:trHeight w:val="216"/>
        </w:trPr>
        <w:tc>
          <w:tcPr>
            <w:tcW w:w="20" w:type="dxa"/>
            <w:vAlign w:val="bottom"/>
          </w:tcPr>
          <w:p>
            <w:pPr>
              <w:spacing w:after="0"/>
              <w:rPr>
                <w:sz w:val="18"/>
                <w:szCs w:val="18"/>
                <w:color w:val="auto"/>
              </w:rPr>
            </w:pPr>
          </w:p>
        </w:tc>
        <w:tc>
          <w:tcPr>
            <w:tcW w:w="7380" w:type="dxa"/>
            <w:vAlign w:val="bottom"/>
            <w:shd w:val="clear" w:color="auto" w:fill="CCEEFF"/>
          </w:tcPr>
          <w:p>
            <w:pPr>
              <w:ind w:left="700"/>
              <w:spacing w:after="0"/>
              <w:rPr>
                <w:sz w:val="20"/>
                <w:szCs w:val="20"/>
                <w:color w:val="auto"/>
              </w:rPr>
            </w:pPr>
            <w:r>
              <w:rPr>
                <w:rFonts w:ascii="Arial" w:cs="Arial" w:eastAsia="Arial" w:hAnsi="Arial"/>
                <w:sz w:val="18"/>
                <w:szCs w:val="18"/>
                <w:color w:val="auto"/>
              </w:rPr>
              <w:t>Prepaid expenses and other assets</w:t>
            </w:r>
          </w:p>
        </w:tc>
        <w:tc>
          <w:tcPr>
            <w:tcW w:w="9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8,365</w:t>
            </w: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(15,861)</w:t>
            </w: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23,377</w:t>
            </w: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132</w:t>
            </w:r>
          </w:p>
        </w:tc>
      </w:tr>
      <w:tr>
        <w:trPr>
          <w:trHeight w:val="216"/>
        </w:trPr>
        <w:tc>
          <w:tcPr>
            <w:tcW w:w="20" w:type="dxa"/>
            <w:vAlign w:val="bottom"/>
          </w:tcPr>
          <w:p>
            <w:pPr>
              <w:spacing w:after="0"/>
              <w:rPr>
                <w:sz w:val="18"/>
                <w:szCs w:val="18"/>
                <w:color w:val="auto"/>
              </w:rPr>
            </w:pPr>
          </w:p>
        </w:tc>
        <w:tc>
          <w:tcPr>
            <w:tcW w:w="7380" w:type="dxa"/>
            <w:vAlign w:val="bottom"/>
          </w:tcPr>
          <w:p>
            <w:pPr>
              <w:ind w:left="700"/>
              <w:spacing w:after="0"/>
              <w:rPr>
                <w:sz w:val="20"/>
                <w:szCs w:val="20"/>
                <w:color w:val="auto"/>
              </w:rPr>
            </w:pPr>
            <w:r>
              <w:rPr>
                <w:rFonts w:ascii="Arial" w:cs="Arial" w:eastAsia="Arial" w:hAnsi="Arial"/>
                <w:sz w:val="18"/>
                <w:szCs w:val="18"/>
                <w:color w:val="auto"/>
              </w:rPr>
              <w:t>Accounts payable</w:t>
            </w:r>
          </w:p>
        </w:tc>
        <w:tc>
          <w:tcPr>
            <w:tcW w:w="940" w:type="dxa"/>
            <w:vAlign w:val="bottom"/>
            <w:gridSpan w:val="2"/>
          </w:tcPr>
          <w:p>
            <w:pPr>
              <w:jc w:val="right"/>
              <w:ind w:right="140"/>
              <w:spacing w:after="0"/>
              <w:rPr>
                <w:sz w:val="20"/>
                <w:szCs w:val="20"/>
                <w:color w:val="auto"/>
              </w:rPr>
            </w:pPr>
            <w:r>
              <w:rPr>
                <w:rFonts w:ascii="Arial" w:cs="Arial" w:eastAsia="Arial" w:hAnsi="Arial"/>
                <w:sz w:val="18"/>
                <w:szCs w:val="18"/>
                <w:color w:val="auto"/>
              </w:rPr>
              <w:t>(88,520)</w:t>
            </w:r>
          </w:p>
        </w:tc>
        <w:tc>
          <w:tcPr>
            <w:tcW w:w="10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2,833</w:t>
            </w: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rPr>
              <w:t>39,791</w:t>
            </w: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00" w:type="dxa"/>
            <w:vAlign w:val="bottom"/>
            <w:gridSpan w:val="2"/>
          </w:tcPr>
          <w:p>
            <w:pPr>
              <w:jc w:val="right"/>
              <w:ind w:right="40"/>
              <w:spacing w:after="0"/>
              <w:rPr>
                <w:sz w:val="20"/>
                <w:szCs w:val="20"/>
                <w:color w:val="auto"/>
              </w:rPr>
            </w:pPr>
            <w:r>
              <w:rPr>
                <w:rFonts w:ascii="Arial" w:cs="Arial" w:eastAsia="Arial" w:hAnsi="Arial"/>
                <w:sz w:val="18"/>
                <w:szCs w:val="18"/>
                <w:color w:val="auto"/>
              </w:rPr>
              <w:t>(24,304)</w:t>
            </w:r>
          </w:p>
        </w:tc>
      </w:tr>
      <w:tr>
        <w:trPr>
          <w:trHeight w:val="216"/>
        </w:trPr>
        <w:tc>
          <w:tcPr>
            <w:tcW w:w="20" w:type="dxa"/>
            <w:vAlign w:val="bottom"/>
          </w:tcPr>
          <w:p>
            <w:pPr>
              <w:spacing w:after="0"/>
              <w:rPr>
                <w:sz w:val="18"/>
                <w:szCs w:val="18"/>
                <w:color w:val="auto"/>
              </w:rPr>
            </w:pPr>
          </w:p>
        </w:tc>
        <w:tc>
          <w:tcPr>
            <w:tcW w:w="7380" w:type="dxa"/>
            <w:vAlign w:val="bottom"/>
            <w:shd w:val="clear" w:color="auto" w:fill="CCEEFF"/>
          </w:tcPr>
          <w:p>
            <w:pPr>
              <w:ind w:left="700"/>
              <w:spacing w:after="0"/>
              <w:rPr>
                <w:sz w:val="20"/>
                <w:szCs w:val="20"/>
                <w:color w:val="auto"/>
              </w:rPr>
            </w:pPr>
            <w:r>
              <w:rPr>
                <w:rFonts w:ascii="Arial" w:cs="Arial" w:eastAsia="Arial" w:hAnsi="Arial"/>
                <w:sz w:val="18"/>
                <w:szCs w:val="18"/>
                <w:color w:val="auto"/>
              </w:rPr>
              <w:t>Accrued liabilities and other non-current liabilities</w:t>
            </w:r>
          </w:p>
        </w:tc>
        <w:tc>
          <w:tcPr>
            <w:tcW w:w="9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1,383</w:t>
            </w: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(2,272)</w:t>
            </w:r>
          </w:p>
        </w:tc>
        <w:tc>
          <w:tcPr>
            <w:tcW w:w="8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(19,127)</w:t>
            </w: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8,014</w:t>
            </w:r>
          </w:p>
        </w:tc>
      </w:tr>
      <w:tr>
        <w:trPr>
          <w:trHeight w:val="216"/>
        </w:trPr>
        <w:tc>
          <w:tcPr>
            <w:tcW w:w="20" w:type="dxa"/>
            <w:vAlign w:val="bottom"/>
          </w:tcPr>
          <w:p>
            <w:pPr>
              <w:spacing w:after="0"/>
              <w:rPr>
                <w:sz w:val="18"/>
                <w:szCs w:val="18"/>
                <w:color w:val="auto"/>
              </w:rPr>
            </w:pPr>
          </w:p>
        </w:tc>
        <w:tc>
          <w:tcPr>
            <w:tcW w:w="7380" w:type="dxa"/>
            <w:vAlign w:val="bottom"/>
          </w:tcPr>
          <w:p>
            <w:pPr>
              <w:ind w:left="700"/>
              <w:spacing w:after="0"/>
              <w:rPr>
                <w:sz w:val="20"/>
                <w:szCs w:val="20"/>
                <w:color w:val="auto"/>
              </w:rPr>
            </w:pPr>
            <w:r>
              <w:rPr>
                <w:rFonts w:ascii="Arial" w:cs="Arial" w:eastAsia="Arial" w:hAnsi="Arial"/>
                <w:sz w:val="18"/>
                <w:szCs w:val="18"/>
                <w:color w:val="auto"/>
              </w:rPr>
              <w:t>Accrued employee compensation</w:t>
            </w:r>
          </w:p>
        </w:tc>
        <w:tc>
          <w:tcPr>
            <w:tcW w:w="940" w:type="dxa"/>
            <w:vAlign w:val="bottom"/>
            <w:gridSpan w:val="2"/>
          </w:tcPr>
          <w:p>
            <w:pPr>
              <w:jc w:val="right"/>
              <w:ind w:right="140"/>
              <w:spacing w:after="0"/>
              <w:rPr>
                <w:sz w:val="20"/>
                <w:szCs w:val="20"/>
                <w:color w:val="auto"/>
              </w:rPr>
            </w:pPr>
            <w:r>
              <w:rPr>
                <w:rFonts w:ascii="Arial" w:cs="Arial" w:eastAsia="Arial" w:hAnsi="Arial"/>
                <w:sz w:val="18"/>
                <w:szCs w:val="18"/>
                <w:color w:val="auto"/>
              </w:rPr>
              <w:t>(19,752)</w:t>
            </w:r>
          </w:p>
        </w:tc>
        <w:tc>
          <w:tcPr>
            <w:tcW w:w="100" w:type="dxa"/>
            <w:vAlign w:val="bottom"/>
          </w:tcPr>
          <w:p>
            <w:pPr>
              <w:spacing w:after="0"/>
              <w:rPr>
                <w:sz w:val="18"/>
                <w:szCs w:val="18"/>
                <w:color w:val="auto"/>
              </w:rPr>
            </w:pPr>
          </w:p>
        </w:tc>
        <w:tc>
          <w:tcPr>
            <w:tcW w:w="1040" w:type="dxa"/>
            <w:vAlign w:val="bottom"/>
            <w:gridSpan w:val="2"/>
          </w:tcPr>
          <w:p>
            <w:pPr>
              <w:jc w:val="right"/>
              <w:ind w:right="260"/>
              <w:spacing w:after="0"/>
              <w:rPr>
                <w:sz w:val="20"/>
                <w:szCs w:val="20"/>
                <w:color w:val="auto"/>
              </w:rPr>
            </w:pPr>
            <w:r>
              <w:rPr>
                <w:rFonts w:ascii="Arial" w:cs="Arial" w:eastAsia="Arial" w:hAnsi="Arial"/>
                <w:sz w:val="18"/>
                <w:szCs w:val="18"/>
                <w:color w:val="auto"/>
              </w:rPr>
              <w:t>(24,878)</w:t>
            </w:r>
          </w:p>
        </w:tc>
        <w:tc>
          <w:tcPr>
            <w:tcW w:w="880" w:type="dxa"/>
            <w:vAlign w:val="bottom"/>
            <w:gridSpan w:val="2"/>
          </w:tcPr>
          <w:p>
            <w:pPr>
              <w:jc w:val="right"/>
              <w:spacing w:after="0"/>
              <w:rPr>
                <w:sz w:val="20"/>
                <w:szCs w:val="20"/>
                <w:color w:val="auto"/>
              </w:rPr>
            </w:pPr>
            <w:r>
              <w:rPr>
                <w:rFonts w:ascii="Arial" w:cs="Arial" w:eastAsia="Arial" w:hAnsi="Arial"/>
                <w:sz w:val="18"/>
                <w:szCs w:val="18"/>
                <w:color w:val="auto"/>
              </w:rPr>
              <w:t>(5,787)</w:t>
            </w: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00" w:type="dxa"/>
            <w:vAlign w:val="bottom"/>
            <w:gridSpan w:val="2"/>
          </w:tcPr>
          <w:p>
            <w:pPr>
              <w:jc w:val="right"/>
              <w:ind w:right="40"/>
              <w:spacing w:after="0"/>
              <w:rPr>
                <w:sz w:val="20"/>
                <w:szCs w:val="20"/>
                <w:color w:val="auto"/>
              </w:rPr>
            </w:pPr>
            <w:r>
              <w:rPr>
                <w:rFonts w:ascii="Arial" w:cs="Arial" w:eastAsia="Arial" w:hAnsi="Arial"/>
                <w:sz w:val="18"/>
                <w:szCs w:val="18"/>
                <w:color w:val="auto"/>
              </w:rPr>
              <w:t>(20,050)</w:t>
            </w:r>
          </w:p>
        </w:tc>
      </w:tr>
      <w:tr>
        <w:trPr>
          <w:trHeight w:val="216"/>
        </w:trPr>
        <w:tc>
          <w:tcPr>
            <w:tcW w:w="20" w:type="dxa"/>
            <w:vAlign w:val="bottom"/>
          </w:tcPr>
          <w:p>
            <w:pPr>
              <w:spacing w:after="0"/>
              <w:rPr>
                <w:sz w:val="18"/>
                <w:szCs w:val="18"/>
                <w:color w:val="auto"/>
              </w:rPr>
            </w:pPr>
          </w:p>
        </w:tc>
        <w:tc>
          <w:tcPr>
            <w:tcW w:w="7380" w:type="dxa"/>
            <w:vAlign w:val="bottom"/>
            <w:shd w:val="clear" w:color="auto" w:fill="CCEEFF"/>
          </w:tcPr>
          <w:p>
            <w:pPr>
              <w:ind w:left="700"/>
              <w:spacing w:after="0"/>
              <w:rPr>
                <w:sz w:val="20"/>
                <w:szCs w:val="20"/>
                <w:color w:val="auto"/>
              </w:rPr>
            </w:pPr>
            <w:r>
              <w:rPr>
                <w:rFonts w:ascii="Arial" w:cs="Arial" w:eastAsia="Arial" w:hAnsi="Arial"/>
                <w:sz w:val="18"/>
                <w:szCs w:val="18"/>
                <w:color w:val="auto"/>
              </w:rPr>
              <w:t>Deferred income</w:t>
            </w:r>
          </w:p>
        </w:tc>
        <w:tc>
          <w:tcPr>
            <w:tcW w:w="94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(24,623)</w:t>
            </w: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692</w:t>
            </w: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1,597</w:t>
            </w: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191</w:t>
            </w:r>
          </w:p>
        </w:tc>
      </w:tr>
      <w:tr>
        <w:trPr>
          <w:trHeight w:val="223"/>
        </w:trPr>
        <w:tc>
          <w:tcPr>
            <w:tcW w:w="20" w:type="dxa"/>
            <w:vAlign w:val="bottom"/>
          </w:tcPr>
          <w:p>
            <w:pPr>
              <w:spacing w:after="0"/>
              <w:rPr>
                <w:sz w:val="19"/>
                <w:szCs w:val="19"/>
                <w:color w:val="auto"/>
              </w:rPr>
            </w:pPr>
          </w:p>
        </w:tc>
        <w:tc>
          <w:tcPr>
            <w:tcW w:w="7380" w:type="dxa"/>
            <w:vAlign w:val="bottom"/>
          </w:tcPr>
          <w:p>
            <w:pPr>
              <w:ind w:left="1060"/>
              <w:spacing w:after="0"/>
              <w:rPr>
                <w:sz w:val="20"/>
                <w:szCs w:val="20"/>
                <w:color w:val="auto"/>
              </w:rPr>
            </w:pPr>
            <w:r>
              <w:rPr>
                <w:rFonts w:ascii="Arial" w:cs="Arial" w:eastAsia="Arial" w:hAnsi="Arial"/>
                <w:sz w:val="18"/>
                <w:szCs w:val="18"/>
                <w:color w:val="auto"/>
              </w:rPr>
              <w:t>Net cash provided by operating activities</w:t>
            </w:r>
          </w:p>
        </w:tc>
        <w:tc>
          <w:tcPr>
            <w:tcW w:w="7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100,489</w:t>
            </w:r>
          </w:p>
        </w:tc>
        <w:tc>
          <w:tcPr>
            <w:tcW w:w="20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6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5"/>
              </w:rPr>
              <w:t>204,595</w:t>
            </w:r>
          </w:p>
        </w:tc>
        <w:tc>
          <w:tcPr>
            <w:tcW w:w="400" w:type="dxa"/>
            <w:vAlign w:val="bottom"/>
          </w:tcPr>
          <w:p>
            <w:pPr>
              <w:spacing w:after="0"/>
              <w:rPr>
                <w:sz w:val="19"/>
                <w:szCs w:val="19"/>
                <w:color w:val="auto"/>
              </w:rPr>
            </w:pPr>
          </w:p>
        </w:tc>
        <w:tc>
          <w:tcPr>
            <w:tcW w:w="7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448,039</w:t>
            </w:r>
          </w:p>
        </w:tc>
        <w:tc>
          <w:tcPr>
            <w:tcW w:w="1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80" w:type="dxa"/>
            <w:vAlign w:val="bottom"/>
            <w:tcBorders>
              <w:top w:val="single" w:sz="8" w:color="auto"/>
            </w:tcBorders>
          </w:tcPr>
          <w:p>
            <w:pPr>
              <w:spacing w:after="0"/>
              <w:rPr>
                <w:sz w:val="19"/>
                <w:szCs w:val="19"/>
                <w:color w:val="auto"/>
              </w:rPr>
            </w:pPr>
          </w:p>
        </w:tc>
        <w:tc>
          <w:tcPr>
            <w:tcW w:w="8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729,037</w:t>
            </w:r>
          </w:p>
        </w:tc>
        <w:tc>
          <w:tcPr>
            <w:tcW w:w="10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7380" w:type="dxa"/>
            <w:vAlign w:val="bottom"/>
            <w:shd w:val="clear" w:color="auto" w:fill="CCEEFF"/>
          </w:tcPr>
          <w:p>
            <w:pPr>
              <w:spacing w:after="0"/>
              <w:rPr>
                <w:sz w:val="20"/>
                <w:szCs w:val="20"/>
                <w:color w:val="auto"/>
              </w:rPr>
            </w:pPr>
            <w:r>
              <w:rPr>
                <w:rFonts w:ascii="Arial" w:cs="Arial" w:eastAsia="Arial" w:hAnsi="Arial"/>
                <w:sz w:val="18"/>
                <w:szCs w:val="18"/>
                <w:color w:val="auto"/>
              </w:rPr>
              <w:t>Cash flows from investing activities:</w:t>
            </w:r>
          </w:p>
        </w:tc>
        <w:tc>
          <w:tcPr>
            <w:tcW w:w="7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7380" w:type="dxa"/>
            <w:vAlign w:val="bottom"/>
          </w:tcPr>
          <w:p>
            <w:pPr>
              <w:ind w:left="340"/>
              <w:spacing w:after="0"/>
              <w:rPr>
                <w:sz w:val="20"/>
                <w:szCs w:val="20"/>
                <w:color w:val="auto"/>
              </w:rPr>
            </w:pPr>
            <w:r>
              <w:rPr>
                <w:rFonts w:ascii="Arial" w:cs="Arial" w:eastAsia="Arial" w:hAnsi="Arial"/>
                <w:sz w:val="18"/>
                <w:szCs w:val="18"/>
                <w:color w:val="auto"/>
              </w:rPr>
              <w:t>Purchases of available-for-sale securities</w:t>
            </w:r>
          </w:p>
        </w:tc>
        <w:tc>
          <w:tcPr>
            <w:tcW w:w="940" w:type="dxa"/>
            <w:vAlign w:val="bottom"/>
            <w:gridSpan w:val="2"/>
          </w:tcPr>
          <w:p>
            <w:pPr>
              <w:jc w:val="right"/>
              <w:ind w:right="140"/>
              <w:spacing w:after="0"/>
              <w:rPr>
                <w:sz w:val="20"/>
                <w:szCs w:val="20"/>
                <w:color w:val="auto"/>
              </w:rPr>
            </w:pPr>
            <w:r>
              <w:rPr>
                <w:rFonts w:ascii="Arial" w:cs="Arial" w:eastAsia="Arial" w:hAnsi="Arial"/>
                <w:sz w:val="18"/>
                <w:szCs w:val="18"/>
                <w:color w:val="auto"/>
              </w:rPr>
              <w:t>(146,143)</w:t>
            </w:r>
          </w:p>
        </w:tc>
        <w:tc>
          <w:tcPr>
            <w:tcW w:w="100" w:type="dxa"/>
            <w:vAlign w:val="bottom"/>
          </w:tcPr>
          <w:p>
            <w:pPr>
              <w:spacing w:after="0"/>
              <w:rPr>
                <w:sz w:val="18"/>
                <w:szCs w:val="18"/>
                <w:color w:val="auto"/>
              </w:rPr>
            </w:pPr>
          </w:p>
        </w:tc>
        <w:tc>
          <w:tcPr>
            <w:tcW w:w="1040" w:type="dxa"/>
            <w:vAlign w:val="bottom"/>
            <w:gridSpan w:val="2"/>
          </w:tcPr>
          <w:p>
            <w:pPr>
              <w:jc w:val="right"/>
              <w:ind w:right="260"/>
              <w:spacing w:after="0"/>
              <w:rPr>
                <w:sz w:val="20"/>
                <w:szCs w:val="20"/>
                <w:color w:val="auto"/>
              </w:rPr>
            </w:pPr>
            <w:r>
              <w:rPr>
                <w:rFonts w:ascii="Arial" w:cs="Arial" w:eastAsia="Arial" w:hAnsi="Arial"/>
                <w:sz w:val="18"/>
                <w:szCs w:val="18"/>
                <w:color w:val="auto"/>
                <w:w w:val="88"/>
              </w:rPr>
              <w:t>(338,538)</w:t>
            </w:r>
          </w:p>
        </w:tc>
        <w:tc>
          <w:tcPr>
            <w:tcW w:w="880" w:type="dxa"/>
            <w:vAlign w:val="bottom"/>
            <w:gridSpan w:val="2"/>
          </w:tcPr>
          <w:p>
            <w:pPr>
              <w:jc w:val="right"/>
              <w:spacing w:after="0"/>
              <w:rPr>
                <w:sz w:val="20"/>
                <w:szCs w:val="20"/>
                <w:color w:val="auto"/>
              </w:rPr>
            </w:pPr>
            <w:r>
              <w:rPr>
                <w:rFonts w:ascii="Arial" w:cs="Arial" w:eastAsia="Arial" w:hAnsi="Arial"/>
                <w:sz w:val="18"/>
                <w:szCs w:val="18"/>
                <w:color w:val="auto"/>
              </w:rPr>
              <w:t>(837,892)</w:t>
            </w: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00" w:type="dxa"/>
            <w:vAlign w:val="bottom"/>
            <w:gridSpan w:val="2"/>
          </w:tcPr>
          <w:p>
            <w:pPr>
              <w:jc w:val="right"/>
              <w:ind w:right="40"/>
              <w:spacing w:after="0"/>
              <w:rPr>
                <w:sz w:val="20"/>
                <w:szCs w:val="20"/>
                <w:color w:val="auto"/>
              </w:rPr>
            </w:pPr>
            <w:r>
              <w:rPr>
                <w:rFonts w:ascii="Arial" w:cs="Arial" w:eastAsia="Arial" w:hAnsi="Arial"/>
                <w:sz w:val="18"/>
                <w:szCs w:val="18"/>
                <w:color w:val="auto"/>
                <w:w w:val="91"/>
              </w:rPr>
              <w:t>(1,543,902)</w:t>
            </w:r>
          </w:p>
        </w:tc>
      </w:tr>
      <w:tr>
        <w:trPr>
          <w:trHeight w:val="216"/>
        </w:trPr>
        <w:tc>
          <w:tcPr>
            <w:tcW w:w="20" w:type="dxa"/>
            <w:vAlign w:val="bottom"/>
          </w:tcPr>
          <w:p>
            <w:pPr>
              <w:spacing w:after="0"/>
              <w:rPr>
                <w:sz w:val="18"/>
                <w:szCs w:val="18"/>
                <w:color w:val="auto"/>
              </w:rPr>
            </w:pPr>
          </w:p>
        </w:tc>
        <w:tc>
          <w:tcPr>
            <w:tcW w:w="7380" w:type="dxa"/>
            <w:vAlign w:val="bottom"/>
            <w:shd w:val="clear" w:color="auto" w:fill="CCEEFF"/>
          </w:tcPr>
          <w:p>
            <w:pPr>
              <w:ind w:left="340"/>
              <w:spacing w:after="0"/>
              <w:rPr>
                <w:sz w:val="20"/>
                <w:szCs w:val="20"/>
                <w:color w:val="auto"/>
              </w:rPr>
            </w:pPr>
            <w:r>
              <w:rPr>
                <w:rFonts w:ascii="Arial" w:cs="Arial" w:eastAsia="Arial" w:hAnsi="Arial"/>
                <w:sz w:val="18"/>
                <w:szCs w:val="18"/>
                <w:color w:val="auto"/>
              </w:rPr>
              <w:t>Sales and maturities of available-for-sale securities</w:t>
            </w:r>
          </w:p>
        </w:tc>
        <w:tc>
          <w:tcPr>
            <w:tcW w:w="9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149,533</w:t>
            </w: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95"/>
              </w:rPr>
              <w:t>517,911</w:t>
            </w: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995,039</w:t>
            </w: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7"/>
              </w:rPr>
              <w:t>1,835,655</w:t>
            </w:r>
          </w:p>
        </w:tc>
      </w:tr>
      <w:tr>
        <w:trPr>
          <w:trHeight w:val="216"/>
        </w:trPr>
        <w:tc>
          <w:tcPr>
            <w:tcW w:w="20" w:type="dxa"/>
            <w:vAlign w:val="bottom"/>
          </w:tcPr>
          <w:p>
            <w:pPr>
              <w:spacing w:after="0"/>
              <w:rPr>
                <w:sz w:val="18"/>
                <w:szCs w:val="18"/>
                <w:color w:val="auto"/>
              </w:rPr>
            </w:pPr>
          </w:p>
        </w:tc>
        <w:tc>
          <w:tcPr>
            <w:tcW w:w="7380" w:type="dxa"/>
            <w:vAlign w:val="bottom"/>
          </w:tcPr>
          <w:p>
            <w:pPr>
              <w:ind w:left="340"/>
              <w:spacing w:after="0"/>
              <w:rPr>
                <w:sz w:val="20"/>
                <w:szCs w:val="20"/>
                <w:color w:val="auto"/>
              </w:rPr>
            </w:pPr>
            <w:r>
              <w:rPr>
                <w:rFonts w:ascii="Arial" w:cs="Arial" w:eastAsia="Arial" w:hAnsi="Arial"/>
                <w:sz w:val="18"/>
                <w:szCs w:val="18"/>
                <w:color w:val="auto"/>
              </w:rPr>
              <w:t>Net proceeds from sale of a product line</w:t>
            </w:r>
          </w:p>
        </w:tc>
        <w:tc>
          <w:tcPr>
            <w:tcW w:w="940" w:type="dxa"/>
            <w:vAlign w:val="bottom"/>
            <w:gridSpan w:val="2"/>
          </w:tcPr>
          <w:p>
            <w:pPr>
              <w:jc w:val="right"/>
              <w:ind w:right="200"/>
              <w:spacing w:after="0"/>
              <w:rPr>
                <w:sz w:val="20"/>
                <w:szCs w:val="20"/>
                <w:color w:val="auto"/>
              </w:rPr>
            </w:pPr>
            <w:r>
              <w:rPr>
                <w:rFonts w:ascii="Arial" w:cs="Arial" w:eastAsia="Arial" w:hAnsi="Arial"/>
                <w:sz w:val="18"/>
                <w:szCs w:val="18"/>
                <w:color w:val="auto"/>
              </w:rPr>
              <w:t>6,306</w:t>
            </w:r>
          </w:p>
        </w:tc>
        <w:tc>
          <w:tcPr>
            <w:tcW w:w="100" w:type="dxa"/>
            <w:vAlign w:val="bottom"/>
          </w:tcPr>
          <w:p>
            <w:pPr>
              <w:spacing w:after="0"/>
              <w:rPr>
                <w:sz w:val="18"/>
                <w:szCs w:val="18"/>
                <w:color w:val="auto"/>
              </w:rPr>
            </w:pPr>
          </w:p>
        </w:tc>
        <w:tc>
          <w:tcPr>
            <w:tcW w:w="104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rPr>
              <w:t>6,306</w:t>
            </w: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r>
      <w:tr>
        <w:trPr>
          <w:trHeight w:val="216"/>
        </w:trPr>
        <w:tc>
          <w:tcPr>
            <w:tcW w:w="20" w:type="dxa"/>
            <w:vAlign w:val="bottom"/>
          </w:tcPr>
          <w:p>
            <w:pPr>
              <w:spacing w:after="0"/>
              <w:rPr>
                <w:sz w:val="18"/>
                <w:szCs w:val="18"/>
                <w:color w:val="auto"/>
              </w:rPr>
            </w:pPr>
          </w:p>
        </w:tc>
        <w:tc>
          <w:tcPr>
            <w:tcW w:w="7380" w:type="dxa"/>
            <w:vAlign w:val="bottom"/>
            <w:shd w:val="clear" w:color="auto" w:fill="CCEEFF"/>
          </w:tcPr>
          <w:p>
            <w:pPr>
              <w:ind w:left="340"/>
              <w:spacing w:after="0"/>
              <w:rPr>
                <w:sz w:val="20"/>
                <w:szCs w:val="20"/>
                <w:color w:val="auto"/>
              </w:rPr>
            </w:pPr>
            <w:r>
              <w:rPr>
                <w:rFonts w:ascii="Arial" w:cs="Arial" w:eastAsia="Arial" w:hAnsi="Arial"/>
                <w:sz w:val="18"/>
                <w:szCs w:val="18"/>
                <w:color w:val="auto"/>
              </w:rPr>
              <w:t>Investments in privately-held companies</w:t>
            </w:r>
          </w:p>
        </w:tc>
        <w:tc>
          <w:tcPr>
            <w:tcW w:w="94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(3,000)</w:t>
            </w:r>
          </w:p>
        </w:tc>
        <w:tc>
          <w:tcPr>
            <w:tcW w:w="8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(1,869)</w:t>
            </w: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(8,750)</w:t>
            </w:r>
          </w:p>
        </w:tc>
      </w:tr>
      <w:tr>
        <w:trPr>
          <w:trHeight w:val="216"/>
        </w:trPr>
        <w:tc>
          <w:tcPr>
            <w:tcW w:w="20" w:type="dxa"/>
            <w:vAlign w:val="bottom"/>
          </w:tcPr>
          <w:p>
            <w:pPr>
              <w:spacing w:after="0"/>
              <w:rPr>
                <w:sz w:val="18"/>
                <w:szCs w:val="18"/>
                <w:color w:val="auto"/>
              </w:rPr>
            </w:pPr>
          </w:p>
        </w:tc>
        <w:tc>
          <w:tcPr>
            <w:tcW w:w="7380" w:type="dxa"/>
            <w:vAlign w:val="bottom"/>
          </w:tcPr>
          <w:p>
            <w:pPr>
              <w:ind w:left="340"/>
              <w:spacing w:after="0"/>
              <w:rPr>
                <w:sz w:val="20"/>
                <w:szCs w:val="20"/>
                <w:color w:val="auto"/>
              </w:rPr>
            </w:pPr>
            <w:r>
              <w:rPr>
                <w:rFonts w:ascii="Arial" w:cs="Arial" w:eastAsia="Arial" w:hAnsi="Arial"/>
                <w:sz w:val="18"/>
                <w:szCs w:val="18"/>
                <w:color w:val="auto"/>
              </w:rPr>
              <w:t>Cash paid for acquisitions, net</w:t>
            </w:r>
          </w:p>
        </w:tc>
        <w:tc>
          <w:tcPr>
            <w:tcW w:w="94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104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880" w:type="dxa"/>
            <w:vAlign w:val="bottom"/>
            <w:gridSpan w:val="2"/>
          </w:tcPr>
          <w:p>
            <w:pPr>
              <w:jc w:val="right"/>
              <w:spacing w:after="0"/>
              <w:rPr>
                <w:sz w:val="20"/>
                <w:szCs w:val="20"/>
                <w:color w:val="auto"/>
              </w:rPr>
            </w:pPr>
            <w:r>
              <w:rPr>
                <w:rFonts w:ascii="Arial" w:cs="Arial" w:eastAsia="Arial" w:hAnsi="Arial"/>
                <w:sz w:val="18"/>
                <w:szCs w:val="18"/>
                <w:color w:val="auto"/>
              </w:rPr>
              <w:t>(2,551)</w:t>
            </w: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00" w:type="dxa"/>
            <w:vAlign w:val="bottom"/>
            <w:gridSpan w:val="2"/>
          </w:tcPr>
          <w:p>
            <w:pPr>
              <w:jc w:val="right"/>
              <w:ind w:right="40"/>
              <w:spacing w:after="0"/>
              <w:rPr>
                <w:sz w:val="20"/>
                <w:szCs w:val="20"/>
                <w:color w:val="auto"/>
              </w:rPr>
            </w:pPr>
            <w:r>
              <w:rPr>
                <w:rFonts w:ascii="Arial" w:cs="Arial" w:eastAsia="Arial" w:hAnsi="Arial"/>
                <w:sz w:val="18"/>
                <w:szCs w:val="18"/>
                <w:color w:val="auto"/>
              </w:rPr>
              <w:t>(1,000)</w:t>
            </w:r>
          </w:p>
        </w:tc>
      </w:tr>
      <w:tr>
        <w:trPr>
          <w:trHeight w:val="216"/>
        </w:trPr>
        <w:tc>
          <w:tcPr>
            <w:tcW w:w="20" w:type="dxa"/>
            <w:vAlign w:val="bottom"/>
          </w:tcPr>
          <w:p>
            <w:pPr>
              <w:spacing w:after="0"/>
              <w:rPr>
                <w:sz w:val="18"/>
                <w:szCs w:val="18"/>
                <w:color w:val="auto"/>
              </w:rPr>
            </w:pPr>
          </w:p>
        </w:tc>
        <w:tc>
          <w:tcPr>
            <w:tcW w:w="7380" w:type="dxa"/>
            <w:vAlign w:val="bottom"/>
            <w:shd w:val="clear" w:color="auto" w:fill="CCEEFF"/>
          </w:tcPr>
          <w:p>
            <w:pPr>
              <w:ind w:left="340"/>
              <w:spacing w:after="0"/>
              <w:rPr>
                <w:sz w:val="20"/>
                <w:szCs w:val="20"/>
                <w:color w:val="auto"/>
              </w:rPr>
            </w:pPr>
            <w:r>
              <w:rPr>
                <w:rFonts w:ascii="Arial" w:cs="Arial" w:eastAsia="Arial" w:hAnsi="Arial"/>
                <w:sz w:val="18"/>
                <w:szCs w:val="18"/>
                <w:color w:val="auto"/>
              </w:rPr>
              <w:t>Purchases of technology licenses</w:t>
            </w:r>
          </w:p>
        </w:tc>
        <w:tc>
          <w:tcPr>
            <w:tcW w:w="94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(3,654)</w:t>
            </w: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(24,315)</w:t>
            </w:r>
          </w:p>
        </w:tc>
        <w:tc>
          <w:tcPr>
            <w:tcW w:w="8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(17,647)</w:t>
            </w: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(35,002)</w:t>
            </w:r>
          </w:p>
        </w:tc>
      </w:tr>
      <w:tr>
        <w:trPr>
          <w:trHeight w:val="216"/>
        </w:trPr>
        <w:tc>
          <w:tcPr>
            <w:tcW w:w="20" w:type="dxa"/>
            <w:vAlign w:val="bottom"/>
          </w:tcPr>
          <w:p>
            <w:pPr>
              <w:spacing w:after="0"/>
              <w:rPr>
                <w:sz w:val="18"/>
                <w:szCs w:val="18"/>
                <w:color w:val="auto"/>
              </w:rPr>
            </w:pPr>
          </w:p>
        </w:tc>
        <w:tc>
          <w:tcPr>
            <w:tcW w:w="7380" w:type="dxa"/>
            <w:vAlign w:val="bottom"/>
          </w:tcPr>
          <w:p>
            <w:pPr>
              <w:ind w:left="340"/>
              <w:spacing w:after="0"/>
              <w:rPr>
                <w:sz w:val="20"/>
                <w:szCs w:val="20"/>
                <w:color w:val="auto"/>
              </w:rPr>
            </w:pPr>
            <w:r>
              <w:rPr>
                <w:rFonts w:ascii="Arial" w:cs="Arial" w:eastAsia="Arial" w:hAnsi="Arial"/>
                <w:sz w:val="18"/>
                <w:szCs w:val="18"/>
                <w:color w:val="auto"/>
              </w:rPr>
              <w:t>Purchases of property and equipment</w:t>
            </w:r>
          </w:p>
        </w:tc>
        <w:tc>
          <w:tcPr>
            <w:tcW w:w="940" w:type="dxa"/>
            <w:vAlign w:val="bottom"/>
            <w:gridSpan w:val="2"/>
          </w:tcPr>
          <w:p>
            <w:pPr>
              <w:jc w:val="right"/>
              <w:ind w:right="140"/>
              <w:spacing w:after="0"/>
              <w:rPr>
                <w:sz w:val="20"/>
                <w:szCs w:val="20"/>
                <w:color w:val="auto"/>
              </w:rPr>
            </w:pPr>
            <w:r>
              <w:rPr>
                <w:rFonts w:ascii="Arial" w:cs="Arial" w:eastAsia="Arial" w:hAnsi="Arial"/>
                <w:sz w:val="18"/>
                <w:szCs w:val="18"/>
                <w:color w:val="auto"/>
              </w:rPr>
              <w:t>(13,310)</w:t>
            </w:r>
          </w:p>
        </w:tc>
        <w:tc>
          <w:tcPr>
            <w:tcW w:w="100" w:type="dxa"/>
            <w:vAlign w:val="bottom"/>
          </w:tcPr>
          <w:p>
            <w:pPr>
              <w:spacing w:after="0"/>
              <w:rPr>
                <w:sz w:val="18"/>
                <w:szCs w:val="18"/>
                <w:color w:val="auto"/>
              </w:rPr>
            </w:pPr>
          </w:p>
        </w:tc>
        <w:tc>
          <w:tcPr>
            <w:tcW w:w="1040" w:type="dxa"/>
            <w:vAlign w:val="bottom"/>
            <w:gridSpan w:val="2"/>
          </w:tcPr>
          <w:p>
            <w:pPr>
              <w:jc w:val="right"/>
              <w:ind w:right="260"/>
              <w:spacing w:after="0"/>
              <w:rPr>
                <w:sz w:val="20"/>
                <w:szCs w:val="20"/>
                <w:color w:val="auto"/>
              </w:rPr>
            </w:pPr>
            <w:r>
              <w:rPr>
                <w:rFonts w:ascii="Arial" w:cs="Arial" w:eastAsia="Arial" w:hAnsi="Arial"/>
                <w:sz w:val="18"/>
                <w:szCs w:val="18"/>
                <w:color w:val="auto"/>
              </w:rPr>
              <w:t>(19,096)</w:t>
            </w:r>
          </w:p>
        </w:tc>
        <w:tc>
          <w:tcPr>
            <w:tcW w:w="880" w:type="dxa"/>
            <w:vAlign w:val="bottom"/>
            <w:gridSpan w:val="2"/>
          </w:tcPr>
          <w:p>
            <w:pPr>
              <w:jc w:val="right"/>
              <w:spacing w:after="0"/>
              <w:rPr>
                <w:sz w:val="20"/>
                <w:szCs w:val="20"/>
                <w:color w:val="auto"/>
              </w:rPr>
            </w:pPr>
            <w:r>
              <w:rPr>
                <w:rFonts w:ascii="Arial" w:cs="Arial" w:eastAsia="Arial" w:hAnsi="Arial"/>
                <w:sz w:val="18"/>
                <w:szCs w:val="18"/>
                <w:color w:val="auto"/>
              </w:rPr>
              <w:t>(66,593)</w:t>
            </w: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00" w:type="dxa"/>
            <w:vAlign w:val="bottom"/>
            <w:gridSpan w:val="2"/>
          </w:tcPr>
          <w:p>
            <w:pPr>
              <w:jc w:val="right"/>
              <w:ind w:right="40"/>
              <w:spacing w:after="0"/>
              <w:rPr>
                <w:sz w:val="20"/>
                <w:szCs w:val="20"/>
                <w:color w:val="auto"/>
              </w:rPr>
            </w:pPr>
            <w:r>
              <w:rPr>
                <w:rFonts w:ascii="Arial" w:cs="Arial" w:eastAsia="Arial" w:hAnsi="Arial"/>
                <w:sz w:val="18"/>
                <w:szCs w:val="18"/>
                <w:color w:val="auto"/>
              </w:rPr>
              <w:t>(68,186)</w:t>
            </w:r>
          </w:p>
        </w:tc>
      </w:tr>
      <w:tr>
        <w:trPr>
          <w:trHeight w:val="27"/>
        </w:trPr>
        <w:tc>
          <w:tcPr>
            <w:tcW w:w="20" w:type="dxa"/>
            <w:vAlign w:val="bottom"/>
          </w:tcPr>
          <w:p>
            <w:pPr>
              <w:spacing w:after="0"/>
              <w:rPr>
                <w:sz w:val="2"/>
                <w:szCs w:val="2"/>
                <w:color w:val="auto"/>
              </w:rPr>
            </w:pPr>
          </w:p>
        </w:tc>
        <w:tc>
          <w:tcPr>
            <w:tcW w:w="7380" w:type="dxa"/>
            <w:vAlign w:val="bottom"/>
          </w:tcPr>
          <w:p>
            <w:pPr>
              <w:spacing w:after="0"/>
              <w:rPr>
                <w:sz w:val="2"/>
                <w:szCs w:val="2"/>
                <w:color w:val="auto"/>
              </w:rPr>
            </w:pPr>
          </w:p>
        </w:tc>
        <w:tc>
          <w:tcPr>
            <w:tcW w:w="74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400" w:type="dxa"/>
            <w:vAlign w:val="bottom"/>
          </w:tcPr>
          <w:p>
            <w:pPr>
              <w:spacing w:after="0"/>
              <w:rPr>
                <w:sz w:val="2"/>
                <w:szCs w:val="2"/>
                <w:color w:val="auto"/>
              </w:rPr>
            </w:pPr>
          </w:p>
        </w:tc>
        <w:tc>
          <w:tcPr>
            <w:tcW w:w="76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8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r>
      <w:tr>
        <w:trPr>
          <w:trHeight w:val="216"/>
        </w:trPr>
        <w:tc>
          <w:tcPr>
            <w:tcW w:w="20" w:type="dxa"/>
            <w:vAlign w:val="bottom"/>
          </w:tcPr>
          <w:p>
            <w:pPr>
              <w:spacing w:after="0"/>
              <w:rPr>
                <w:sz w:val="18"/>
                <w:szCs w:val="18"/>
                <w:color w:val="auto"/>
              </w:rPr>
            </w:pPr>
          </w:p>
        </w:tc>
        <w:tc>
          <w:tcPr>
            <w:tcW w:w="7380" w:type="dxa"/>
            <w:vAlign w:val="bottom"/>
            <w:shd w:val="clear" w:color="auto" w:fill="CCEEFF"/>
          </w:tcPr>
          <w:p>
            <w:pPr>
              <w:ind w:left="1060"/>
              <w:spacing w:after="0"/>
              <w:rPr>
                <w:sz w:val="20"/>
                <w:szCs w:val="20"/>
                <w:color w:val="auto"/>
              </w:rPr>
            </w:pPr>
            <w:r>
              <w:rPr>
                <w:rFonts w:ascii="Arial" w:cs="Arial" w:eastAsia="Arial" w:hAnsi="Arial"/>
                <w:sz w:val="18"/>
                <w:szCs w:val="18"/>
                <w:color w:val="auto"/>
              </w:rPr>
              <w:t>Net cash (used in) provided by investing activities</w:t>
            </w:r>
          </w:p>
        </w:tc>
        <w:tc>
          <w:tcPr>
            <w:tcW w:w="94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(7,268)</w:t>
            </w: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95"/>
              </w:rPr>
              <w:t>132,962</w:t>
            </w: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74,793</w:t>
            </w: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178,815</w:t>
            </w:r>
          </w:p>
        </w:tc>
      </w:tr>
      <w:tr>
        <w:trPr>
          <w:trHeight w:val="216"/>
        </w:trPr>
        <w:tc>
          <w:tcPr>
            <w:tcW w:w="20" w:type="dxa"/>
            <w:vAlign w:val="bottom"/>
          </w:tcPr>
          <w:p>
            <w:pPr>
              <w:spacing w:after="0"/>
              <w:rPr>
                <w:sz w:val="18"/>
                <w:szCs w:val="18"/>
                <w:color w:val="auto"/>
              </w:rPr>
            </w:pPr>
          </w:p>
        </w:tc>
        <w:tc>
          <w:tcPr>
            <w:tcW w:w="7380" w:type="dxa"/>
            <w:vAlign w:val="bottom"/>
          </w:tcPr>
          <w:p>
            <w:pPr>
              <w:spacing w:after="0"/>
              <w:rPr>
                <w:sz w:val="20"/>
                <w:szCs w:val="20"/>
                <w:color w:val="auto"/>
              </w:rPr>
            </w:pPr>
            <w:r>
              <w:rPr>
                <w:rFonts w:ascii="Arial" w:cs="Arial" w:eastAsia="Arial" w:hAnsi="Arial"/>
                <w:sz w:val="18"/>
                <w:szCs w:val="18"/>
                <w:color w:val="auto"/>
              </w:rPr>
              <w:t>Cash flows from financing activities:</w:t>
            </w:r>
          </w:p>
        </w:tc>
        <w:tc>
          <w:tcPr>
            <w:tcW w:w="7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7380" w:type="dxa"/>
            <w:vAlign w:val="bottom"/>
            <w:shd w:val="clear" w:color="auto" w:fill="CCEEFF"/>
          </w:tcPr>
          <w:p>
            <w:pPr>
              <w:ind w:left="340"/>
              <w:spacing w:after="0"/>
              <w:rPr>
                <w:sz w:val="20"/>
                <w:szCs w:val="20"/>
                <w:color w:val="auto"/>
              </w:rPr>
            </w:pPr>
            <w:r>
              <w:rPr>
                <w:rFonts w:ascii="Arial" w:cs="Arial" w:eastAsia="Arial" w:hAnsi="Arial"/>
                <w:sz w:val="18"/>
                <w:szCs w:val="18"/>
                <w:color w:val="auto"/>
              </w:rPr>
              <w:t>Repurchase of common stock (a)</w:t>
            </w:r>
          </w:p>
        </w:tc>
        <w:tc>
          <w:tcPr>
            <w:tcW w:w="94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88"/>
              </w:rPr>
              <w:t>(260,464)(a)</w:t>
            </w:r>
          </w:p>
        </w:tc>
        <w:tc>
          <w:tcPr>
            <w:tcW w:w="8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(376,285)</w:t>
            </w: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(936,935)</w:t>
            </w:r>
          </w:p>
        </w:tc>
      </w:tr>
      <w:tr>
        <w:trPr>
          <w:trHeight w:val="216"/>
        </w:trPr>
        <w:tc>
          <w:tcPr>
            <w:tcW w:w="20" w:type="dxa"/>
            <w:vAlign w:val="bottom"/>
          </w:tcPr>
          <w:p>
            <w:pPr>
              <w:spacing w:after="0"/>
              <w:rPr>
                <w:sz w:val="18"/>
                <w:szCs w:val="18"/>
                <w:color w:val="auto"/>
              </w:rPr>
            </w:pPr>
          </w:p>
        </w:tc>
        <w:tc>
          <w:tcPr>
            <w:tcW w:w="7380" w:type="dxa"/>
            <w:vAlign w:val="bottom"/>
          </w:tcPr>
          <w:p>
            <w:pPr>
              <w:ind w:left="340"/>
              <w:spacing w:after="0"/>
              <w:rPr>
                <w:sz w:val="20"/>
                <w:szCs w:val="20"/>
                <w:color w:val="auto"/>
              </w:rPr>
            </w:pPr>
            <w:r>
              <w:rPr>
                <w:rFonts w:ascii="Arial" w:cs="Arial" w:eastAsia="Arial" w:hAnsi="Arial"/>
                <w:sz w:val="18"/>
                <w:szCs w:val="18"/>
                <w:color w:val="auto"/>
              </w:rPr>
              <w:t>Proceeds from employee stock plans</w:t>
            </w:r>
          </w:p>
        </w:tc>
        <w:tc>
          <w:tcPr>
            <w:tcW w:w="940" w:type="dxa"/>
            <w:vAlign w:val="bottom"/>
            <w:gridSpan w:val="2"/>
          </w:tcPr>
          <w:p>
            <w:pPr>
              <w:jc w:val="right"/>
              <w:ind w:right="200"/>
              <w:spacing w:after="0"/>
              <w:rPr>
                <w:sz w:val="20"/>
                <w:szCs w:val="20"/>
                <w:color w:val="auto"/>
              </w:rPr>
            </w:pPr>
            <w:r>
              <w:rPr>
                <w:rFonts w:ascii="Arial" w:cs="Arial" w:eastAsia="Arial" w:hAnsi="Arial"/>
                <w:sz w:val="18"/>
                <w:szCs w:val="18"/>
                <w:color w:val="auto"/>
              </w:rPr>
              <w:t>107,686</w:t>
            </w:r>
          </w:p>
        </w:tc>
        <w:tc>
          <w:tcPr>
            <w:tcW w:w="10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38,692</w:t>
            </w: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rPr>
              <w:t>204,962</w:t>
            </w: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00" w:type="dxa"/>
            <w:vAlign w:val="bottom"/>
            <w:gridSpan w:val="2"/>
          </w:tcPr>
          <w:p>
            <w:pPr>
              <w:jc w:val="right"/>
              <w:ind w:right="100"/>
              <w:spacing w:after="0"/>
              <w:rPr>
                <w:sz w:val="20"/>
                <w:szCs w:val="20"/>
                <w:color w:val="auto"/>
              </w:rPr>
            </w:pPr>
            <w:r>
              <w:rPr>
                <w:rFonts w:ascii="Arial" w:cs="Arial" w:eastAsia="Arial" w:hAnsi="Arial"/>
                <w:sz w:val="18"/>
                <w:szCs w:val="18"/>
                <w:color w:val="auto"/>
              </w:rPr>
              <w:t>104,936</w:t>
            </w:r>
          </w:p>
        </w:tc>
      </w:tr>
      <w:tr>
        <w:trPr>
          <w:trHeight w:val="216"/>
        </w:trPr>
        <w:tc>
          <w:tcPr>
            <w:tcW w:w="20" w:type="dxa"/>
            <w:vAlign w:val="bottom"/>
          </w:tcPr>
          <w:p>
            <w:pPr>
              <w:spacing w:after="0"/>
              <w:rPr>
                <w:sz w:val="18"/>
                <w:szCs w:val="18"/>
                <w:color w:val="auto"/>
              </w:rPr>
            </w:pPr>
          </w:p>
        </w:tc>
        <w:tc>
          <w:tcPr>
            <w:tcW w:w="7380" w:type="dxa"/>
            <w:vAlign w:val="bottom"/>
            <w:shd w:val="clear" w:color="auto" w:fill="CCEEFF"/>
          </w:tcPr>
          <w:p>
            <w:pPr>
              <w:ind w:left="340"/>
              <w:spacing w:after="0"/>
              <w:rPr>
                <w:sz w:val="20"/>
                <w:szCs w:val="20"/>
                <w:color w:val="auto"/>
              </w:rPr>
            </w:pPr>
            <w:r>
              <w:rPr>
                <w:rFonts w:ascii="Arial" w:cs="Arial" w:eastAsia="Arial" w:hAnsi="Arial"/>
                <w:sz w:val="18"/>
                <w:szCs w:val="18"/>
                <w:color w:val="auto"/>
              </w:rPr>
              <w:t>Minimum tax withholding paid on behalf of employees</w:t>
            </w:r>
          </w:p>
        </w:tc>
        <w:tc>
          <w:tcPr>
            <w:tcW w:w="7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7380" w:type="dxa"/>
            <w:vAlign w:val="bottom"/>
          </w:tcPr>
          <w:p>
            <w:pPr>
              <w:ind w:left="340"/>
              <w:spacing w:after="0"/>
              <w:rPr>
                <w:sz w:val="20"/>
                <w:szCs w:val="20"/>
                <w:color w:val="auto"/>
              </w:rPr>
            </w:pPr>
            <w:r>
              <w:rPr>
                <w:rFonts w:ascii="Arial" w:cs="Arial" w:eastAsia="Arial" w:hAnsi="Arial"/>
                <w:sz w:val="18"/>
                <w:szCs w:val="18"/>
                <w:color w:val="auto"/>
              </w:rPr>
              <w:t>for net share settlement</w:t>
            </w:r>
          </w:p>
        </w:tc>
        <w:tc>
          <w:tcPr>
            <w:tcW w:w="940" w:type="dxa"/>
            <w:vAlign w:val="bottom"/>
            <w:gridSpan w:val="2"/>
          </w:tcPr>
          <w:p>
            <w:pPr>
              <w:jc w:val="right"/>
              <w:ind w:right="140"/>
              <w:spacing w:after="0"/>
              <w:rPr>
                <w:sz w:val="20"/>
                <w:szCs w:val="20"/>
                <w:color w:val="auto"/>
              </w:rPr>
            </w:pPr>
            <w:r>
              <w:rPr>
                <w:rFonts w:ascii="Arial" w:cs="Arial" w:eastAsia="Arial" w:hAnsi="Arial"/>
                <w:sz w:val="18"/>
                <w:szCs w:val="18"/>
                <w:color w:val="auto"/>
              </w:rPr>
              <w:t>(466)</w:t>
            </w:r>
          </w:p>
        </w:tc>
        <w:tc>
          <w:tcPr>
            <w:tcW w:w="100" w:type="dxa"/>
            <w:vAlign w:val="bottom"/>
          </w:tcPr>
          <w:p>
            <w:pPr>
              <w:spacing w:after="0"/>
              <w:rPr>
                <w:sz w:val="18"/>
                <w:szCs w:val="18"/>
                <w:color w:val="auto"/>
              </w:rPr>
            </w:pPr>
          </w:p>
        </w:tc>
        <w:tc>
          <w:tcPr>
            <w:tcW w:w="1040" w:type="dxa"/>
            <w:vAlign w:val="bottom"/>
            <w:gridSpan w:val="2"/>
          </w:tcPr>
          <w:p>
            <w:pPr>
              <w:jc w:val="right"/>
              <w:ind w:right="260"/>
              <w:spacing w:after="0"/>
              <w:rPr>
                <w:sz w:val="20"/>
                <w:szCs w:val="20"/>
                <w:color w:val="auto"/>
              </w:rPr>
            </w:pPr>
            <w:r>
              <w:rPr>
                <w:rFonts w:ascii="Arial" w:cs="Arial" w:eastAsia="Arial" w:hAnsi="Arial"/>
                <w:sz w:val="18"/>
                <w:szCs w:val="18"/>
                <w:color w:val="auto"/>
              </w:rPr>
              <w:t>(277)</w:t>
            </w:r>
          </w:p>
        </w:tc>
        <w:tc>
          <w:tcPr>
            <w:tcW w:w="880" w:type="dxa"/>
            <w:vAlign w:val="bottom"/>
            <w:gridSpan w:val="2"/>
          </w:tcPr>
          <w:p>
            <w:pPr>
              <w:jc w:val="right"/>
              <w:spacing w:after="0"/>
              <w:rPr>
                <w:sz w:val="20"/>
                <w:szCs w:val="20"/>
                <w:color w:val="auto"/>
              </w:rPr>
            </w:pPr>
            <w:r>
              <w:rPr>
                <w:rFonts w:ascii="Arial" w:cs="Arial" w:eastAsia="Arial" w:hAnsi="Arial"/>
                <w:sz w:val="18"/>
                <w:szCs w:val="18"/>
                <w:color w:val="auto"/>
              </w:rPr>
              <w:t>(10,872)</w:t>
            </w: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00" w:type="dxa"/>
            <w:vAlign w:val="bottom"/>
            <w:gridSpan w:val="2"/>
          </w:tcPr>
          <w:p>
            <w:pPr>
              <w:jc w:val="right"/>
              <w:ind w:right="40"/>
              <w:spacing w:after="0"/>
              <w:rPr>
                <w:sz w:val="20"/>
                <w:szCs w:val="20"/>
                <w:color w:val="auto"/>
              </w:rPr>
            </w:pPr>
            <w:r>
              <w:rPr>
                <w:rFonts w:ascii="Arial" w:cs="Arial" w:eastAsia="Arial" w:hAnsi="Arial"/>
                <w:sz w:val="18"/>
                <w:szCs w:val="18"/>
                <w:color w:val="auto"/>
              </w:rPr>
              <w:t>(10,099)</w:t>
            </w:r>
          </w:p>
        </w:tc>
      </w:tr>
      <w:tr>
        <w:trPr>
          <w:trHeight w:val="216"/>
        </w:trPr>
        <w:tc>
          <w:tcPr>
            <w:tcW w:w="20" w:type="dxa"/>
            <w:vAlign w:val="bottom"/>
          </w:tcPr>
          <w:p>
            <w:pPr>
              <w:spacing w:after="0"/>
              <w:rPr>
                <w:sz w:val="18"/>
                <w:szCs w:val="18"/>
                <w:color w:val="auto"/>
              </w:rPr>
            </w:pPr>
          </w:p>
        </w:tc>
        <w:tc>
          <w:tcPr>
            <w:tcW w:w="7380" w:type="dxa"/>
            <w:vAlign w:val="bottom"/>
            <w:shd w:val="clear" w:color="auto" w:fill="CCEEFF"/>
          </w:tcPr>
          <w:p>
            <w:pPr>
              <w:ind w:left="340"/>
              <w:spacing w:after="0"/>
              <w:rPr>
                <w:sz w:val="20"/>
                <w:szCs w:val="20"/>
                <w:color w:val="auto"/>
              </w:rPr>
            </w:pPr>
            <w:r>
              <w:rPr>
                <w:rFonts w:ascii="Arial" w:cs="Arial" w:eastAsia="Arial" w:hAnsi="Arial"/>
                <w:sz w:val="18"/>
                <w:szCs w:val="18"/>
                <w:color w:val="auto"/>
              </w:rPr>
              <w:t>Dividend payments to shareholders</w:t>
            </w:r>
          </w:p>
        </w:tc>
        <w:tc>
          <w:tcPr>
            <w:tcW w:w="94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(29,889)</w:t>
            </w: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(31,748)</w:t>
            </w:r>
          </w:p>
        </w:tc>
        <w:tc>
          <w:tcPr>
            <w:tcW w:w="8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(119,449)</w:t>
            </w: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(98,761)</w:t>
            </w:r>
          </w:p>
        </w:tc>
      </w:tr>
      <w:tr>
        <w:trPr>
          <w:trHeight w:val="216"/>
        </w:trPr>
        <w:tc>
          <w:tcPr>
            <w:tcW w:w="20" w:type="dxa"/>
            <w:vAlign w:val="bottom"/>
          </w:tcPr>
          <w:p>
            <w:pPr>
              <w:spacing w:after="0"/>
              <w:rPr>
                <w:sz w:val="18"/>
                <w:szCs w:val="18"/>
                <w:color w:val="auto"/>
              </w:rPr>
            </w:pPr>
          </w:p>
        </w:tc>
        <w:tc>
          <w:tcPr>
            <w:tcW w:w="7380" w:type="dxa"/>
            <w:vAlign w:val="bottom"/>
          </w:tcPr>
          <w:p>
            <w:pPr>
              <w:ind w:left="340"/>
              <w:spacing w:after="0"/>
              <w:rPr>
                <w:sz w:val="20"/>
                <w:szCs w:val="20"/>
                <w:color w:val="auto"/>
              </w:rPr>
            </w:pPr>
            <w:r>
              <w:rPr>
                <w:rFonts w:ascii="Arial" w:cs="Arial" w:eastAsia="Arial" w:hAnsi="Arial"/>
                <w:sz w:val="18"/>
                <w:szCs w:val="18"/>
                <w:color w:val="auto"/>
              </w:rPr>
              <w:t>Payments on technology license obligations</w:t>
            </w:r>
          </w:p>
        </w:tc>
        <w:tc>
          <w:tcPr>
            <w:tcW w:w="940" w:type="dxa"/>
            <w:vAlign w:val="bottom"/>
            <w:gridSpan w:val="2"/>
          </w:tcPr>
          <w:p>
            <w:pPr>
              <w:jc w:val="right"/>
              <w:ind w:right="140"/>
              <w:spacing w:after="0"/>
              <w:rPr>
                <w:sz w:val="20"/>
                <w:szCs w:val="20"/>
                <w:color w:val="auto"/>
              </w:rPr>
            </w:pPr>
            <w:r>
              <w:rPr>
                <w:rFonts w:ascii="Arial" w:cs="Arial" w:eastAsia="Arial" w:hAnsi="Arial"/>
                <w:sz w:val="18"/>
                <w:szCs w:val="18"/>
                <w:color w:val="auto"/>
              </w:rPr>
              <w:t>(1,110)</w:t>
            </w:r>
          </w:p>
        </w:tc>
        <w:tc>
          <w:tcPr>
            <w:tcW w:w="100" w:type="dxa"/>
            <w:vAlign w:val="bottom"/>
          </w:tcPr>
          <w:p>
            <w:pPr>
              <w:spacing w:after="0"/>
              <w:rPr>
                <w:sz w:val="18"/>
                <w:szCs w:val="18"/>
                <w:color w:val="auto"/>
              </w:rPr>
            </w:pPr>
          </w:p>
        </w:tc>
        <w:tc>
          <w:tcPr>
            <w:tcW w:w="104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880" w:type="dxa"/>
            <w:vAlign w:val="bottom"/>
            <w:gridSpan w:val="2"/>
          </w:tcPr>
          <w:p>
            <w:pPr>
              <w:jc w:val="right"/>
              <w:spacing w:after="0"/>
              <w:rPr>
                <w:sz w:val="20"/>
                <w:szCs w:val="20"/>
                <w:color w:val="auto"/>
              </w:rPr>
            </w:pPr>
            <w:r>
              <w:rPr>
                <w:rFonts w:ascii="Arial" w:cs="Arial" w:eastAsia="Arial" w:hAnsi="Arial"/>
                <w:sz w:val="18"/>
                <w:szCs w:val="18"/>
                <w:color w:val="auto"/>
              </w:rPr>
              <w:t>(7,411)</w:t>
            </w: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r>
      <w:tr>
        <w:trPr>
          <w:trHeight w:val="216"/>
        </w:trPr>
        <w:tc>
          <w:tcPr>
            <w:tcW w:w="20" w:type="dxa"/>
            <w:vAlign w:val="bottom"/>
          </w:tcPr>
          <w:p>
            <w:pPr>
              <w:spacing w:after="0"/>
              <w:rPr>
                <w:sz w:val="18"/>
                <w:szCs w:val="18"/>
                <w:color w:val="auto"/>
              </w:rPr>
            </w:pPr>
          </w:p>
        </w:tc>
        <w:tc>
          <w:tcPr>
            <w:tcW w:w="7380" w:type="dxa"/>
            <w:vAlign w:val="bottom"/>
            <w:shd w:val="clear" w:color="auto" w:fill="CCEEFF"/>
          </w:tcPr>
          <w:p>
            <w:pPr>
              <w:ind w:left="340"/>
              <w:spacing w:after="0"/>
              <w:rPr>
                <w:sz w:val="20"/>
                <w:szCs w:val="20"/>
                <w:color w:val="auto"/>
              </w:rPr>
            </w:pPr>
            <w:r>
              <w:rPr>
                <w:rFonts w:ascii="Arial" w:cs="Arial" w:eastAsia="Arial" w:hAnsi="Arial"/>
                <w:sz w:val="18"/>
                <w:szCs w:val="18"/>
                <w:color w:val="auto"/>
              </w:rPr>
              <w:t>Excess tax benefits from share-based compensation</w:t>
            </w:r>
          </w:p>
        </w:tc>
        <w:tc>
          <w:tcPr>
            <w:tcW w:w="94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(22)</w:t>
            </w: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9</w:t>
            </w: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20</w:t>
            </w: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58</w:t>
            </w:r>
          </w:p>
        </w:tc>
      </w:tr>
      <w:tr>
        <w:trPr>
          <w:trHeight w:val="230"/>
        </w:trPr>
        <w:tc>
          <w:tcPr>
            <w:tcW w:w="20" w:type="dxa"/>
            <w:vAlign w:val="bottom"/>
          </w:tcPr>
          <w:p>
            <w:pPr>
              <w:spacing w:after="0"/>
              <w:rPr>
                <w:sz w:val="20"/>
                <w:szCs w:val="20"/>
                <w:color w:val="auto"/>
              </w:rPr>
            </w:pPr>
          </w:p>
        </w:tc>
        <w:tc>
          <w:tcPr>
            <w:tcW w:w="7380" w:type="dxa"/>
            <w:vAlign w:val="bottom"/>
          </w:tcPr>
          <w:p>
            <w:pPr>
              <w:ind w:left="1060"/>
              <w:spacing w:after="0"/>
              <w:rPr>
                <w:sz w:val="20"/>
                <w:szCs w:val="20"/>
                <w:color w:val="auto"/>
              </w:rPr>
            </w:pPr>
            <w:r>
              <w:rPr>
                <w:rFonts w:ascii="Arial" w:cs="Arial" w:eastAsia="Arial" w:hAnsi="Arial"/>
                <w:sz w:val="18"/>
                <w:szCs w:val="18"/>
                <w:color w:val="auto"/>
              </w:rPr>
              <w:t>Net cash provided by (used in) financing activities</w:t>
            </w:r>
          </w:p>
        </w:tc>
        <w:tc>
          <w:tcPr>
            <w:tcW w:w="7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76,199</w:t>
            </w:r>
          </w:p>
        </w:tc>
        <w:tc>
          <w:tcPr>
            <w:tcW w:w="200" w:type="dxa"/>
            <w:vAlign w:val="bottom"/>
          </w:tcPr>
          <w:p>
            <w:pPr>
              <w:spacing w:after="0"/>
              <w:rPr>
                <w:sz w:val="20"/>
                <w:szCs w:val="20"/>
                <w:color w:val="auto"/>
              </w:rPr>
            </w:pPr>
          </w:p>
        </w:tc>
        <w:tc>
          <w:tcPr>
            <w:tcW w:w="100" w:type="dxa"/>
            <w:vAlign w:val="bottom"/>
            <w:tcBorders>
              <w:top w:val="single" w:sz="8" w:color="auto"/>
              <w:bottom w:val="single" w:sz="8" w:color="auto"/>
            </w:tcBorders>
          </w:tcPr>
          <w:p>
            <w:pPr>
              <w:spacing w:after="0"/>
              <w:rPr>
                <w:sz w:val="20"/>
                <w:szCs w:val="20"/>
                <w:color w:val="auto"/>
              </w:rPr>
            </w:pPr>
          </w:p>
        </w:tc>
        <w:tc>
          <w:tcPr>
            <w:tcW w:w="6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7"/>
              </w:rPr>
              <w:t>(253,788</w:t>
            </w:r>
          </w:p>
        </w:tc>
        <w:tc>
          <w:tcPr>
            <w:tcW w:w="400" w:type="dxa"/>
            <w:vAlign w:val="bottom"/>
          </w:tcPr>
          <w:p>
            <w:pPr>
              <w:jc w:val="right"/>
              <w:ind w:right="260"/>
              <w:spacing w:after="0"/>
              <w:rPr>
                <w:sz w:val="20"/>
                <w:szCs w:val="20"/>
                <w:color w:val="auto"/>
              </w:rPr>
            </w:pPr>
            <w:r>
              <w:rPr>
                <w:rFonts w:ascii="Arial" w:cs="Arial" w:eastAsia="Arial" w:hAnsi="Arial"/>
                <w:sz w:val="16"/>
                <w:szCs w:val="16"/>
                <w:color w:val="auto"/>
                <w:w w:val="74"/>
              </w:rPr>
              <w:t>)</w:t>
            </w:r>
          </w:p>
        </w:tc>
        <w:tc>
          <w:tcPr>
            <w:tcW w:w="7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(309,035</w:t>
            </w:r>
          </w:p>
        </w:tc>
        <w:tc>
          <w:tcPr>
            <w:tcW w:w="120" w:type="dxa"/>
            <w:vAlign w:val="bottom"/>
          </w:tcPr>
          <w:p>
            <w:pPr>
              <w:jc w:val="right"/>
              <w:spacing w:after="0"/>
              <w:rPr>
                <w:sz w:val="20"/>
                <w:szCs w:val="20"/>
                <w:color w:val="auto"/>
              </w:rPr>
            </w:pPr>
            <w:r>
              <w:rPr>
                <w:rFonts w:ascii="Arial" w:cs="Arial" w:eastAsia="Arial" w:hAnsi="Arial"/>
                <w:sz w:val="16"/>
                <w:szCs w:val="16"/>
                <w:color w:val="auto"/>
                <w:w w:val="74"/>
              </w:rPr>
              <w:t>)</w:t>
            </w:r>
          </w:p>
        </w:tc>
        <w:tc>
          <w:tcPr>
            <w:tcW w:w="80" w:type="dxa"/>
            <w:vAlign w:val="bottom"/>
          </w:tcPr>
          <w:p>
            <w:pPr>
              <w:spacing w:after="0"/>
              <w:rPr>
                <w:sz w:val="20"/>
                <w:szCs w:val="20"/>
                <w:color w:val="auto"/>
              </w:rPr>
            </w:pPr>
          </w:p>
        </w:tc>
        <w:tc>
          <w:tcPr>
            <w:tcW w:w="80" w:type="dxa"/>
            <w:vAlign w:val="bottom"/>
            <w:tcBorders>
              <w:top w:val="single" w:sz="8" w:color="auto"/>
              <w:bottom w:val="single" w:sz="8" w:color="auto"/>
            </w:tcBorders>
          </w:tcPr>
          <w:p>
            <w:pPr>
              <w:spacing w:after="0"/>
              <w:rPr>
                <w:sz w:val="20"/>
                <w:szCs w:val="20"/>
                <w:color w:val="auto"/>
              </w:rPr>
            </w:pPr>
          </w:p>
        </w:tc>
        <w:tc>
          <w:tcPr>
            <w:tcW w:w="8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(940,801)</w:t>
            </w:r>
          </w:p>
        </w:tc>
        <w:tc>
          <w:tcPr>
            <w:tcW w:w="100" w:type="dxa"/>
            <w:vAlign w:val="bottom"/>
          </w:tcPr>
          <w:p>
            <w:pPr>
              <w:spacing w:after="0"/>
              <w:rPr>
                <w:sz w:val="20"/>
                <w:szCs w:val="20"/>
                <w:color w:val="auto"/>
              </w:rPr>
            </w:pPr>
          </w:p>
        </w:tc>
      </w:tr>
      <w:tr>
        <w:trPr>
          <w:trHeight w:val="216"/>
        </w:trPr>
        <w:tc>
          <w:tcPr>
            <w:tcW w:w="20" w:type="dxa"/>
            <w:vAlign w:val="bottom"/>
          </w:tcPr>
          <w:p>
            <w:pPr>
              <w:spacing w:after="0"/>
              <w:rPr>
                <w:sz w:val="18"/>
                <w:szCs w:val="18"/>
                <w:color w:val="auto"/>
              </w:rPr>
            </w:pPr>
          </w:p>
        </w:tc>
        <w:tc>
          <w:tcPr>
            <w:tcW w:w="7380" w:type="dxa"/>
            <w:vAlign w:val="bottom"/>
            <w:shd w:val="clear" w:color="auto" w:fill="CCEEFF"/>
          </w:tcPr>
          <w:p>
            <w:pPr>
              <w:spacing w:after="0"/>
              <w:rPr>
                <w:sz w:val="20"/>
                <w:szCs w:val="20"/>
                <w:color w:val="auto"/>
              </w:rPr>
            </w:pPr>
            <w:r>
              <w:rPr>
                <w:rFonts w:ascii="Arial" w:cs="Arial" w:eastAsia="Arial" w:hAnsi="Arial"/>
                <w:sz w:val="18"/>
                <w:szCs w:val="18"/>
                <w:color w:val="auto"/>
              </w:rPr>
              <w:t>Net increase (decrease) in cash and cash equivalents</w:t>
            </w:r>
          </w:p>
        </w:tc>
        <w:tc>
          <w:tcPr>
            <w:tcW w:w="9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169,420</w:t>
            </w: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83,769</w:t>
            </w: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213,797</w:t>
            </w: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(32,949)</w:t>
            </w:r>
          </w:p>
        </w:tc>
      </w:tr>
      <w:tr>
        <w:trPr>
          <w:trHeight w:val="230"/>
        </w:trPr>
        <w:tc>
          <w:tcPr>
            <w:tcW w:w="7400" w:type="dxa"/>
            <w:vAlign w:val="bottom"/>
            <w:gridSpan w:val="2"/>
          </w:tcPr>
          <w:p>
            <w:pPr>
              <w:spacing w:after="0"/>
              <w:rPr>
                <w:sz w:val="20"/>
                <w:szCs w:val="20"/>
                <w:color w:val="auto"/>
              </w:rPr>
            </w:pPr>
            <w:r>
              <w:rPr>
                <w:rFonts w:ascii="Arial" w:cs="Arial" w:eastAsia="Arial" w:hAnsi="Arial"/>
                <w:sz w:val="18"/>
                <w:szCs w:val="18"/>
                <w:color w:val="auto"/>
              </w:rPr>
              <w:t>Cash and cash equivalents at beginning of period</w:t>
            </w:r>
          </w:p>
        </w:tc>
        <w:tc>
          <w:tcPr>
            <w:tcW w:w="7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796,330</w:t>
            </w:r>
          </w:p>
        </w:tc>
        <w:tc>
          <w:tcPr>
            <w:tcW w:w="200" w:type="dxa"/>
            <w:vAlign w:val="bottom"/>
          </w:tcPr>
          <w:p>
            <w:pPr>
              <w:spacing w:after="0"/>
              <w:rPr>
                <w:sz w:val="20"/>
                <w:szCs w:val="20"/>
                <w:color w:val="auto"/>
              </w:rPr>
            </w:pPr>
          </w:p>
        </w:tc>
        <w:tc>
          <w:tcPr>
            <w:tcW w:w="100" w:type="dxa"/>
            <w:vAlign w:val="bottom"/>
            <w:tcBorders>
              <w:top w:val="single" w:sz="8" w:color="auto"/>
              <w:bottom w:val="single" w:sz="8" w:color="auto"/>
            </w:tcBorders>
          </w:tcPr>
          <w:p>
            <w:pPr>
              <w:spacing w:after="0"/>
              <w:rPr>
                <w:sz w:val="20"/>
                <w:szCs w:val="20"/>
                <w:color w:val="auto"/>
              </w:rPr>
            </w:pPr>
          </w:p>
        </w:tc>
        <w:tc>
          <w:tcPr>
            <w:tcW w:w="6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5"/>
              </w:rPr>
              <w:t>668,184</w:t>
            </w:r>
          </w:p>
        </w:tc>
        <w:tc>
          <w:tcPr>
            <w:tcW w:w="400" w:type="dxa"/>
            <w:vAlign w:val="bottom"/>
          </w:tcPr>
          <w:p>
            <w:pPr>
              <w:spacing w:after="0"/>
              <w:rPr>
                <w:sz w:val="20"/>
                <w:szCs w:val="20"/>
                <w:color w:val="auto"/>
              </w:rPr>
            </w:pPr>
          </w:p>
        </w:tc>
        <w:tc>
          <w:tcPr>
            <w:tcW w:w="7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751,953</w:t>
            </w:r>
          </w:p>
        </w:tc>
        <w:tc>
          <w:tcPr>
            <w:tcW w:w="1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80" w:type="dxa"/>
            <w:vAlign w:val="bottom"/>
            <w:tcBorders>
              <w:top w:val="single" w:sz="8" w:color="auto"/>
              <w:bottom w:val="single" w:sz="8" w:color="auto"/>
            </w:tcBorders>
          </w:tcPr>
          <w:p>
            <w:pPr>
              <w:spacing w:after="0"/>
              <w:rPr>
                <w:sz w:val="20"/>
                <w:szCs w:val="20"/>
                <w:color w:val="auto"/>
              </w:rPr>
            </w:pPr>
          </w:p>
        </w:tc>
        <w:tc>
          <w:tcPr>
            <w:tcW w:w="8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784,902</w:t>
            </w:r>
          </w:p>
        </w:tc>
        <w:tc>
          <w:tcPr>
            <w:tcW w:w="100" w:type="dxa"/>
            <w:vAlign w:val="bottom"/>
          </w:tcPr>
          <w:p>
            <w:pPr>
              <w:spacing w:after="0"/>
              <w:rPr>
                <w:sz w:val="20"/>
                <w:szCs w:val="20"/>
                <w:color w:val="auto"/>
              </w:rPr>
            </w:pPr>
          </w:p>
        </w:tc>
      </w:tr>
      <w:tr>
        <w:trPr>
          <w:trHeight w:val="216"/>
        </w:trPr>
        <w:tc>
          <w:tcPr>
            <w:tcW w:w="20" w:type="dxa"/>
            <w:vAlign w:val="bottom"/>
          </w:tcPr>
          <w:p>
            <w:pPr>
              <w:spacing w:after="0"/>
              <w:rPr>
                <w:sz w:val="18"/>
                <w:szCs w:val="18"/>
                <w:color w:val="auto"/>
              </w:rPr>
            </w:pPr>
          </w:p>
        </w:tc>
        <w:tc>
          <w:tcPr>
            <w:tcW w:w="7380" w:type="dxa"/>
            <w:vAlign w:val="bottom"/>
            <w:shd w:val="clear" w:color="auto" w:fill="CCEEFF"/>
          </w:tcPr>
          <w:p>
            <w:pPr>
              <w:spacing w:after="0"/>
              <w:rPr>
                <w:sz w:val="20"/>
                <w:szCs w:val="20"/>
                <w:color w:val="auto"/>
              </w:rPr>
            </w:pPr>
            <w:r>
              <w:rPr>
                <w:rFonts w:ascii="Arial" w:cs="Arial" w:eastAsia="Arial" w:hAnsi="Arial"/>
                <w:sz w:val="18"/>
                <w:szCs w:val="18"/>
                <w:color w:val="auto"/>
              </w:rPr>
              <w:t>Cash and cash equivalents at end of period</w:t>
            </w:r>
          </w:p>
        </w:tc>
        <w:tc>
          <w:tcPr>
            <w:tcW w:w="9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9"/>
              </w:rPr>
              <w:t>$ 965,750</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95"/>
              </w:rPr>
              <w:t>751,953</w:t>
            </w: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2"/>
              </w:rPr>
              <w:t>$ 965,750</w:t>
            </w:r>
          </w:p>
        </w:tc>
        <w:tc>
          <w:tcPr>
            <w:tcW w:w="1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751,953</w:t>
            </w:r>
          </w:p>
        </w:tc>
      </w:tr>
      <w:tr>
        <w:trPr>
          <w:trHeight w:val="20"/>
        </w:trPr>
        <w:tc>
          <w:tcPr>
            <w:tcW w:w="20" w:type="dxa"/>
            <w:vAlign w:val="bottom"/>
          </w:tcPr>
          <w:p>
            <w:pPr>
              <w:spacing w:after="0" w:line="20" w:lineRule="exact"/>
              <w:rPr>
                <w:sz w:val="1"/>
                <w:szCs w:val="1"/>
                <w:color w:val="auto"/>
              </w:rPr>
            </w:pPr>
          </w:p>
        </w:tc>
        <w:tc>
          <w:tcPr>
            <w:tcW w:w="7380" w:type="dxa"/>
            <w:vAlign w:val="bottom"/>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7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8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242" w:lineRule="exact"/>
        <w:rPr>
          <w:sz w:val="20"/>
          <w:szCs w:val="20"/>
          <w:color w:val="auto"/>
        </w:rPr>
      </w:pPr>
    </w:p>
    <w:p>
      <w:pPr>
        <w:ind w:left="460" w:right="780" w:hanging="452"/>
        <w:spacing w:after="0" w:line="277" w:lineRule="auto"/>
        <w:tabs>
          <w:tab w:leader="none" w:pos="460" w:val="left"/>
        </w:tabs>
        <w:numPr>
          <w:ilvl w:val="0"/>
          <w:numId w:val="9"/>
        </w:numPr>
        <w:rPr>
          <w:rFonts w:ascii="Arial" w:cs="Arial" w:eastAsia="Arial" w:hAnsi="Arial"/>
          <w:sz w:val="18"/>
          <w:szCs w:val="18"/>
          <w:i w:val="1"/>
          <w:iCs w:val="1"/>
          <w:color w:val="auto"/>
        </w:rPr>
      </w:pPr>
      <w:r>
        <w:rPr>
          <w:rFonts w:ascii="Arial" w:cs="Arial" w:eastAsia="Arial" w:hAnsi="Arial"/>
          <w:sz w:val="18"/>
          <w:szCs w:val="18"/>
          <w:color w:val="auto"/>
        </w:rPr>
        <w:t>Marvell records all repurchases as well as investment purchases and sales, based on trade date in accordance with U.S. GAAP. There were no repurchases of common share in the three months ended February 1, 2014.</w:t>
      </w:r>
    </w:p>
    <w:p>
      <w:pPr>
        <w:spacing w:after="0" w:line="10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420"/>
          </w:cols>
          <w:pgMar w:left="240" w:top="270" w:right="239" w:bottom="1440" w:gutter="0" w:footer="0" w:header="0"/>
        </w:sectPr>
      </w:pPr>
    </w:p>
    <w:bookmarkStart w:id="15" w:name="page16"/>
    <w:bookmarkEnd w:id="15"/>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Reconciliations from GAAP to Non-GAAP</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29"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54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460" w:type="dxa"/>
            <w:vAlign w:val="bottom"/>
            <w:gridSpan w:val="4"/>
          </w:tcPr>
          <w:p>
            <w:pPr>
              <w:jc w:val="right"/>
              <w:ind w:right="120"/>
              <w:spacing w:after="0"/>
              <w:rPr>
                <w:sz w:val="20"/>
                <w:szCs w:val="20"/>
                <w:color w:val="auto"/>
              </w:rPr>
            </w:pPr>
            <w:r>
              <w:rPr>
                <w:rFonts w:ascii="Arial" w:cs="Arial" w:eastAsia="Arial" w:hAnsi="Arial"/>
                <w:sz w:val="14"/>
                <w:szCs w:val="14"/>
                <w:b w:val="1"/>
                <w:bCs w:val="1"/>
                <w:color w:val="auto"/>
                <w:w w:val="95"/>
              </w:rPr>
              <w:t>Three Months Ended</w:t>
            </w:r>
          </w:p>
        </w:tc>
        <w:tc>
          <w:tcPr>
            <w:tcW w:w="1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220" w:type="dxa"/>
            <w:vAlign w:val="bottom"/>
            <w:gridSpan w:val="5"/>
          </w:tcPr>
          <w:p>
            <w:pPr>
              <w:jc w:val="right"/>
              <w:ind w:right="900"/>
              <w:spacing w:after="0"/>
              <w:rPr>
                <w:sz w:val="20"/>
                <w:szCs w:val="20"/>
                <w:color w:val="auto"/>
              </w:rPr>
            </w:pPr>
            <w:r>
              <w:rPr>
                <w:rFonts w:ascii="Arial" w:cs="Arial" w:eastAsia="Arial" w:hAnsi="Arial"/>
                <w:sz w:val="14"/>
                <w:szCs w:val="14"/>
                <w:b w:val="1"/>
                <w:bCs w:val="1"/>
                <w:color w:val="auto"/>
              </w:rPr>
              <w:t>Year Ended</w:t>
            </w: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5420" w:type="dxa"/>
            <w:vAlign w:val="bottom"/>
          </w:tcPr>
          <w:p>
            <w:pPr>
              <w:spacing w:after="0"/>
              <w:rPr>
                <w:sz w:val="10"/>
                <w:szCs w:val="10"/>
                <w:color w:val="auto"/>
              </w:rPr>
            </w:pPr>
          </w:p>
        </w:tc>
        <w:tc>
          <w:tcPr>
            <w:tcW w:w="900" w:type="dxa"/>
            <w:vAlign w:val="bottom"/>
            <w:tcBorders>
              <w:top w:val="single" w:sz="8" w:color="auto"/>
            </w:tcBorders>
            <w:gridSpan w:val="4"/>
          </w:tcPr>
          <w:p>
            <w:pPr>
              <w:spacing w:after="0" w:line="119" w:lineRule="exact"/>
              <w:rPr>
                <w:sz w:val="20"/>
                <w:szCs w:val="20"/>
                <w:color w:val="auto"/>
              </w:rPr>
            </w:pPr>
            <w:r>
              <w:rPr>
                <w:rFonts w:ascii="Arial" w:cs="Arial" w:eastAsia="Arial" w:hAnsi="Arial"/>
                <w:sz w:val="13"/>
                <w:szCs w:val="13"/>
                <w:b w:val="1"/>
                <w:bCs w:val="1"/>
                <w:color w:val="auto"/>
              </w:rPr>
              <w:t>February 1,</w:t>
            </w:r>
          </w:p>
        </w:tc>
        <w:tc>
          <w:tcPr>
            <w:tcW w:w="300" w:type="dxa"/>
            <w:vAlign w:val="bottom"/>
            <w:tcBorders>
              <w:top w:val="single" w:sz="8" w:color="auto"/>
            </w:tcBorders>
          </w:tcPr>
          <w:p>
            <w:pPr>
              <w:spacing w:after="0"/>
              <w:rPr>
                <w:sz w:val="10"/>
                <w:szCs w:val="10"/>
                <w:color w:val="auto"/>
              </w:rPr>
            </w:pPr>
          </w:p>
        </w:tc>
        <w:tc>
          <w:tcPr>
            <w:tcW w:w="1160" w:type="dxa"/>
            <w:vAlign w:val="bottom"/>
            <w:tcBorders>
              <w:top w:val="single" w:sz="8" w:color="auto"/>
            </w:tcBorders>
            <w:gridSpan w:val="3"/>
          </w:tcPr>
          <w:p>
            <w:pPr>
              <w:spacing w:after="0" w:line="119" w:lineRule="exact"/>
              <w:rPr>
                <w:sz w:val="20"/>
                <w:szCs w:val="20"/>
                <w:color w:val="auto"/>
              </w:rPr>
            </w:pPr>
            <w:r>
              <w:rPr>
                <w:rFonts w:ascii="Arial" w:cs="Arial" w:eastAsia="Arial" w:hAnsi="Arial"/>
                <w:sz w:val="13"/>
                <w:szCs w:val="13"/>
                <w:b w:val="1"/>
                <w:bCs w:val="1"/>
                <w:color w:val="auto"/>
              </w:rPr>
              <w:t>November 2,</w:t>
            </w:r>
          </w:p>
        </w:tc>
        <w:tc>
          <w:tcPr>
            <w:tcW w:w="100" w:type="dxa"/>
            <w:vAlign w:val="bottom"/>
            <w:tcBorders>
              <w:top w:val="single" w:sz="8" w:color="auto"/>
            </w:tcBorders>
          </w:tcPr>
          <w:p>
            <w:pPr>
              <w:spacing w:after="0"/>
              <w:rPr>
                <w:sz w:val="10"/>
                <w:szCs w:val="10"/>
                <w:color w:val="auto"/>
              </w:rPr>
            </w:pPr>
          </w:p>
        </w:tc>
        <w:tc>
          <w:tcPr>
            <w:tcW w:w="720" w:type="dxa"/>
            <w:vAlign w:val="bottom"/>
            <w:tcBorders>
              <w:top w:val="single" w:sz="8" w:color="auto"/>
            </w:tcBorders>
            <w:gridSpan w:val="2"/>
          </w:tcPr>
          <w:p>
            <w:pPr>
              <w:spacing w:after="0" w:line="119" w:lineRule="exact"/>
              <w:rPr>
                <w:sz w:val="20"/>
                <w:szCs w:val="20"/>
                <w:color w:val="auto"/>
              </w:rPr>
            </w:pPr>
            <w:r>
              <w:rPr>
                <w:rFonts w:ascii="Arial" w:cs="Arial" w:eastAsia="Arial" w:hAnsi="Arial"/>
                <w:sz w:val="13"/>
                <w:szCs w:val="13"/>
                <w:b w:val="1"/>
                <w:bCs w:val="1"/>
                <w:color w:val="auto"/>
                <w:w w:val="99"/>
              </w:rPr>
              <w:t>February 2,</w:t>
            </w:r>
          </w:p>
        </w:tc>
        <w:tc>
          <w:tcPr>
            <w:tcW w:w="32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1300" w:type="dxa"/>
            <w:vAlign w:val="bottom"/>
            <w:tcBorders>
              <w:top w:val="single" w:sz="8" w:color="auto"/>
            </w:tcBorders>
            <w:gridSpan w:val="3"/>
          </w:tcPr>
          <w:p>
            <w:pPr>
              <w:jc w:val="right"/>
              <w:ind w:right="520"/>
              <w:spacing w:after="0" w:line="119" w:lineRule="exact"/>
              <w:rPr>
                <w:sz w:val="20"/>
                <w:szCs w:val="20"/>
                <w:color w:val="auto"/>
              </w:rPr>
            </w:pPr>
            <w:r>
              <w:rPr>
                <w:rFonts w:ascii="Arial" w:cs="Arial" w:eastAsia="Arial" w:hAnsi="Arial"/>
                <w:sz w:val="13"/>
                <w:szCs w:val="13"/>
                <w:b w:val="1"/>
                <w:bCs w:val="1"/>
                <w:color w:val="auto"/>
              </w:rPr>
              <w:t>February 1,</w:t>
            </w:r>
          </w:p>
        </w:tc>
        <w:tc>
          <w:tcPr>
            <w:tcW w:w="820" w:type="dxa"/>
            <w:vAlign w:val="bottom"/>
            <w:tcBorders>
              <w:top w:val="single" w:sz="8" w:color="auto"/>
            </w:tcBorders>
            <w:gridSpan w:val="2"/>
          </w:tcPr>
          <w:p>
            <w:pPr>
              <w:jc w:val="right"/>
              <w:spacing w:after="0" w:line="119" w:lineRule="exact"/>
              <w:rPr>
                <w:sz w:val="20"/>
                <w:szCs w:val="20"/>
                <w:color w:val="auto"/>
              </w:rPr>
            </w:pPr>
            <w:r>
              <w:rPr>
                <w:rFonts w:ascii="Arial" w:cs="Arial" w:eastAsia="Arial" w:hAnsi="Arial"/>
                <w:sz w:val="13"/>
                <w:szCs w:val="13"/>
                <w:b w:val="1"/>
                <w:bCs w:val="1"/>
                <w:color w:val="auto"/>
              </w:rPr>
              <w:t>February 2,</w:t>
            </w:r>
          </w:p>
        </w:tc>
        <w:tc>
          <w:tcPr>
            <w:tcW w:w="2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542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ind w:right="130"/>
              <w:spacing w:after="0"/>
              <w:rPr>
                <w:sz w:val="20"/>
                <w:szCs w:val="20"/>
                <w:color w:val="auto"/>
              </w:rPr>
            </w:pPr>
            <w:r>
              <w:rPr>
                <w:rFonts w:ascii="Arial" w:cs="Arial" w:eastAsia="Arial" w:hAnsi="Arial"/>
                <w:sz w:val="14"/>
                <w:szCs w:val="14"/>
                <w:b w:val="1"/>
                <w:bCs w:val="1"/>
                <w:color w:val="auto"/>
              </w:rPr>
              <w:t>2014</w:t>
            </w:r>
          </w:p>
        </w:tc>
        <w:tc>
          <w:tcPr>
            <w:tcW w:w="20" w:type="dxa"/>
            <w:vAlign w:val="bottom"/>
            <w:tcBorders>
              <w:bottom w:val="single" w:sz="8" w:color="CCEEFF"/>
            </w:tcBorders>
          </w:tcPr>
          <w:p>
            <w:pPr>
              <w:spacing w:after="0"/>
              <w:rPr>
                <w:sz w:val="14"/>
                <w:szCs w:val="14"/>
                <w:color w:val="auto"/>
              </w:rPr>
            </w:pPr>
          </w:p>
        </w:tc>
        <w:tc>
          <w:tcPr>
            <w:tcW w:w="160" w:type="dxa"/>
            <w:vAlign w:val="bottom"/>
            <w:tcBorders>
              <w:bottom w:val="single" w:sz="8" w:color="CCEEFF"/>
            </w:tcBorders>
          </w:tcPr>
          <w:p>
            <w:pPr>
              <w:spacing w:after="0"/>
              <w:rPr>
                <w:sz w:val="14"/>
                <w:szCs w:val="14"/>
                <w:color w:val="auto"/>
              </w:rPr>
            </w:pPr>
          </w:p>
        </w:tc>
        <w:tc>
          <w:tcPr>
            <w:tcW w:w="30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right"/>
              <w:ind w:right="150"/>
              <w:spacing w:after="0"/>
              <w:rPr>
                <w:sz w:val="20"/>
                <w:szCs w:val="20"/>
                <w:color w:val="auto"/>
              </w:rPr>
            </w:pPr>
            <w:r>
              <w:rPr>
                <w:rFonts w:ascii="Arial" w:cs="Arial" w:eastAsia="Arial" w:hAnsi="Arial"/>
                <w:sz w:val="14"/>
                <w:szCs w:val="14"/>
                <w:b w:val="1"/>
                <w:bCs w:val="1"/>
                <w:color w:val="auto"/>
              </w:rPr>
              <w:t>2013</w:t>
            </w:r>
          </w:p>
        </w:tc>
        <w:tc>
          <w:tcPr>
            <w:tcW w:w="380" w:type="dxa"/>
            <w:vAlign w:val="bottom"/>
            <w:tcBorders>
              <w:bottom w:val="single" w:sz="8" w:color="CCEEFF"/>
            </w:tcBorders>
          </w:tcPr>
          <w:p>
            <w:pPr>
              <w:spacing w:after="0"/>
              <w:rPr>
                <w:sz w:val="14"/>
                <w:szCs w:val="14"/>
                <w:color w:val="auto"/>
              </w:rPr>
            </w:pPr>
          </w:p>
        </w:tc>
        <w:tc>
          <w:tcPr>
            <w:tcW w:w="10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ind w:right="130"/>
              <w:spacing w:after="0"/>
              <w:rPr>
                <w:sz w:val="20"/>
                <w:szCs w:val="20"/>
                <w:color w:val="auto"/>
              </w:rPr>
            </w:pPr>
            <w:r>
              <w:rPr>
                <w:rFonts w:ascii="Arial" w:cs="Arial" w:eastAsia="Arial" w:hAnsi="Arial"/>
                <w:sz w:val="14"/>
                <w:szCs w:val="14"/>
                <w:b w:val="1"/>
                <w:bCs w:val="1"/>
                <w:color w:val="auto"/>
              </w:rPr>
              <w:t>2013</w:t>
            </w:r>
          </w:p>
        </w:tc>
        <w:tc>
          <w:tcPr>
            <w:tcW w:w="320" w:type="dxa"/>
            <w:vAlign w:val="bottom"/>
            <w:tcBorders>
              <w:bottom w:val="single" w:sz="8" w:color="CCEEFF"/>
            </w:tcBorders>
          </w:tcPr>
          <w:p>
            <w:pPr>
              <w:spacing w:after="0"/>
              <w:rPr>
                <w:sz w:val="14"/>
                <w:szCs w:val="14"/>
                <w:color w:val="auto"/>
              </w:rPr>
            </w:pPr>
          </w:p>
        </w:tc>
        <w:tc>
          <w:tcPr>
            <w:tcW w:w="16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71"/>
              <w:spacing w:after="0"/>
              <w:rPr>
                <w:sz w:val="20"/>
                <w:szCs w:val="20"/>
                <w:color w:val="auto"/>
              </w:rPr>
            </w:pPr>
            <w:r>
              <w:rPr>
                <w:rFonts w:ascii="Arial" w:cs="Arial" w:eastAsia="Arial" w:hAnsi="Arial"/>
                <w:sz w:val="14"/>
                <w:szCs w:val="14"/>
                <w:b w:val="1"/>
                <w:bCs w:val="1"/>
                <w:color w:val="auto"/>
              </w:rPr>
              <w:t>2014</w:t>
            </w:r>
          </w:p>
        </w:tc>
        <w:tc>
          <w:tcPr>
            <w:tcW w:w="48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0"/>
              <w:spacing w:after="0"/>
              <w:rPr>
                <w:sz w:val="20"/>
                <w:szCs w:val="20"/>
                <w:color w:val="auto"/>
              </w:rPr>
            </w:pPr>
            <w:r>
              <w:rPr>
                <w:rFonts w:ascii="Arial" w:cs="Arial" w:eastAsia="Arial" w:hAnsi="Arial"/>
                <w:sz w:val="14"/>
                <w:szCs w:val="14"/>
                <w:b w:val="1"/>
                <w:bCs w:val="1"/>
                <w:color w:val="auto"/>
              </w:rPr>
              <w:t>2013</w:t>
            </w:r>
          </w:p>
        </w:tc>
        <w:tc>
          <w:tcPr>
            <w:tcW w:w="2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420" w:type="dxa"/>
            <w:vAlign w:val="bottom"/>
            <w:shd w:val="clear" w:color="auto" w:fill="CCEEFF"/>
          </w:tcPr>
          <w:p>
            <w:pPr>
              <w:spacing w:after="0"/>
              <w:rPr>
                <w:sz w:val="20"/>
                <w:szCs w:val="20"/>
                <w:color w:val="auto"/>
              </w:rPr>
            </w:pPr>
            <w:r>
              <w:rPr>
                <w:rFonts w:ascii="Arial" w:cs="Arial" w:eastAsia="Arial" w:hAnsi="Arial"/>
                <w:sz w:val="18"/>
                <w:szCs w:val="18"/>
                <w:color w:val="auto"/>
              </w:rPr>
              <w:t>GAAP net income</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106,629</w:t>
            </w:r>
          </w:p>
        </w:tc>
        <w:tc>
          <w:tcPr>
            <w:tcW w:w="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103,156</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50,152</w:t>
            </w:r>
          </w:p>
        </w:tc>
        <w:tc>
          <w:tcPr>
            <w:tcW w:w="3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324,820</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306,585</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20" w:type="dxa"/>
            <w:vAlign w:val="bottom"/>
          </w:tcPr>
          <w:p>
            <w:pPr>
              <w:spacing w:after="0"/>
              <w:rPr>
                <w:sz w:val="20"/>
                <w:szCs w:val="20"/>
                <w:color w:val="auto"/>
              </w:rPr>
            </w:pPr>
            <w:r>
              <w:rPr>
                <w:rFonts w:ascii="Arial" w:cs="Arial" w:eastAsia="Arial" w:hAnsi="Arial"/>
                <w:sz w:val="18"/>
                <w:szCs w:val="18"/>
                <w:color w:val="auto"/>
              </w:rPr>
              <w:t>Share-based compensation</w:t>
            </w:r>
          </w:p>
        </w:tc>
        <w:tc>
          <w:tcPr>
            <w:tcW w:w="120" w:type="dxa"/>
            <w:vAlign w:val="bottom"/>
          </w:tcPr>
          <w:p>
            <w:pPr>
              <w:spacing w:after="0"/>
              <w:rPr>
                <w:sz w:val="18"/>
                <w:szCs w:val="18"/>
                <w:color w:val="auto"/>
              </w:rPr>
            </w:pPr>
          </w:p>
        </w:tc>
        <w:tc>
          <w:tcPr>
            <w:tcW w:w="620" w:type="dxa"/>
            <w:vAlign w:val="bottom"/>
            <w:gridSpan w:val="2"/>
          </w:tcPr>
          <w:p>
            <w:pPr>
              <w:jc w:val="right"/>
              <w:ind w:right="20"/>
              <w:spacing w:after="0"/>
              <w:rPr>
                <w:sz w:val="20"/>
                <w:szCs w:val="20"/>
                <w:color w:val="auto"/>
              </w:rPr>
            </w:pPr>
            <w:r>
              <w:rPr>
                <w:rFonts w:ascii="Arial" w:cs="Arial" w:eastAsia="Arial" w:hAnsi="Arial"/>
                <w:sz w:val="18"/>
                <w:szCs w:val="18"/>
                <w:color w:val="auto"/>
              </w:rPr>
              <w:t>38,068</w:t>
            </w:r>
          </w:p>
        </w:tc>
        <w:tc>
          <w:tcPr>
            <w:tcW w:w="1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20" w:type="dxa"/>
            <w:vAlign w:val="bottom"/>
            <w:gridSpan w:val="2"/>
          </w:tcPr>
          <w:p>
            <w:pPr>
              <w:jc w:val="right"/>
              <w:ind w:right="380"/>
              <w:spacing w:after="0"/>
              <w:rPr>
                <w:sz w:val="20"/>
                <w:szCs w:val="20"/>
                <w:color w:val="auto"/>
              </w:rPr>
            </w:pPr>
            <w:r>
              <w:rPr>
                <w:rFonts w:ascii="Arial" w:cs="Arial" w:eastAsia="Arial" w:hAnsi="Arial"/>
                <w:sz w:val="18"/>
                <w:szCs w:val="18"/>
                <w:color w:val="auto"/>
              </w:rPr>
              <w:t>43,201</w:t>
            </w: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gridSpan w:val="2"/>
          </w:tcPr>
          <w:p>
            <w:pPr>
              <w:jc w:val="right"/>
              <w:ind w:right="320"/>
              <w:spacing w:after="0"/>
              <w:rPr>
                <w:sz w:val="20"/>
                <w:szCs w:val="20"/>
                <w:color w:val="auto"/>
              </w:rPr>
            </w:pPr>
            <w:r>
              <w:rPr>
                <w:rFonts w:ascii="Arial" w:cs="Arial" w:eastAsia="Arial" w:hAnsi="Arial"/>
                <w:sz w:val="18"/>
                <w:szCs w:val="18"/>
                <w:color w:val="auto"/>
              </w:rPr>
              <w:t>36,486</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480"/>
              <w:spacing w:after="0"/>
              <w:rPr>
                <w:sz w:val="20"/>
                <w:szCs w:val="20"/>
                <w:color w:val="auto"/>
              </w:rPr>
            </w:pPr>
            <w:r>
              <w:rPr>
                <w:rFonts w:ascii="Arial" w:cs="Arial" w:eastAsia="Arial" w:hAnsi="Arial"/>
                <w:sz w:val="18"/>
                <w:szCs w:val="18"/>
                <w:color w:val="auto"/>
              </w:rPr>
              <w:t>155,873</w:t>
            </w:r>
          </w:p>
        </w:tc>
        <w:tc>
          <w:tcPr>
            <w:tcW w:w="100" w:type="dxa"/>
            <w:vAlign w:val="bottom"/>
          </w:tcPr>
          <w:p>
            <w:pPr>
              <w:spacing w:after="0"/>
              <w:rPr>
                <w:sz w:val="18"/>
                <w:szCs w:val="18"/>
                <w:color w:val="auto"/>
              </w:rPr>
            </w:pPr>
          </w:p>
        </w:tc>
        <w:tc>
          <w:tcPr>
            <w:tcW w:w="920" w:type="dxa"/>
            <w:vAlign w:val="bottom"/>
            <w:gridSpan w:val="2"/>
          </w:tcPr>
          <w:p>
            <w:pPr>
              <w:jc w:val="right"/>
              <w:ind w:right="200"/>
              <w:spacing w:after="0"/>
              <w:rPr>
                <w:sz w:val="20"/>
                <w:szCs w:val="20"/>
                <w:color w:val="auto"/>
              </w:rPr>
            </w:pPr>
            <w:r>
              <w:rPr>
                <w:rFonts w:ascii="Arial" w:cs="Arial" w:eastAsia="Arial" w:hAnsi="Arial"/>
                <w:sz w:val="18"/>
                <w:szCs w:val="18"/>
                <w:color w:val="auto"/>
              </w:rPr>
              <w:t>127,280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20" w:type="dxa"/>
            <w:vAlign w:val="bottom"/>
            <w:shd w:val="clear" w:color="auto" w:fill="CCEEFF"/>
          </w:tcPr>
          <w:p>
            <w:pPr>
              <w:spacing w:after="0"/>
              <w:rPr>
                <w:sz w:val="20"/>
                <w:szCs w:val="20"/>
                <w:color w:val="auto"/>
              </w:rPr>
            </w:pPr>
            <w:r>
              <w:rPr>
                <w:rFonts w:ascii="Arial" w:cs="Arial" w:eastAsia="Arial" w:hAnsi="Arial"/>
                <w:sz w:val="18"/>
                <w:szCs w:val="18"/>
                <w:color w:val="auto"/>
              </w:rPr>
              <w:t>Amortization and write-off of acquired intangible assets</w:t>
            </w:r>
          </w:p>
        </w:tc>
        <w:tc>
          <w:tcPr>
            <w:tcW w:w="120" w:type="dxa"/>
            <w:vAlign w:val="bottom"/>
            <w:shd w:val="clear" w:color="auto" w:fill="CCEEFF"/>
          </w:tcPr>
          <w:p>
            <w:pPr>
              <w:spacing w:after="0"/>
              <w:rPr>
                <w:sz w:val="18"/>
                <w:szCs w:val="18"/>
                <w:color w:val="auto"/>
              </w:rPr>
            </w:pPr>
          </w:p>
        </w:tc>
        <w:tc>
          <w:tcPr>
            <w:tcW w:w="6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12,184</w:t>
            </w:r>
          </w:p>
        </w:tc>
        <w:tc>
          <w:tcPr>
            <w:tcW w:w="16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10,645</w:t>
            </w: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12,268</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44,153</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52,700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20" w:type="dxa"/>
            <w:vAlign w:val="bottom"/>
          </w:tcPr>
          <w:p>
            <w:pPr>
              <w:spacing w:after="0"/>
              <w:rPr>
                <w:sz w:val="20"/>
                <w:szCs w:val="20"/>
                <w:color w:val="auto"/>
              </w:rPr>
            </w:pPr>
            <w:r>
              <w:rPr>
                <w:rFonts w:ascii="Arial" w:cs="Arial" w:eastAsia="Arial" w:hAnsi="Arial"/>
                <w:sz w:val="18"/>
                <w:szCs w:val="18"/>
                <w:color w:val="auto"/>
              </w:rPr>
              <w:t xml:space="preserve">Acquisition-related costs </w:t>
            </w:r>
            <w:r>
              <w:rPr>
                <w:rFonts w:ascii="Arial" w:cs="Arial" w:eastAsia="Arial" w:hAnsi="Arial"/>
                <w:sz w:val="18"/>
                <w:szCs w:val="18"/>
                <w:i w:val="1"/>
                <w:iCs w:val="1"/>
                <w:color w:val="auto"/>
              </w:rPr>
              <w:t>(a)</w:t>
            </w:r>
          </w:p>
        </w:tc>
        <w:tc>
          <w:tcPr>
            <w:tcW w:w="120" w:type="dxa"/>
            <w:vAlign w:val="bottom"/>
          </w:tcPr>
          <w:p>
            <w:pPr>
              <w:spacing w:after="0"/>
              <w:rPr>
                <w:sz w:val="18"/>
                <w:szCs w:val="18"/>
                <w:color w:val="auto"/>
              </w:rPr>
            </w:pPr>
          </w:p>
        </w:tc>
        <w:tc>
          <w:tcPr>
            <w:tcW w:w="620" w:type="dxa"/>
            <w:vAlign w:val="bottom"/>
            <w:gridSpan w:val="2"/>
          </w:tcPr>
          <w:p>
            <w:pPr>
              <w:jc w:val="right"/>
              <w:ind w:right="20"/>
              <w:spacing w:after="0"/>
              <w:rPr>
                <w:sz w:val="20"/>
                <w:szCs w:val="20"/>
                <w:color w:val="auto"/>
              </w:rPr>
            </w:pPr>
            <w:r>
              <w:rPr>
                <w:rFonts w:ascii="Arial" w:cs="Arial" w:eastAsia="Arial" w:hAnsi="Arial"/>
                <w:sz w:val="18"/>
                <w:szCs w:val="18"/>
                <w:color w:val="auto"/>
              </w:rPr>
              <w:t>121</w:t>
            </w:r>
          </w:p>
        </w:tc>
        <w:tc>
          <w:tcPr>
            <w:tcW w:w="1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20" w:type="dxa"/>
            <w:vAlign w:val="bottom"/>
            <w:gridSpan w:val="2"/>
          </w:tcPr>
          <w:p>
            <w:pPr>
              <w:jc w:val="right"/>
              <w:ind w:right="380"/>
              <w:spacing w:after="0"/>
              <w:rPr>
                <w:sz w:val="20"/>
                <w:szCs w:val="20"/>
                <w:color w:val="auto"/>
              </w:rPr>
            </w:pPr>
            <w:r>
              <w:rPr>
                <w:rFonts w:ascii="Arial" w:cs="Arial" w:eastAsia="Arial" w:hAnsi="Arial"/>
                <w:sz w:val="18"/>
                <w:szCs w:val="18"/>
                <w:color w:val="auto"/>
              </w:rPr>
              <w:t>433</w:t>
            </w: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gridSpan w:val="2"/>
          </w:tcPr>
          <w:p>
            <w:pPr>
              <w:jc w:val="right"/>
              <w:ind w:right="320"/>
              <w:spacing w:after="0"/>
              <w:rPr>
                <w:sz w:val="20"/>
                <w:szCs w:val="20"/>
                <w:color w:val="auto"/>
              </w:rPr>
            </w:pPr>
            <w:r>
              <w:rPr>
                <w:rFonts w:ascii="Arial" w:cs="Arial" w:eastAsia="Arial" w:hAnsi="Arial"/>
                <w:sz w:val="18"/>
                <w:szCs w:val="18"/>
                <w:color w:val="auto"/>
              </w:rPr>
              <w:t>295</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420"/>
              <w:spacing w:after="0"/>
              <w:rPr>
                <w:sz w:val="20"/>
                <w:szCs w:val="20"/>
                <w:color w:val="auto"/>
              </w:rPr>
            </w:pPr>
            <w:r>
              <w:rPr>
                <w:rFonts w:ascii="Arial" w:cs="Arial" w:eastAsia="Arial" w:hAnsi="Arial"/>
                <w:sz w:val="18"/>
                <w:szCs w:val="18"/>
                <w:color w:val="auto"/>
              </w:rPr>
              <w:t>(62)</w:t>
            </w:r>
          </w:p>
        </w:tc>
        <w:tc>
          <w:tcPr>
            <w:tcW w:w="100" w:type="dxa"/>
            <w:vAlign w:val="bottom"/>
          </w:tcPr>
          <w:p>
            <w:pPr>
              <w:spacing w:after="0"/>
              <w:rPr>
                <w:sz w:val="18"/>
                <w:szCs w:val="18"/>
                <w:color w:val="auto"/>
              </w:rPr>
            </w:pPr>
          </w:p>
        </w:tc>
        <w:tc>
          <w:tcPr>
            <w:tcW w:w="920" w:type="dxa"/>
            <w:vAlign w:val="bottom"/>
            <w:gridSpan w:val="2"/>
          </w:tcPr>
          <w:p>
            <w:pPr>
              <w:jc w:val="right"/>
              <w:ind w:right="200"/>
              <w:spacing w:after="0"/>
              <w:rPr>
                <w:sz w:val="20"/>
                <w:szCs w:val="20"/>
                <w:color w:val="auto"/>
              </w:rPr>
            </w:pPr>
            <w:r>
              <w:rPr>
                <w:rFonts w:ascii="Arial" w:cs="Arial" w:eastAsia="Arial" w:hAnsi="Arial"/>
                <w:sz w:val="18"/>
                <w:szCs w:val="18"/>
                <w:color w:val="auto"/>
              </w:rPr>
              <w:t>4,851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20" w:type="dxa"/>
            <w:vAlign w:val="bottom"/>
            <w:shd w:val="clear" w:color="auto" w:fill="CCEEFF"/>
          </w:tcPr>
          <w:p>
            <w:pPr>
              <w:spacing w:after="0"/>
              <w:rPr>
                <w:sz w:val="20"/>
                <w:szCs w:val="20"/>
                <w:color w:val="auto"/>
              </w:rPr>
            </w:pPr>
            <w:r>
              <w:rPr>
                <w:rFonts w:ascii="Arial" w:cs="Arial" w:eastAsia="Arial" w:hAnsi="Arial"/>
                <w:sz w:val="18"/>
                <w:szCs w:val="18"/>
                <w:color w:val="auto"/>
              </w:rPr>
              <w:t xml:space="preserve">Restructuring and other exit-related costs </w:t>
            </w:r>
            <w:r>
              <w:rPr>
                <w:rFonts w:ascii="Arial" w:cs="Arial" w:eastAsia="Arial" w:hAnsi="Arial"/>
                <w:sz w:val="18"/>
                <w:szCs w:val="18"/>
                <w:i w:val="1"/>
                <w:iCs w:val="1"/>
                <w:color w:val="auto"/>
              </w:rPr>
              <w:t>(b)</w:t>
            </w:r>
          </w:p>
        </w:tc>
        <w:tc>
          <w:tcPr>
            <w:tcW w:w="120" w:type="dxa"/>
            <w:vAlign w:val="bottom"/>
            <w:shd w:val="clear" w:color="auto" w:fill="CCEEFF"/>
          </w:tcPr>
          <w:p>
            <w:pPr>
              <w:spacing w:after="0"/>
              <w:rPr>
                <w:sz w:val="18"/>
                <w:szCs w:val="18"/>
                <w:color w:val="auto"/>
              </w:rPr>
            </w:pPr>
          </w:p>
        </w:tc>
        <w:tc>
          <w:tcPr>
            <w:tcW w:w="6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947</w:t>
            </w:r>
          </w:p>
        </w:tc>
        <w:tc>
          <w:tcPr>
            <w:tcW w:w="16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5,935</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154</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7,288</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1,257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20" w:type="dxa"/>
            <w:vAlign w:val="bottom"/>
          </w:tcPr>
          <w:p>
            <w:pPr>
              <w:spacing w:after="0"/>
              <w:rPr>
                <w:sz w:val="20"/>
                <w:szCs w:val="20"/>
                <w:color w:val="auto"/>
              </w:rPr>
            </w:pPr>
            <w:r>
              <w:rPr>
                <w:rFonts w:ascii="Arial" w:cs="Arial" w:eastAsia="Arial" w:hAnsi="Arial"/>
                <w:sz w:val="18"/>
                <w:szCs w:val="18"/>
                <w:color w:val="auto"/>
              </w:rPr>
              <w:t xml:space="preserve">Legal/Tax related matters </w:t>
            </w:r>
            <w:r>
              <w:rPr>
                <w:rFonts w:ascii="Arial" w:cs="Arial" w:eastAsia="Arial" w:hAnsi="Arial"/>
                <w:sz w:val="18"/>
                <w:szCs w:val="18"/>
                <w:i w:val="1"/>
                <w:iCs w:val="1"/>
                <w:color w:val="auto"/>
              </w:rPr>
              <w:t>(c)</w:t>
            </w:r>
          </w:p>
        </w:tc>
        <w:tc>
          <w:tcPr>
            <w:tcW w:w="120" w:type="dxa"/>
            <w:vAlign w:val="bottom"/>
          </w:tcPr>
          <w:p>
            <w:pPr>
              <w:spacing w:after="0"/>
              <w:rPr>
                <w:sz w:val="18"/>
                <w:szCs w:val="18"/>
                <w:color w:val="auto"/>
              </w:rPr>
            </w:pPr>
          </w:p>
        </w:tc>
        <w:tc>
          <w:tcPr>
            <w:tcW w:w="780" w:type="dxa"/>
            <w:vAlign w:val="bottom"/>
            <w:gridSpan w:val="3"/>
          </w:tcPr>
          <w:p>
            <w:pPr>
              <w:jc w:val="right"/>
              <w:ind w:right="26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20" w:type="dxa"/>
            <w:vAlign w:val="bottom"/>
            <w:gridSpan w:val="2"/>
          </w:tcPr>
          <w:p>
            <w:pPr>
              <w:jc w:val="right"/>
              <w:ind w:right="46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gridSpan w:val="2"/>
          </w:tcPr>
          <w:p>
            <w:pPr>
              <w:jc w:val="right"/>
              <w:ind w:right="320"/>
              <w:spacing w:after="0"/>
              <w:rPr>
                <w:sz w:val="20"/>
                <w:szCs w:val="20"/>
                <w:color w:val="auto"/>
              </w:rPr>
            </w:pPr>
            <w:r>
              <w:rPr>
                <w:rFonts w:ascii="Arial" w:cs="Arial" w:eastAsia="Arial" w:hAnsi="Arial"/>
                <w:sz w:val="18"/>
                <w:szCs w:val="18"/>
                <w:color w:val="auto"/>
              </w:rPr>
              <w:t>5,008</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480"/>
              <w:spacing w:after="0"/>
              <w:rPr>
                <w:sz w:val="20"/>
                <w:szCs w:val="20"/>
                <w:color w:val="auto"/>
              </w:rPr>
            </w:pPr>
            <w:r>
              <w:rPr>
                <w:rFonts w:ascii="Arial" w:cs="Arial" w:eastAsia="Arial" w:hAnsi="Arial"/>
                <w:sz w:val="18"/>
                <w:szCs w:val="18"/>
                <w:color w:val="auto"/>
              </w:rPr>
              <w:t>5,228</w:t>
            </w:r>
          </w:p>
        </w:tc>
        <w:tc>
          <w:tcPr>
            <w:tcW w:w="100" w:type="dxa"/>
            <w:vAlign w:val="bottom"/>
          </w:tcPr>
          <w:p>
            <w:pPr>
              <w:spacing w:after="0"/>
              <w:rPr>
                <w:sz w:val="18"/>
                <w:szCs w:val="18"/>
                <w:color w:val="auto"/>
              </w:rPr>
            </w:pPr>
          </w:p>
        </w:tc>
        <w:tc>
          <w:tcPr>
            <w:tcW w:w="920" w:type="dxa"/>
            <w:vAlign w:val="bottom"/>
            <w:gridSpan w:val="2"/>
          </w:tcPr>
          <w:p>
            <w:pPr>
              <w:jc w:val="right"/>
              <w:ind w:right="200"/>
              <w:spacing w:after="0"/>
              <w:rPr>
                <w:sz w:val="20"/>
                <w:szCs w:val="20"/>
                <w:color w:val="auto"/>
              </w:rPr>
            </w:pPr>
            <w:r>
              <w:rPr>
                <w:rFonts w:ascii="Arial" w:cs="Arial" w:eastAsia="Arial" w:hAnsi="Arial"/>
                <w:sz w:val="18"/>
                <w:szCs w:val="18"/>
                <w:color w:val="auto"/>
              </w:rPr>
              <w:t>5,258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20" w:type="dxa"/>
            <w:vAlign w:val="bottom"/>
            <w:shd w:val="clear" w:color="auto" w:fill="CCEEFF"/>
          </w:tcPr>
          <w:p>
            <w:pPr>
              <w:spacing w:after="0"/>
              <w:rPr>
                <w:sz w:val="20"/>
                <w:szCs w:val="20"/>
                <w:color w:val="auto"/>
              </w:rPr>
            </w:pPr>
            <w:r>
              <w:rPr>
                <w:rFonts w:ascii="Arial" w:cs="Arial" w:eastAsia="Arial" w:hAnsi="Arial"/>
                <w:sz w:val="18"/>
                <w:szCs w:val="18"/>
                <w:color w:val="auto"/>
              </w:rPr>
              <w:t>Gain on sale</w:t>
            </w:r>
          </w:p>
        </w:tc>
        <w:tc>
          <w:tcPr>
            <w:tcW w:w="120" w:type="dxa"/>
            <w:vAlign w:val="bottom"/>
            <w:shd w:val="clear" w:color="auto" w:fill="CCEEFF"/>
          </w:tcPr>
          <w:p>
            <w:pPr>
              <w:spacing w:after="0"/>
              <w:rPr>
                <w:sz w:val="18"/>
                <w:szCs w:val="18"/>
                <w:color w:val="auto"/>
              </w:rPr>
            </w:pPr>
          </w:p>
        </w:tc>
        <w:tc>
          <w:tcPr>
            <w:tcW w:w="780" w:type="dxa"/>
            <w:vAlign w:val="bottom"/>
            <w:gridSpan w:val="3"/>
            <w:shd w:val="clear" w:color="auto" w:fill="CCEEFF"/>
          </w:tcPr>
          <w:p>
            <w:pPr>
              <w:jc w:val="right"/>
              <w:ind w:right="120"/>
              <w:spacing w:after="0"/>
              <w:rPr>
                <w:sz w:val="20"/>
                <w:szCs w:val="20"/>
                <w:color w:val="auto"/>
              </w:rPr>
            </w:pPr>
            <w:r>
              <w:rPr>
                <w:rFonts w:ascii="Arial" w:cs="Arial" w:eastAsia="Arial" w:hAnsi="Arial"/>
                <w:sz w:val="18"/>
                <w:szCs w:val="18"/>
                <w:color w:val="auto"/>
              </w:rPr>
              <w:t>(6,975)</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(6,975)</w:t>
            </w: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5440" w:type="dxa"/>
            <w:vAlign w:val="bottom"/>
            <w:gridSpan w:val="2"/>
          </w:tcPr>
          <w:p>
            <w:pPr>
              <w:spacing w:after="0"/>
              <w:rPr>
                <w:sz w:val="20"/>
                <w:szCs w:val="20"/>
                <w:color w:val="auto"/>
              </w:rPr>
            </w:pPr>
            <w:r>
              <w:rPr>
                <w:rFonts w:ascii="Arial" w:cs="Arial" w:eastAsia="Arial" w:hAnsi="Arial"/>
                <w:sz w:val="18"/>
                <w:szCs w:val="18"/>
                <w:color w:val="auto"/>
              </w:rPr>
              <w:t>Non-GAAP net income</w:t>
            </w:r>
          </w:p>
        </w:tc>
        <w:tc>
          <w:tcPr>
            <w:tcW w:w="12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9"/>
              </w:rPr>
              <w:t>150,974</w:t>
            </w:r>
          </w:p>
        </w:tc>
        <w:tc>
          <w:tcPr>
            <w:tcW w:w="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4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rPr>
              <w:t>$</w:t>
            </w:r>
          </w:p>
        </w:tc>
        <w:tc>
          <w:tcPr>
            <w:tcW w:w="6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5"/>
              </w:rPr>
              <w:t>163,370</w:t>
            </w:r>
          </w:p>
        </w:tc>
        <w:tc>
          <w:tcPr>
            <w:tcW w:w="3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2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9"/>
              </w:rPr>
              <w:t>104,363</w:t>
            </w:r>
          </w:p>
        </w:tc>
        <w:tc>
          <w:tcPr>
            <w:tcW w:w="3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530,325</w:t>
            </w:r>
          </w:p>
        </w:tc>
        <w:tc>
          <w:tcPr>
            <w:tcW w:w="48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497,931</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4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5420" w:type="dxa"/>
            <w:vAlign w:val="bottom"/>
            <w:shd w:val="clear" w:color="auto" w:fill="CCEEFF"/>
          </w:tcPr>
          <w:p>
            <w:pPr>
              <w:spacing w:after="0"/>
              <w:rPr>
                <w:sz w:val="20"/>
                <w:szCs w:val="20"/>
                <w:color w:val="auto"/>
              </w:rPr>
            </w:pPr>
            <w:r>
              <w:rPr>
                <w:rFonts w:ascii="Arial" w:cs="Arial" w:eastAsia="Arial" w:hAnsi="Arial"/>
                <w:sz w:val="18"/>
                <w:szCs w:val="18"/>
                <w:color w:val="auto"/>
              </w:rPr>
              <w:t>GAAP weighted average shares - diluted</w:t>
            </w:r>
          </w:p>
        </w:tc>
        <w:tc>
          <w:tcPr>
            <w:tcW w:w="12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510,449</w:t>
            </w:r>
          </w:p>
        </w:tc>
        <w:tc>
          <w:tcPr>
            <w:tcW w:w="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501,189</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9"/>
              </w:rPr>
              <w:t>528,082</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504,413</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563,123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20" w:type="dxa"/>
            <w:vAlign w:val="bottom"/>
          </w:tcPr>
          <w:p>
            <w:pPr>
              <w:ind w:left="340"/>
              <w:spacing w:after="0"/>
              <w:rPr>
                <w:sz w:val="20"/>
                <w:szCs w:val="20"/>
                <w:color w:val="auto"/>
              </w:rPr>
            </w:pPr>
            <w:r>
              <w:rPr>
                <w:rFonts w:ascii="Arial" w:cs="Arial" w:eastAsia="Arial" w:hAnsi="Arial"/>
                <w:sz w:val="18"/>
                <w:szCs w:val="18"/>
                <w:color w:val="auto"/>
              </w:rPr>
              <w:t>Non-GAAP adjustment</w:t>
            </w:r>
          </w:p>
        </w:tc>
        <w:tc>
          <w:tcPr>
            <w:tcW w:w="12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12,932</w:t>
            </w:r>
          </w:p>
        </w:tc>
        <w:tc>
          <w:tcPr>
            <w:tcW w:w="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20" w:type="dxa"/>
            <w:vAlign w:val="bottom"/>
            <w:gridSpan w:val="2"/>
          </w:tcPr>
          <w:p>
            <w:pPr>
              <w:jc w:val="right"/>
              <w:ind w:right="380"/>
              <w:spacing w:after="0"/>
              <w:rPr>
                <w:sz w:val="20"/>
                <w:szCs w:val="20"/>
                <w:color w:val="auto"/>
              </w:rPr>
            </w:pPr>
            <w:r>
              <w:rPr>
                <w:rFonts w:ascii="Arial" w:cs="Arial" w:eastAsia="Arial" w:hAnsi="Arial"/>
                <w:sz w:val="18"/>
                <w:szCs w:val="18"/>
                <w:color w:val="auto"/>
              </w:rPr>
              <w:t>13,014</w:t>
            </w: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gridSpan w:val="2"/>
          </w:tcPr>
          <w:p>
            <w:pPr>
              <w:jc w:val="right"/>
              <w:ind w:right="320"/>
              <w:spacing w:after="0"/>
              <w:rPr>
                <w:sz w:val="20"/>
                <w:szCs w:val="20"/>
                <w:color w:val="auto"/>
              </w:rPr>
            </w:pPr>
            <w:r>
              <w:rPr>
                <w:rFonts w:ascii="Arial" w:cs="Arial" w:eastAsia="Arial" w:hAnsi="Arial"/>
                <w:sz w:val="18"/>
                <w:szCs w:val="18"/>
                <w:color w:val="auto"/>
              </w:rPr>
              <w:t>16,196</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480"/>
              <w:spacing w:after="0"/>
              <w:rPr>
                <w:sz w:val="20"/>
                <w:szCs w:val="20"/>
                <w:color w:val="auto"/>
              </w:rPr>
            </w:pPr>
            <w:r>
              <w:rPr>
                <w:rFonts w:ascii="Arial" w:cs="Arial" w:eastAsia="Arial" w:hAnsi="Arial"/>
                <w:sz w:val="18"/>
                <w:szCs w:val="18"/>
                <w:color w:val="auto"/>
              </w:rPr>
              <w:t>14,515</w:t>
            </w:r>
          </w:p>
        </w:tc>
        <w:tc>
          <w:tcPr>
            <w:tcW w:w="100" w:type="dxa"/>
            <w:vAlign w:val="bottom"/>
          </w:tcPr>
          <w:p>
            <w:pPr>
              <w:spacing w:after="0"/>
              <w:rPr>
                <w:sz w:val="18"/>
                <w:szCs w:val="18"/>
                <w:color w:val="auto"/>
              </w:rPr>
            </w:pPr>
          </w:p>
        </w:tc>
        <w:tc>
          <w:tcPr>
            <w:tcW w:w="920" w:type="dxa"/>
            <w:vAlign w:val="bottom"/>
            <w:gridSpan w:val="2"/>
          </w:tcPr>
          <w:p>
            <w:pPr>
              <w:jc w:val="right"/>
              <w:ind w:right="200"/>
              <w:spacing w:after="0"/>
              <w:rPr>
                <w:sz w:val="20"/>
                <w:szCs w:val="20"/>
                <w:color w:val="auto"/>
              </w:rPr>
            </w:pPr>
            <w:r>
              <w:rPr>
                <w:rFonts w:ascii="Arial" w:cs="Arial" w:eastAsia="Arial" w:hAnsi="Arial"/>
                <w:sz w:val="18"/>
                <w:szCs w:val="18"/>
                <w:color w:val="auto"/>
              </w:rPr>
              <w:t>15,442</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42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20" w:type="dxa"/>
            <w:vAlign w:val="bottom"/>
          </w:tcPr>
          <w:p>
            <w:pPr>
              <w:spacing w:after="0"/>
              <w:rPr>
                <w:sz w:val="2"/>
                <w:szCs w:val="2"/>
                <w:color w:val="auto"/>
              </w:rPr>
            </w:pPr>
          </w:p>
        </w:tc>
        <w:tc>
          <w:tcPr>
            <w:tcW w:w="160" w:type="dxa"/>
            <w:vAlign w:val="bottom"/>
          </w:tcPr>
          <w:p>
            <w:pPr>
              <w:spacing w:after="0"/>
              <w:rPr>
                <w:sz w:val="2"/>
                <w:szCs w:val="2"/>
                <w:color w:val="auto"/>
              </w:rPr>
            </w:pPr>
          </w:p>
        </w:tc>
        <w:tc>
          <w:tcPr>
            <w:tcW w:w="30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4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420" w:type="dxa"/>
            <w:vAlign w:val="bottom"/>
            <w:shd w:val="clear" w:color="auto" w:fill="CCEEFF"/>
          </w:tcPr>
          <w:p>
            <w:pPr>
              <w:spacing w:after="0"/>
              <w:rPr>
                <w:sz w:val="20"/>
                <w:szCs w:val="20"/>
                <w:color w:val="auto"/>
              </w:rPr>
            </w:pPr>
            <w:r>
              <w:rPr>
                <w:rFonts w:ascii="Arial" w:cs="Arial" w:eastAsia="Arial" w:hAnsi="Arial"/>
                <w:sz w:val="18"/>
                <w:szCs w:val="18"/>
                <w:color w:val="auto"/>
              </w:rPr>
              <w:t xml:space="preserve">Non-GAAP weighted average shares diluted </w:t>
            </w:r>
            <w:r>
              <w:rPr>
                <w:rFonts w:ascii="Arial" w:cs="Arial" w:eastAsia="Arial" w:hAnsi="Arial"/>
                <w:sz w:val="18"/>
                <w:szCs w:val="18"/>
                <w:i w:val="1"/>
                <w:iCs w:val="1"/>
                <w:color w:val="auto"/>
              </w:rPr>
              <w:t>(d)</w:t>
            </w:r>
          </w:p>
        </w:tc>
        <w:tc>
          <w:tcPr>
            <w:tcW w:w="12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523,381</w:t>
            </w:r>
          </w:p>
        </w:tc>
        <w:tc>
          <w:tcPr>
            <w:tcW w:w="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514,203</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9"/>
              </w:rPr>
              <w:t>544,278</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518,928</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578,565</w:t>
            </w:r>
          </w:p>
        </w:tc>
        <w:tc>
          <w:tcPr>
            <w:tcW w:w="0" w:type="dxa"/>
            <w:vAlign w:val="bottom"/>
          </w:tcPr>
          <w:p>
            <w:pPr>
              <w:spacing w:after="0"/>
              <w:rPr>
                <w:sz w:val="1"/>
                <w:szCs w:val="1"/>
                <w:color w:val="auto"/>
              </w:rPr>
            </w:pPr>
          </w:p>
        </w:tc>
      </w:tr>
      <w:tr>
        <w:trPr>
          <w:trHeight w:val="20"/>
        </w:trPr>
        <w:tc>
          <w:tcPr>
            <w:tcW w:w="5440" w:type="dxa"/>
            <w:vAlign w:val="bottom"/>
            <w:gridSpan w:val="2"/>
            <w:vMerge w:val="restart"/>
          </w:tcPr>
          <w:p>
            <w:pPr>
              <w:spacing w:after="0"/>
              <w:rPr>
                <w:sz w:val="20"/>
                <w:szCs w:val="20"/>
                <w:color w:val="auto"/>
              </w:rPr>
            </w:pPr>
            <w:r>
              <w:rPr>
                <w:rFonts w:ascii="Arial" w:cs="Arial" w:eastAsia="Arial" w:hAnsi="Arial"/>
                <w:sz w:val="18"/>
                <w:szCs w:val="18"/>
                <w:color w:val="auto"/>
              </w:rPr>
              <w:t>GAAP diluted net income per share</w:t>
            </w:r>
          </w:p>
        </w:tc>
        <w:tc>
          <w:tcPr>
            <w:tcW w:w="12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5440" w:type="dxa"/>
            <w:vAlign w:val="bottom"/>
            <w:gridSpan w:val="2"/>
            <w:vMerge w:val="continue"/>
          </w:tcPr>
          <w:p>
            <w:pPr>
              <w:spacing w:after="0"/>
              <w:rPr>
                <w:sz w:val="18"/>
                <w:szCs w:val="18"/>
                <w:color w:val="auto"/>
              </w:rPr>
            </w:pPr>
          </w:p>
        </w:tc>
        <w:tc>
          <w:tcPr>
            <w:tcW w:w="120" w:type="dxa"/>
            <w:vAlign w:val="bottom"/>
            <w:tcBorders>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6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0.21</w:t>
            </w:r>
          </w:p>
        </w:tc>
        <w:tc>
          <w:tcPr>
            <w:tcW w:w="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w:t>
            </w:r>
          </w:p>
        </w:tc>
        <w:tc>
          <w:tcPr>
            <w:tcW w:w="6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0.21</w:t>
            </w: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Borders>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6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0.09</w:t>
            </w:r>
          </w:p>
        </w:tc>
        <w:tc>
          <w:tcPr>
            <w:tcW w:w="3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0.64</w:t>
            </w:r>
          </w:p>
        </w:tc>
        <w:tc>
          <w:tcPr>
            <w:tcW w:w="480" w:type="dxa"/>
            <w:vAlign w:val="bottom"/>
          </w:tcPr>
          <w:p>
            <w:pPr>
              <w:spacing w:after="0"/>
              <w:rPr>
                <w:sz w:val="18"/>
                <w:szCs w:val="18"/>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0.54</w:t>
            </w: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4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5420" w:type="dxa"/>
            <w:vAlign w:val="bottom"/>
            <w:shd w:val="clear" w:color="auto" w:fill="CCEEFF"/>
          </w:tcPr>
          <w:p>
            <w:pPr>
              <w:spacing w:after="0"/>
              <w:rPr>
                <w:sz w:val="20"/>
                <w:szCs w:val="20"/>
                <w:color w:val="auto"/>
              </w:rPr>
            </w:pPr>
            <w:r>
              <w:rPr>
                <w:rFonts w:ascii="Arial" w:cs="Arial" w:eastAsia="Arial" w:hAnsi="Arial"/>
                <w:sz w:val="18"/>
                <w:szCs w:val="18"/>
                <w:color w:val="auto"/>
              </w:rPr>
              <w:t>Non-GAAP diluted net income per share</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0.29</w:t>
            </w:r>
          </w:p>
        </w:tc>
        <w:tc>
          <w:tcPr>
            <w:tcW w:w="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44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rPr>
              <w:t>$</w:t>
            </w:r>
          </w:p>
        </w:tc>
        <w:tc>
          <w:tcPr>
            <w:tcW w:w="102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0.32</w:t>
            </w:r>
          </w:p>
        </w:tc>
        <w:tc>
          <w:tcPr>
            <w:tcW w:w="220" w:type="dxa"/>
            <w:vAlign w:val="bottom"/>
            <w:gridSpan w:val="2"/>
            <w:shd w:val="clear" w:color="auto" w:fill="CCEEFF"/>
          </w:tcPr>
          <w:p>
            <w:pPr>
              <w:ind w:left="100"/>
              <w:spacing w:after="0"/>
              <w:rPr>
                <w:sz w:val="20"/>
                <w:szCs w:val="20"/>
                <w:color w:val="auto"/>
              </w:rPr>
            </w:pPr>
            <w:r>
              <w:rPr>
                <w:rFonts w:ascii="Arial" w:cs="Arial" w:eastAsia="Arial" w:hAnsi="Arial"/>
                <w:sz w:val="18"/>
                <w:szCs w:val="18"/>
                <w:color w:val="auto"/>
                <w:w w:val="99"/>
              </w:rPr>
              <w:t>$</w:t>
            </w:r>
          </w:p>
        </w:tc>
        <w:tc>
          <w:tcPr>
            <w:tcW w:w="9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0.19</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0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1.02</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0.86</w:t>
            </w:r>
          </w:p>
        </w:tc>
        <w:tc>
          <w:tcPr>
            <w:tcW w:w="0" w:type="dxa"/>
            <w:vAlign w:val="bottom"/>
          </w:tcPr>
          <w:p>
            <w:pPr>
              <w:spacing w:after="0"/>
              <w:rPr>
                <w:sz w:val="1"/>
                <w:szCs w:val="1"/>
                <w:color w:val="auto"/>
              </w:rPr>
            </w:pPr>
          </w:p>
        </w:tc>
      </w:tr>
      <w:tr>
        <w:trPr>
          <w:trHeight w:val="20"/>
        </w:trPr>
        <w:tc>
          <w:tcPr>
            <w:tcW w:w="5440" w:type="dxa"/>
            <w:vAlign w:val="bottom"/>
            <w:gridSpan w:val="2"/>
            <w:vMerge w:val="restart"/>
          </w:tcPr>
          <w:p>
            <w:pPr>
              <w:spacing w:after="0"/>
              <w:rPr>
                <w:sz w:val="20"/>
                <w:szCs w:val="20"/>
                <w:color w:val="auto"/>
              </w:rPr>
            </w:pPr>
            <w:r>
              <w:rPr>
                <w:rFonts w:ascii="Arial" w:cs="Arial" w:eastAsia="Arial" w:hAnsi="Arial"/>
                <w:sz w:val="18"/>
                <w:szCs w:val="18"/>
                <w:color w:val="auto"/>
              </w:rPr>
              <w:t>GAAP gross profit:</w:t>
            </w:r>
          </w:p>
        </w:tc>
        <w:tc>
          <w:tcPr>
            <w:tcW w:w="12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5440" w:type="dxa"/>
            <w:vAlign w:val="bottom"/>
            <w:gridSpan w:val="2"/>
            <w:vMerge w:val="continue"/>
          </w:tcPr>
          <w:p>
            <w:pPr>
              <w:spacing w:after="0"/>
              <w:rPr>
                <w:sz w:val="18"/>
                <w:szCs w:val="18"/>
                <w:color w:val="auto"/>
              </w:rPr>
            </w:pP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600" w:type="dxa"/>
            <w:vAlign w:val="bottom"/>
          </w:tcPr>
          <w:p>
            <w:pPr>
              <w:jc w:val="right"/>
              <w:spacing w:after="0"/>
              <w:rPr>
                <w:sz w:val="20"/>
                <w:szCs w:val="20"/>
                <w:color w:val="auto"/>
              </w:rPr>
            </w:pPr>
            <w:r>
              <w:rPr>
                <w:rFonts w:ascii="Arial" w:cs="Arial" w:eastAsia="Arial" w:hAnsi="Arial"/>
                <w:sz w:val="18"/>
                <w:szCs w:val="18"/>
                <w:color w:val="auto"/>
                <w:w w:val="89"/>
              </w:rPr>
              <w:t>463,997</w:t>
            </w:r>
          </w:p>
        </w:tc>
        <w:tc>
          <w:tcPr>
            <w:tcW w:w="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640" w:type="dxa"/>
            <w:vAlign w:val="bottom"/>
          </w:tcPr>
          <w:p>
            <w:pPr>
              <w:jc w:val="right"/>
              <w:spacing w:after="0"/>
              <w:rPr>
                <w:sz w:val="20"/>
                <w:szCs w:val="20"/>
                <w:color w:val="auto"/>
              </w:rPr>
            </w:pPr>
            <w:r>
              <w:rPr>
                <w:rFonts w:ascii="Arial" w:cs="Arial" w:eastAsia="Arial" w:hAnsi="Arial"/>
                <w:sz w:val="18"/>
                <w:szCs w:val="18"/>
                <w:color w:val="auto"/>
                <w:w w:val="95"/>
              </w:rPr>
              <w:t>466,245</w:t>
            </w: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600" w:type="dxa"/>
            <w:vAlign w:val="bottom"/>
          </w:tcPr>
          <w:p>
            <w:pPr>
              <w:jc w:val="right"/>
              <w:spacing w:after="0"/>
              <w:rPr>
                <w:sz w:val="20"/>
                <w:szCs w:val="20"/>
                <w:color w:val="auto"/>
              </w:rPr>
            </w:pPr>
            <w:r>
              <w:rPr>
                <w:rFonts w:ascii="Arial" w:cs="Arial" w:eastAsia="Arial" w:hAnsi="Arial"/>
                <w:sz w:val="18"/>
                <w:szCs w:val="18"/>
                <w:color w:val="auto"/>
                <w:w w:val="89"/>
              </w:rPr>
              <w:t>404,461</w:t>
            </w:r>
          </w:p>
        </w:tc>
        <w:tc>
          <w:tcPr>
            <w:tcW w:w="3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1,750,170</w:t>
            </w:r>
          </w:p>
        </w:tc>
        <w:tc>
          <w:tcPr>
            <w:tcW w:w="48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1,675,133</w:t>
            </w: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Share-based compensation</w:t>
            </w:r>
          </w:p>
        </w:tc>
        <w:tc>
          <w:tcPr>
            <w:tcW w:w="12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2,597</w:t>
            </w:r>
          </w:p>
        </w:tc>
        <w:tc>
          <w:tcPr>
            <w:tcW w:w="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2,531</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2,300</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8,863</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8,142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20" w:type="dxa"/>
            <w:vAlign w:val="bottom"/>
          </w:tcPr>
          <w:p>
            <w:pPr>
              <w:ind w:left="340"/>
              <w:spacing w:after="0"/>
              <w:rPr>
                <w:sz w:val="20"/>
                <w:szCs w:val="20"/>
                <w:color w:val="auto"/>
              </w:rPr>
            </w:pPr>
            <w:r>
              <w:rPr>
                <w:rFonts w:ascii="Arial" w:cs="Arial" w:eastAsia="Arial" w:hAnsi="Arial"/>
                <w:sz w:val="18"/>
                <w:szCs w:val="18"/>
                <w:color w:val="auto"/>
              </w:rPr>
              <w:t xml:space="preserve">Acquisition-related costs </w:t>
            </w:r>
            <w:r>
              <w:rPr>
                <w:rFonts w:ascii="Arial" w:cs="Arial" w:eastAsia="Arial" w:hAnsi="Arial"/>
                <w:sz w:val="18"/>
                <w:szCs w:val="18"/>
                <w:i w:val="1"/>
                <w:iCs w:val="1"/>
                <w:color w:val="auto"/>
              </w:rPr>
              <w:t>(a)</w:t>
            </w:r>
          </w:p>
        </w:tc>
        <w:tc>
          <w:tcPr>
            <w:tcW w:w="120" w:type="dxa"/>
            <w:vAlign w:val="bottom"/>
          </w:tcPr>
          <w:p>
            <w:pPr>
              <w:spacing w:after="0"/>
              <w:rPr>
                <w:sz w:val="18"/>
                <w:szCs w:val="18"/>
                <w:color w:val="auto"/>
              </w:rPr>
            </w:pPr>
          </w:p>
        </w:tc>
        <w:tc>
          <w:tcPr>
            <w:tcW w:w="780" w:type="dxa"/>
            <w:vAlign w:val="bottom"/>
            <w:gridSpan w:val="3"/>
          </w:tcPr>
          <w:p>
            <w:pPr>
              <w:jc w:val="right"/>
              <w:ind w:right="26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20" w:type="dxa"/>
            <w:vAlign w:val="bottom"/>
            <w:gridSpan w:val="2"/>
          </w:tcPr>
          <w:p>
            <w:pPr>
              <w:jc w:val="right"/>
              <w:ind w:right="46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56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920" w:type="dxa"/>
            <w:vAlign w:val="bottom"/>
            <w:gridSpan w:val="2"/>
          </w:tcPr>
          <w:p>
            <w:pPr>
              <w:jc w:val="right"/>
              <w:ind w:right="200"/>
              <w:spacing w:after="0"/>
              <w:rPr>
                <w:sz w:val="20"/>
                <w:szCs w:val="20"/>
                <w:color w:val="auto"/>
              </w:rPr>
            </w:pPr>
            <w:r>
              <w:rPr>
                <w:rFonts w:ascii="Arial" w:cs="Arial" w:eastAsia="Arial" w:hAnsi="Arial"/>
                <w:sz w:val="18"/>
                <w:szCs w:val="18"/>
                <w:color w:val="auto"/>
              </w:rPr>
              <w:t>2,983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Amortization of acquired intangible assets</w:t>
            </w:r>
          </w:p>
        </w:tc>
        <w:tc>
          <w:tcPr>
            <w:tcW w:w="120" w:type="dxa"/>
            <w:vAlign w:val="bottom"/>
            <w:shd w:val="clear" w:color="auto" w:fill="CCEEFF"/>
          </w:tcPr>
          <w:p>
            <w:pPr>
              <w:spacing w:after="0"/>
              <w:rPr>
                <w:sz w:val="18"/>
                <w:szCs w:val="18"/>
                <w:color w:val="auto"/>
              </w:rPr>
            </w:pPr>
          </w:p>
        </w:tc>
        <w:tc>
          <w:tcPr>
            <w:tcW w:w="6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228</w:t>
            </w:r>
          </w:p>
        </w:tc>
        <w:tc>
          <w:tcPr>
            <w:tcW w:w="16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228</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20" w:type="dxa"/>
            <w:vAlign w:val="bottom"/>
          </w:tcPr>
          <w:p>
            <w:pPr>
              <w:ind w:left="340"/>
              <w:spacing w:after="0"/>
              <w:rPr>
                <w:sz w:val="20"/>
                <w:szCs w:val="20"/>
                <w:color w:val="auto"/>
              </w:rPr>
            </w:pPr>
            <w:r>
              <w:rPr>
                <w:rFonts w:ascii="Arial" w:cs="Arial" w:eastAsia="Arial" w:hAnsi="Arial"/>
                <w:sz w:val="18"/>
                <w:szCs w:val="18"/>
                <w:color w:val="auto"/>
              </w:rPr>
              <w:t xml:space="preserve">Legal/Tax related matters </w:t>
            </w:r>
            <w:r>
              <w:rPr>
                <w:rFonts w:ascii="Arial" w:cs="Arial" w:eastAsia="Arial" w:hAnsi="Arial"/>
                <w:sz w:val="18"/>
                <w:szCs w:val="18"/>
                <w:i w:val="1"/>
                <w:iCs w:val="1"/>
                <w:color w:val="auto"/>
              </w:rPr>
              <w:t>(c)</w:t>
            </w:r>
          </w:p>
        </w:tc>
        <w:tc>
          <w:tcPr>
            <w:tcW w:w="12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w:t>
            </w:r>
          </w:p>
        </w:tc>
        <w:tc>
          <w:tcPr>
            <w:tcW w:w="180" w:type="dxa"/>
            <w:vAlign w:val="bottom"/>
            <w:gridSpan w:val="2"/>
          </w:tcPr>
          <w:p>
            <w:pPr>
              <w:spacing w:after="0"/>
              <w:rPr>
                <w:sz w:val="18"/>
                <w:szCs w:val="18"/>
                <w:color w:val="auto"/>
              </w:rPr>
            </w:pP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w:t>
            </w: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gridSpan w:val="2"/>
          </w:tcPr>
          <w:p>
            <w:pPr>
              <w:jc w:val="right"/>
              <w:ind w:right="320"/>
              <w:spacing w:after="0"/>
              <w:rPr>
                <w:sz w:val="20"/>
                <w:szCs w:val="20"/>
                <w:color w:val="auto"/>
              </w:rPr>
            </w:pPr>
            <w:r>
              <w:rPr>
                <w:rFonts w:ascii="Arial" w:cs="Arial" w:eastAsia="Arial" w:hAnsi="Arial"/>
                <w:sz w:val="18"/>
                <w:szCs w:val="18"/>
                <w:color w:val="auto"/>
              </w:rPr>
              <w:t>5,698</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480"/>
              <w:spacing w:after="0"/>
              <w:rPr>
                <w:sz w:val="20"/>
                <w:szCs w:val="20"/>
                <w:color w:val="auto"/>
              </w:rPr>
            </w:pPr>
            <w:r>
              <w:rPr>
                <w:rFonts w:ascii="Arial" w:cs="Arial" w:eastAsia="Arial" w:hAnsi="Arial"/>
                <w:sz w:val="18"/>
                <w:szCs w:val="18"/>
                <w:color w:val="auto"/>
              </w:rPr>
              <w:t>4,728</w:t>
            </w:r>
          </w:p>
        </w:tc>
        <w:tc>
          <w:tcPr>
            <w:tcW w:w="100" w:type="dxa"/>
            <w:vAlign w:val="bottom"/>
          </w:tcPr>
          <w:p>
            <w:pPr>
              <w:spacing w:after="0"/>
              <w:rPr>
                <w:sz w:val="18"/>
                <w:szCs w:val="18"/>
                <w:color w:val="auto"/>
              </w:rPr>
            </w:pPr>
          </w:p>
        </w:tc>
        <w:tc>
          <w:tcPr>
            <w:tcW w:w="920" w:type="dxa"/>
            <w:vAlign w:val="bottom"/>
            <w:gridSpan w:val="2"/>
          </w:tcPr>
          <w:p>
            <w:pPr>
              <w:jc w:val="right"/>
              <w:ind w:right="200"/>
              <w:spacing w:after="0"/>
              <w:rPr>
                <w:sz w:val="20"/>
                <w:szCs w:val="20"/>
                <w:color w:val="auto"/>
              </w:rPr>
            </w:pPr>
            <w:r>
              <w:rPr>
                <w:rFonts w:ascii="Arial" w:cs="Arial" w:eastAsia="Arial" w:hAnsi="Arial"/>
                <w:sz w:val="18"/>
                <w:szCs w:val="18"/>
                <w:color w:val="auto"/>
              </w:rPr>
              <w:t>5,698</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42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20" w:type="dxa"/>
            <w:vAlign w:val="bottom"/>
          </w:tcPr>
          <w:p>
            <w:pPr>
              <w:spacing w:after="0"/>
              <w:rPr>
                <w:sz w:val="2"/>
                <w:szCs w:val="2"/>
                <w:color w:val="auto"/>
              </w:rPr>
            </w:pPr>
          </w:p>
        </w:tc>
        <w:tc>
          <w:tcPr>
            <w:tcW w:w="160" w:type="dxa"/>
            <w:vAlign w:val="bottom"/>
          </w:tcPr>
          <w:p>
            <w:pPr>
              <w:spacing w:after="0"/>
              <w:rPr>
                <w:sz w:val="2"/>
                <w:szCs w:val="2"/>
                <w:color w:val="auto"/>
              </w:rPr>
            </w:pPr>
          </w:p>
        </w:tc>
        <w:tc>
          <w:tcPr>
            <w:tcW w:w="30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4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420" w:type="dxa"/>
            <w:vAlign w:val="bottom"/>
            <w:shd w:val="clear" w:color="auto" w:fill="CCEEFF"/>
          </w:tcPr>
          <w:p>
            <w:pPr>
              <w:spacing w:after="0"/>
              <w:rPr>
                <w:sz w:val="20"/>
                <w:szCs w:val="20"/>
                <w:color w:val="auto"/>
              </w:rPr>
            </w:pPr>
            <w:r>
              <w:rPr>
                <w:rFonts w:ascii="Arial" w:cs="Arial" w:eastAsia="Arial" w:hAnsi="Arial"/>
                <w:sz w:val="18"/>
                <w:szCs w:val="18"/>
                <w:color w:val="auto"/>
              </w:rPr>
              <w:t>Non-GAAP gross profit</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466,822</w:t>
            </w:r>
          </w:p>
        </w:tc>
        <w:tc>
          <w:tcPr>
            <w:tcW w:w="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44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468,776</w:t>
            </w:r>
          </w:p>
        </w:tc>
        <w:tc>
          <w:tcPr>
            <w:tcW w:w="380" w:type="dxa"/>
            <w:vAlign w:val="bottom"/>
            <w:shd w:val="clear" w:color="auto" w:fill="CCEEFF"/>
          </w:tcPr>
          <w:p>
            <w:pPr>
              <w:spacing w:after="0"/>
              <w:rPr>
                <w:sz w:val="18"/>
                <w:szCs w:val="18"/>
                <w:color w:val="auto"/>
              </w:rPr>
            </w:pPr>
          </w:p>
        </w:tc>
        <w:tc>
          <w:tcPr>
            <w:tcW w:w="220" w:type="dxa"/>
            <w:vAlign w:val="bottom"/>
            <w:gridSpan w:val="2"/>
            <w:shd w:val="clear" w:color="auto" w:fill="CCEEFF"/>
          </w:tcPr>
          <w:p>
            <w:pPr>
              <w:ind w:left="100"/>
              <w:spacing w:after="0"/>
              <w:rPr>
                <w:sz w:val="20"/>
                <w:szCs w:val="20"/>
                <w:color w:val="auto"/>
              </w:rPr>
            </w:pPr>
            <w:r>
              <w:rPr>
                <w:rFonts w:ascii="Arial" w:cs="Arial" w:eastAsia="Arial" w:hAnsi="Arial"/>
                <w:sz w:val="18"/>
                <w:szCs w:val="18"/>
                <w:color w:val="auto"/>
                <w:w w:val="99"/>
              </w:rPr>
              <w:t>$</w:t>
            </w:r>
          </w:p>
        </w:tc>
        <w:tc>
          <w:tcPr>
            <w:tcW w:w="9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9"/>
              </w:rPr>
              <w:t>412,459</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1,763,989</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9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7"/>
              </w:rPr>
              <w:t>1,691,956</w:t>
            </w:r>
          </w:p>
        </w:tc>
        <w:tc>
          <w:tcPr>
            <w:tcW w:w="0" w:type="dxa"/>
            <w:vAlign w:val="bottom"/>
          </w:tcPr>
          <w:p>
            <w:pPr>
              <w:spacing w:after="0"/>
              <w:rPr>
                <w:sz w:val="1"/>
                <w:szCs w:val="1"/>
                <w:color w:val="auto"/>
              </w:rPr>
            </w:pPr>
          </w:p>
        </w:tc>
      </w:tr>
      <w:tr>
        <w:trPr>
          <w:trHeight w:val="20"/>
        </w:trPr>
        <w:tc>
          <w:tcPr>
            <w:tcW w:w="5440" w:type="dxa"/>
            <w:vAlign w:val="bottom"/>
            <w:gridSpan w:val="2"/>
            <w:vMerge w:val="restart"/>
          </w:tcPr>
          <w:p>
            <w:pPr>
              <w:spacing w:after="0"/>
              <w:rPr>
                <w:sz w:val="20"/>
                <w:szCs w:val="20"/>
                <w:color w:val="auto"/>
              </w:rPr>
            </w:pPr>
            <w:r>
              <w:rPr>
                <w:rFonts w:ascii="Arial" w:cs="Arial" w:eastAsia="Arial" w:hAnsi="Arial"/>
                <w:sz w:val="18"/>
                <w:szCs w:val="18"/>
                <w:color w:val="auto"/>
              </w:rPr>
              <w:t>GAAP gross margin</w:t>
            </w:r>
          </w:p>
        </w:tc>
        <w:tc>
          <w:tcPr>
            <w:tcW w:w="12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5440" w:type="dxa"/>
            <w:vAlign w:val="bottom"/>
            <w:gridSpan w:val="2"/>
            <w:vMerge w:val="continue"/>
          </w:tcPr>
          <w:p>
            <w:pPr>
              <w:spacing w:after="0"/>
              <w:rPr>
                <w:sz w:val="18"/>
                <w:szCs w:val="18"/>
                <w:color w:val="auto"/>
              </w:rPr>
            </w:pPr>
          </w:p>
        </w:tc>
        <w:tc>
          <w:tcPr>
            <w:tcW w:w="120" w:type="dxa"/>
            <w:vAlign w:val="bottom"/>
          </w:tcPr>
          <w:p>
            <w:pPr>
              <w:spacing w:after="0"/>
              <w:rPr>
                <w:sz w:val="18"/>
                <w:szCs w:val="18"/>
                <w:color w:val="auto"/>
              </w:rPr>
            </w:pPr>
          </w:p>
        </w:tc>
        <w:tc>
          <w:tcPr>
            <w:tcW w:w="780" w:type="dxa"/>
            <w:vAlign w:val="bottom"/>
            <w:gridSpan w:val="3"/>
          </w:tcPr>
          <w:p>
            <w:pPr>
              <w:jc w:val="right"/>
              <w:ind w:right="20"/>
              <w:spacing w:after="0"/>
              <w:rPr>
                <w:sz w:val="20"/>
                <w:szCs w:val="20"/>
                <w:color w:val="auto"/>
              </w:rPr>
            </w:pPr>
            <w:r>
              <w:rPr>
                <w:rFonts w:ascii="Arial" w:cs="Arial" w:eastAsia="Arial" w:hAnsi="Arial"/>
                <w:sz w:val="18"/>
                <w:szCs w:val="18"/>
                <w:color w:val="auto"/>
              </w:rPr>
              <w:t>49.8%</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20" w:type="dxa"/>
            <w:vAlign w:val="bottom"/>
            <w:gridSpan w:val="2"/>
          </w:tcPr>
          <w:p>
            <w:pPr>
              <w:jc w:val="right"/>
              <w:ind w:right="220"/>
              <w:spacing w:after="0"/>
              <w:rPr>
                <w:sz w:val="20"/>
                <w:szCs w:val="20"/>
                <w:color w:val="auto"/>
              </w:rPr>
            </w:pPr>
            <w:r>
              <w:rPr>
                <w:rFonts w:ascii="Arial" w:cs="Arial" w:eastAsia="Arial" w:hAnsi="Arial"/>
                <w:sz w:val="18"/>
                <w:szCs w:val="18"/>
                <w:color w:val="auto"/>
              </w:rPr>
              <w:t>50.1%</w:t>
            </w: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gridSpan w:val="2"/>
          </w:tcPr>
          <w:p>
            <w:pPr>
              <w:jc w:val="right"/>
              <w:ind w:right="160"/>
              <w:spacing w:after="0"/>
              <w:rPr>
                <w:sz w:val="20"/>
                <w:szCs w:val="20"/>
                <w:color w:val="auto"/>
              </w:rPr>
            </w:pPr>
            <w:r>
              <w:rPr>
                <w:rFonts w:ascii="Arial" w:cs="Arial" w:eastAsia="Arial" w:hAnsi="Arial"/>
                <w:sz w:val="18"/>
                <w:szCs w:val="18"/>
                <w:color w:val="auto"/>
              </w:rPr>
              <w:t>52.2%</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320"/>
              <w:spacing w:after="0"/>
              <w:rPr>
                <w:sz w:val="20"/>
                <w:szCs w:val="20"/>
                <w:color w:val="auto"/>
              </w:rPr>
            </w:pPr>
            <w:r>
              <w:rPr>
                <w:rFonts w:ascii="Arial" w:cs="Arial" w:eastAsia="Arial" w:hAnsi="Arial"/>
                <w:sz w:val="18"/>
                <w:szCs w:val="18"/>
                <w:color w:val="auto"/>
              </w:rPr>
              <w:t>51.4%</w:t>
            </w:r>
          </w:p>
        </w:tc>
        <w:tc>
          <w:tcPr>
            <w:tcW w:w="100" w:type="dxa"/>
            <w:vAlign w:val="bottom"/>
          </w:tcPr>
          <w:p>
            <w:pPr>
              <w:spacing w:after="0"/>
              <w:rPr>
                <w:sz w:val="18"/>
                <w:szCs w:val="18"/>
                <w:color w:val="auto"/>
              </w:rPr>
            </w:pPr>
          </w:p>
        </w:tc>
        <w:tc>
          <w:tcPr>
            <w:tcW w:w="920" w:type="dxa"/>
            <w:vAlign w:val="bottom"/>
            <w:gridSpan w:val="2"/>
          </w:tcPr>
          <w:p>
            <w:pPr>
              <w:jc w:val="right"/>
              <w:ind w:right="60"/>
              <w:spacing w:after="0"/>
              <w:rPr>
                <w:sz w:val="20"/>
                <w:szCs w:val="20"/>
                <w:color w:val="auto"/>
              </w:rPr>
            </w:pPr>
            <w:r>
              <w:rPr>
                <w:rFonts w:ascii="Arial" w:cs="Arial" w:eastAsia="Arial" w:hAnsi="Arial"/>
                <w:sz w:val="18"/>
                <w:szCs w:val="18"/>
                <w:color w:val="auto"/>
              </w:rPr>
              <w:t>52.9%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Share-based compensation</w:t>
            </w:r>
          </w:p>
        </w:tc>
        <w:tc>
          <w:tcPr>
            <w:tcW w:w="120" w:type="dxa"/>
            <w:vAlign w:val="bottom"/>
            <w:shd w:val="clear" w:color="auto" w:fill="CCEEFF"/>
          </w:tcPr>
          <w:p>
            <w:pPr>
              <w:spacing w:after="0"/>
              <w:rPr>
                <w:sz w:val="18"/>
                <w:szCs w:val="18"/>
                <w:color w:val="auto"/>
              </w:rPr>
            </w:pPr>
          </w:p>
        </w:tc>
        <w:tc>
          <w:tcPr>
            <w:tcW w:w="780" w:type="dxa"/>
            <w:vAlign w:val="bottom"/>
            <w:gridSpan w:val="3"/>
            <w:shd w:val="clear" w:color="auto" w:fill="CCEEFF"/>
          </w:tcPr>
          <w:p>
            <w:pPr>
              <w:jc w:val="right"/>
              <w:ind w:right="20"/>
              <w:spacing w:after="0"/>
              <w:rPr>
                <w:sz w:val="20"/>
                <w:szCs w:val="20"/>
                <w:color w:val="auto"/>
              </w:rPr>
            </w:pPr>
            <w:r>
              <w:rPr>
                <w:rFonts w:ascii="Arial" w:cs="Arial" w:eastAsia="Arial" w:hAnsi="Arial"/>
                <w:sz w:val="18"/>
                <w:szCs w:val="18"/>
                <w:color w:val="auto"/>
              </w:rPr>
              <w:t>0.3%</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0.2%</w:t>
            </w: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0.3%</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0.3%</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0.2%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20" w:type="dxa"/>
            <w:vAlign w:val="bottom"/>
          </w:tcPr>
          <w:p>
            <w:pPr>
              <w:ind w:left="340"/>
              <w:spacing w:after="0"/>
              <w:rPr>
                <w:sz w:val="20"/>
                <w:szCs w:val="20"/>
                <w:color w:val="auto"/>
              </w:rPr>
            </w:pPr>
            <w:r>
              <w:rPr>
                <w:rFonts w:ascii="Arial" w:cs="Arial" w:eastAsia="Arial" w:hAnsi="Arial"/>
                <w:sz w:val="18"/>
                <w:szCs w:val="18"/>
                <w:color w:val="auto"/>
              </w:rPr>
              <w:t xml:space="preserve">Acquisition-related costs </w:t>
            </w:r>
            <w:r>
              <w:rPr>
                <w:rFonts w:ascii="Arial" w:cs="Arial" w:eastAsia="Arial" w:hAnsi="Arial"/>
                <w:sz w:val="18"/>
                <w:szCs w:val="18"/>
                <w:i w:val="1"/>
                <w:iCs w:val="1"/>
                <w:color w:val="auto"/>
              </w:rPr>
              <w:t>(a)</w:t>
            </w:r>
          </w:p>
        </w:tc>
        <w:tc>
          <w:tcPr>
            <w:tcW w:w="120" w:type="dxa"/>
            <w:vAlign w:val="bottom"/>
          </w:tcPr>
          <w:p>
            <w:pPr>
              <w:spacing w:after="0"/>
              <w:rPr>
                <w:sz w:val="18"/>
                <w:szCs w:val="18"/>
                <w:color w:val="auto"/>
              </w:rPr>
            </w:pPr>
          </w:p>
        </w:tc>
        <w:tc>
          <w:tcPr>
            <w:tcW w:w="780" w:type="dxa"/>
            <w:vAlign w:val="bottom"/>
            <w:gridSpan w:val="3"/>
          </w:tcPr>
          <w:p>
            <w:pPr>
              <w:jc w:val="right"/>
              <w:ind w:right="26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20" w:type="dxa"/>
            <w:vAlign w:val="bottom"/>
            <w:gridSpan w:val="2"/>
          </w:tcPr>
          <w:p>
            <w:pPr>
              <w:jc w:val="right"/>
              <w:ind w:right="46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56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920" w:type="dxa"/>
            <w:vAlign w:val="bottom"/>
            <w:gridSpan w:val="2"/>
          </w:tcPr>
          <w:p>
            <w:pPr>
              <w:jc w:val="right"/>
              <w:ind w:right="60"/>
              <w:spacing w:after="0"/>
              <w:rPr>
                <w:sz w:val="20"/>
                <w:szCs w:val="20"/>
                <w:color w:val="auto"/>
              </w:rPr>
            </w:pPr>
            <w:r>
              <w:rPr>
                <w:rFonts w:ascii="Arial" w:cs="Arial" w:eastAsia="Arial" w:hAnsi="Arial"/>
                <w:sz w:val="18"/>
                <w:szCs w:val="18"/>
                <w:color w:val="auto"/>
              </w:rPr>
              <w:t>0.1%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Amortization of acquired intangible assets</w:t>
            </w:r>
          </w:p>
        </w:tc>
        <w:tc>
          <w:tcPr>
            <w:tcW w:w="120" w:type="dxa"/>
            <w:vAlign w:val="bottom"/>
            <w:shd w:val="clear" w:color="auto" w:fill="CCEEFF"/>
          </w:tcPr>
          <w:p>
            <w:pPr>
              <w:spacing w:after="0"/>
              <w:rPr>
                <w:sz w:val="18"/>
                <w:szCs w:val="18"/>
                <w:color w:val="auto"/>
              </w:rPr>
            </w:pPr>
          </w:p>
        </w:tc>
        <w:tc>
          <w:tcPr>
            <w:tcW w:w="780" w:type="dxa"/>
            <w:vAlign w:val="bottom"/>
            <w:gridSpan w:val="3"/>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56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20" w:type="dxa"/>
            <w:vAlign w:val="bottom"/>
          </w:tcPr>
          <w:p>
            <w:pPr>
              <w:ind w:left="340"/>
              <w:spacing w:after="0"/>
              <w:rPr>
                <w:sz w:val="20"/>
                <w:szCs w:val="20"/>
                <w:color w:val="auto"/>
              </w:rPr>
            </w:pPr>
            <w:r>
              <w:rPr>
                <w:rFonts w:ascii="Arial" w:cs="Arial" w:eastAsia="Arial" w:hAnsi="Arial"/>
                <w:sz w:val="18"/>
                <w:szCs w:val="18"/>
                <w:color w:val="auto"/>
              </w:rPr>
              <w:t xml:space="preserve">Legal/Tax related matters </w:t>
            </w:r>
            <w:r>
              <w:rPr>
                <w:rFonts w:ascii="Arial" w:cs="Arial" w:eastAsia="Arial" w:hAnsi="Arial"/>
                <w:sz w:val="18"/>
                <w:szCs w:val="18"/>
                <w:i w:val="1"/>
                <w:iCs w:val="1"/>
                <w:color w:val="auto"/>
              </w:rPr>
              <w:t>(c)</w:t>
            </w:r>
          </w:p>
        </w:tc>
        <w:tc>
          <w:tcPr>
            <w:tcW w:w="12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w:t>
            </w:r>
          </w:p>
        </w:tc>
        <w:tc>
          <w:tcPr>
            <w:tcW w:w="180" w:type="dxa"/>
            <w:vAlign w:val="bottom"/>
            <w:gridSpan w:val="2"/>
          </w:tcPr>
          <w:p>
            <w:pPr>
              <w:spacing w:after="0"/>
              <w:rPr>
                <w:sz w:val="18"/>
                <w:szCs w:val="18"/>
                <w:color w:val="auto"/>
              </w:rPr>
            </w:pP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w:t>
            </w: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gridSpan w:val="2"/>
          </w:tcPr>
          <w:p>
            <w:pPr>
              <w:jc w:val="right"/>
              <w:ind w:right="160"/>
              <w:spacing w:after="0"/>
              <w:rPr>
                <w:sz w:val="20"/>
                <w:szCs w:val="20"/>
                <w:color w:val="auto"/>
              </w:rPr>
            </w:pPr>
            <w:r>
              <w:rPr>
                <w:rFonts w:ascii="Arial" w:cs="Arial" w:eastAsia="Arial" w:hAnsi="Arial"/>
                <w:sz w:val="18"/>
                <w:szCs w:val="18"/>
                <w:color w:val="auto"/>
              </w:rPr>
              <w:t>0.7%</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320"/>
              <w:spacing w:after="0"/>
              <w:rPr>
                <w:sz w:val="20"/>
                <w:szCs w:val="20"/>
                <w:color w:val="auto"/>
              </w:rPr>
            </w:pPr>
            <w:r>
              <w:rPr>
                <w:rFonts w:ascii="Arial" w:cs="Arial" w:eastAsia="Arial" w:hAnsi="Arial"/>
                <w:sz w:val="18"/>
                <w:szCs w:val="18"/>
                <w:color w:val="auto"/>
              </w:rPr>
              <w:t>0.1%</w:t>
            </w:r>
          </w:p>
        </w:tc>
        <w:tc>
          <w:tcPr>
            <w:tcW w:w="100" w:type="dxa"/>
            <w:vAlign w:val="bottom"/>
          </w:tcPr>
          <w:p>
            <w:pPr>
              <w:spacing w:after="0"/>
              <w:rPr>
                <w:sz w:val="18"/>
                <w:szCs w:val="18"/>
                <w:color w:val="auto"/>
              </w:rPr>
            </w:pPr>
          </w:p>
        </w:tc>
        <w:tc>
          <w:tcPr>
            <w:tcW w:w="920" w:type="dxa"/>
            <w:vAlign w:val="bottom"/>
            <w:gridSpan w:val="2"/>
          </w:tcPr>
          <w:p>
            <w:pPr>
              <w:jc w:val="right"/>
              <w:ind w:right="60"/>
              <w:spacing w:after="0"/>
              <w:rPr>
                <w:sz w:val="20"/>
                <w:szCs w:val="20"/>
                <w:color w:val="auto"/>
              </w:rPr>
            </w:pPr>
            <w:r>
              <w:rPr>
                <w:rFonts w:ascii="Arial" w:cs="Arial" w:eastAsia="Arial" w:hAnsi="Arial"/>
                <w:sz w:val="18"/>
                <w:szCs w:val="18"/>
                <w:color w:val="auto"/>
              </w:rPr>
              <w:t>0.2%</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42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20" w:type="dxa"/>
            <w:vAlign w:val="bottom"/>
          </w:tcPr>
          <w:p>
            <w:pPr>
              <w:spacing w:after="0"/>
              <w:rPr>
                <w:sz w:val="2"/>
                <w:szCs w:val="2"/>
                <w:color w:val="auto"/>
              </w:rPr>
            </w:pPr>
          </w:p>
        </w:tc>
        <w:tc>
          <w:tcPr>
            <w:tcW w:w="160" w:type="dxa"/>
            <w:vAlign w:val="bottom"/>
          </w:tcPr>
          <w:p>
            <w:pPr>
              <w:spacing w:after="0"/>
              <w:rPr>
                <w:sz w:val="2"/>
                <w:szCs w:val="2"/>
                <w:color w:val="auto"/>
              </w:rPr>
            </w:pPr>
          </w:p>
        </w:tc>
        <w:tc>
          <w:tcPr>
            <w:tcW w:w="30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4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420" w:type="dxa"/>
            <w:vAlign w:val="bottom"/>
            <w:shd w:val="clear" w:color="auto" w:fill="CCEEFF"/>
          </w:tcPr>
          <w:p>
            <w:pPr>
              <w:spacing w:after="0"/>
              <w:rPr>
                <w:sz w:val="20"/>
                <w:szCs w:val="20"/>
                <w:color w:val="auto"/>
              </w:rPr>
            </w:pPr>
            <w:r>
              <w:rPr>
                <w:rFonts w:ascii="Arial" w:cs="Arial" w:eastAsia="Arial" w:hAnsi="Arial"/>
                <w:sz w:val="18"/>
                <w:szCs w:val="18"/>
                <w:color w:val="auto"/>
              </w:rPr>
              <w:t>Non-GAAP gross margin</w:t>
            </w:r>
          </w:p>
        </w:tc>
        <w:tc>
          <w:tcPr>
            <w:tcW w:w="120" w:type="dxa"/>
            <w:vAlign w:val="bottom"/>
            <w:shd w:val="clear" w:color="auto" w:fill="CCEEFF"/>
          </w:tcPr>
          <w:p>
            <w:pPr>
              <w:spacing w:after="0"/>
              <w:rPr>
                <w:sz w:val="18"/>
                <w:szCs w:val="18"/>
                <w:color w:val="auto"/>
              </w:rPr>
            </w:pPr>
          </w:p>
        </w:tc>
        <w:tc>
          <w:tcPr>
            <w:tcW w:w="780" w:type="dxa"/>
            <w:vAlign w:val="bottom"/>
            <w:gridSpan w:val="3"/>
            <w:shd w:val="clear" w:color="auto" w:fill="CCEEFF"/>
          </w:tcPr>
          <w:p>
            <w:pPr>
              <w:jc w:val="right"/>
              <w:ind w:right="20"/>
              <w:spacing w:after="0"/>
              <w:rPr>
                <w:sz w:val="20"/>
                <w:szCs w:val="20"/>
                <w:color w:val="auto"/>
              </w:rPr>
            </w:pPr>
            <w:r>
              <w:rPr>
                <w:rFonts w:ascii="Arial" w:cs="Arial" w:eastAsia="Arial" w:hAnsi="Arial"/>
                <w:sz w:val="18"/>
                <w:szCs w:val="18"/>
                <w:color w:val="auto"/>
              </w:rPr>
              <w:t>50.1%</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50.3%</w:t>
            </w: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53.2%</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51.8%</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53.4%</w:t>
            </w:r>
          </w:p>
        </w:tc>
        <w:tc>
          <w:tcPr>
            <w:tcW w:w="0" w:type="dxa"/>
            <w:vAlign w:val="bottom"/>
          </w:tcPr>
          <w:p>
            <w:pPr>
              <w:spacing w:after="0"/>
              <w:rPr>
                <w:sz w:val="1"/>
                <w:szCs w:val="1"/>
                <w:color w:val="auto"/>
              </w:rPr>
            </w:pPr>
          </w:p>
        </w:tc>
      </w:tr>
      <w:tr>
        <w:trPr>
          <w:trHeight w:val="20"/>
        </w:trPr>
        <w:tc>
          <w:tcPr>
            <w:tcW w:w="5440" w:type="dxa"/>
            <w:vAlign w:val="bottom"/>
            <w:gridSpan w:val="2"/>
            <w:vMerge w:val="restart"/>
          </w:tcPr>
          <w:p>
            <w:pPr>
              <w:spacing w:after="0"/>
              <w:rPr>
                <w:sz w:val="20"/>
                <w:szCs w:val="20"/>
                <w:color w:val="auto"/>
              </w:rPr>
            </w:pPr>
            <w:r>
              <w:rPr>
                <w:rFonts w:ascii="Arial" w:cs="Arial" w:eastAsia="Arial" w:hAnsi="Arial"/>
                <w:sz w:val="18"/>
                <w:szCs w:val="18"/>
                <w:color w:val="auto"/>
              </w:rPr>
              <w:t>GAAP research and development:</w:t>
            </w:r>
          </w:p>
        </w:tc>
        <w:tc>
          <w:tcPr>
            <w:tcW w:w="12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5440" w:type="dxa"/>
            <w:vAlign w:val="bottom"/>
            <w:gridSpan w:val="2"/>
            <w:vMerge w:val="continue"/>
          </w:tcPr>
          <w:p>
            <w:pPr>
              <w:spacing w:after="0"/>
              <w:rPr>
                <w:sz w:val="18"/>
                <w:szCs w:val="18"/>
                <w:color w:val="auto"/>
              </w:rPr>
            </w:pP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600" w:type="dxa"/>
            <w:vAlign w:val="bottom"/>
          </w:tcPr>
          <w:p>
            <w:pPr>
              <w:jc w:val="right"/>
              <w:spacing w:after="0"/>
              <w:rPr>
                <w:sz w:val="20"/>
                <w:szCs w:val="20"/>
                <w:color w:val="auto"/>
              </w:rPr>
            </w:pPr>
            <w:r>
              <w:rPr>
                <w:rFonts w:ascii="Arial" w:cs="Arial" w:eastAsia="Arial" w:hAnsi="Arial"/>
                <w:sz w:val="18"/>
                <w:szCs w:val="18"/>
                <w:color w:val="auto"/>
                <w:w w:val="89"/>
              </w:rPr>
              <w:t>288,900</w:t>
            </w:r>
          </w:p>
        </w:tc>
        <w:tc>
          <w:tcPr>
            <w:tcW w:w="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640" w:type="dxa"/>
            <w:vAlign w:val="bottom"/>
          </w:tcPr>
          <w:p>
            <w:pPr>
              <w:jc w:val="right"/>
              <w:spacing w:after="0"/>
              <w:rPr>
                <w:sz w:val="20"/>
                <w:szCs w:val="20"/>
                <w:color w:val="auto"/>
              </w:rPr>
            </w:pPr>
            <w:r>
              <w:rPr>
                <w:rFonts w:ascii="Arial" w:cs="Arial" w:eastAsia="Arial" w:hAnsi="Arial"/>
                <w:sz w:val="18"/>
                <w:szCs w:val="18"/>
                <w:color w:val="auto"/>
                <w:w w:val="95"/>
              </w:rPr>
              <w:t>296,291</w:t>
            </w: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600" w:type="dxa"/>
            <w:vAlign w:val="bottom"/>
          </w:tcPr>
          <w:p>
            <w:pPr>
              <w:jc w:val="right"/>
              <w:spacing w:after="0"/>
              <w:rPr>
                <w:sz w:val="20"/>
                <w:szCs w:val="20"/>
                <w:color w:val="auto"/>
              </w:rPr>
            </w:pPr>
            <w:r>
              <w:rPr>
                <w:rFonts w:ascii="Arial" w:cs="Arial" w:eastAsia="Arial" w:hAnsi="Arial"/>
                <w:sz w:val="18"/>
                <w:szCs w:val="18"/>
                <w:color w:val="auto"/>
                <w:w w:val="89"/>
              </w:rPr>
              <w:t>273,685</w:t>
            </w:r>
          </w:p>
        </w:tc>
        <w:tc>
          <w:tcPr>
            <w:tcW w:w="3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1,156,885</w:t>
            </w:r>
          </w:p>
        </w:tc>
        <w:tc>
          <w:tcPr>
            <w:tcW w:w="48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1,057,445</w:t>
            </w: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Share-based compensation</w:t>
            </w:r>
          </w:p>
        </w:tc>
        <w:tc>
          <w:tcPr>
            <w:tcW w:w="120" w:type="dxa"/>
            <w:vAlign w:val="bottom"/>
            <w:shd w:val="clear" w:color="auto" w:fill="CCEEFF"/>
          </w:tcPr>
          <w:p>
            <w:pPr>
              <w:spacing w:after="0"/>
              <w:rPr>
                <w:sz w:val="18"/>
                <w:szCs w:val="18"/>
                <w:color w:val="auto"/>
              </w:rPr>
            </w:pPr>
          </w:p>
        </w:tc>
        <w:tc>
          <w:tcPr>
            <w:tcW w:w="780" w:type="dxa"/>
            <w:vAlign w:val="bottom"/>
            <w:gridSpan w:val="3"/>
            <w:shd w:val="clear" w:color="auto" w:fill="CCEEFF"/>
          </w:tcPr>
          <w:p>
            <w:pPr>
              <w:jc w:val="right"/>
              <w:ind w:right="120"/>
              <w:spacing w:after="0"/>
              <w:rPr>
                <w:sz w:val="20"/>
                <w:szCs w:val="20"/>
                <w:color w:val="auto"/>
              </w:rPr>
            </w:pPr>
            <w:r>
              <w:rPr>
                <w:rFonts w:ascii="Arial" w:cs="Arial" w:eastAsia="Arial" w:hAnsi="Arial"/>
                <w:sz w:val="18"/>
                <w:szCs w:val="18"/>
                <w:color w:val="auto"/>
                <w:w w:val="95"/>
              </w:rPr>
              <w:t>(27,087)</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(30,084)</w:t>
            </w: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w w:val="95"/>
              </w:rPr>
              <w:t>(24,997)</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w w:val="98"/>
              </w:rPr>
              <w:t>(109,432)</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(87,149)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20" w:type="dxa"/>
            <w:vAlign w:val="bottom"/>
          </w:tcPr>
          <w:p>
            <w:pPr>
              <w:ind w:left="340"/>
              <w:spacing w:after="0"/>
              <w:rPr>
                <w:sz w:val="20"/>
                <w:szCs w:val="20"/>
                <w:color w:val="auto"/>
              </w:rPr>
            </w:pPr>
            <w:r>
              <w:rPr>
                <w:rFonts w:ascii="Arial" w:cs="Arial" w:eastAsia="Arial" w:hAnsi="Arial"/>
                <w:sz w:val="18"/>
                <w:szCs w:val="18"/>
                <w:color w:val="auto"/>
              </w:rPr>
              <w:t xml:space="preserve">Acquisition-related costs </w:t>
            </w:r>
            <w:r>
              <w:rPr>
                <w:rFonts w:ascii="Arial" w:cs="Arial" w:eastAsia="Arial" w:hAnsi="Arial"/>
                <w:sz w:val="18"/>
                <w:szCs w:val="18"/>
                <w:i w:val="1"/>
                <w:iCs w:val="1"/>
                <w:color w:val="auto"/>
              </w:rPr>
              <w:t>(a)</w:t>
            </w:r>
          </w:p>
        </w:tc>
        <w:tc>
          <w:tcPr>
            <w:tcW w:w="120" w:type="dxa"/>
            <w:vAlign w:val="bottom"/>
          </w:tcPr>
          <w:p>
            <w:pPr>
              <w:spacing w:after="0"/>
              <w:rPr>
                <w:sz w:val="18"/>
                <w:szCs w:val="18"/>
                <w:color w:val="auto"/>
              </w:rPr>
            </w:pPr>
          </w:p>
        </w:tc>
        <w:tc>
          <w:tcPr>
            <w:tcW w:w="780" w:type="dxa"/>
            <w:vAlign w:val="bottom"/>
            <w:gridSpan w:val="3"/>
          </w:tcPr>
          <w:p>
            <w:pPr>
              <w:jc w:val="right"/>
              <w:ind w:right="120"/>
              <w:spacing w:after="0"/>
              <w:rPr>
                <w:sz w:val="20"/>
                <w:szCs w:val="20"/>
                <w:color w:val="auto"/>
              </w:rPr>
            </w:pPr>
            <w:r>
              <w:rPr>
                <w:rFonts w:ascii="Arial" w:cs="Arial" w:eastAsia="Arial" w:hAnsi="Arial"/>
                <w:sz w:val="18"/>
                <w:szCs w:val="18"/>
                <w:color w:val="auto"/>
              </w:rPr>
              <w:t>(116)</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20" w:type="dxa"/>
            <w:vAlign w:val="bottom"/>
            <w:gridSpan w:val="2"/>
          </w:tcPr>
          <w:p>
            <w:pPr>
              <w:jc w:val="right"/>
              <w:ind w:right="320"/>
              <w:spacing w:after="0"/>
              <w:rPr>
                <w:sz w:val="20"/>
                <w:szCs w:val="20"/>
                <w:color w:val="auto"/>
              </w:rPr>
            </w:pPr>
            <w:r>
              <w:rPr>
                <w:rFonts w:ascii="Arial" w:cs="Arial" w:eastAsia="Arial" w:hAnsi="Arial"/>
                <w:sz w:val="18"/>
                <w:szCs w:val="18"/>
                <w:color w:val="auto"/>
              </w:rPr>
              <w:t>(414)</w:t>
            </w: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gridSpan w:val="2"/>
          </w:tcPr>
          <w:p>
            <w:pPr>
              <w:jc w:val="right"/>
              <w:ind w:right="260"/>
              <w:spacing w:after="0"/>
              <w:rPr>
                <w:sz w:val="20"/>
                <w:szCs w:val="20"/>
                <w:color w:val="auto"/>
              </w:rPr>
            </w:pPr>
            <w:r>
              <w:rPr>
                <w:rFonts w:ascii="Arial" w:cs="Arial" w:eastAsia="Arial" w:hAnsi="Arial"/>
                <w:sz w:val="18"/>
                <w:szCs w:val="18"/>
                <w:color w:val="auto"/>
              </w:rPr>
              <w:t>(262)</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480"/>
              <w:spacing w:after="0"/>
              <w:rPr>
                <w:sz w:val="20"/>
                <w:szCs w:val="20"/>
                <w:color w:val="auto"/>
              </w:rPr>
            </w:pPr>
            <w:r>
              <w:rPr>
                <w:rFonts w:ascii="Arial" w:cs="Arial" w:eastAsia="Arial" w:hAnsi="Arial"/>
                <w:sz w:val="18"/>
                <w:szCs w:val="18"/>
                <w:color w:val="auto"/>
              </w:rPr>
              <w:t>205</w:t>
            </w:r>
          </w:p>
        </w:tc>
        <w:tc>
          <w:tcPr>
            <w:tcW w:w="100" w:type="dxa"/>
            <w:vAlign w:val="bottom"/>
          </w:tcPr>
          <w:p>
            <w:pPr>
              <w:spacing w:after="0"/>
              <w:rPr>
                <w:sz w:val="18"/>
                <w:szCs w:val="18"/>
                <w:color w:val="auto"/>
              </w:rPr>
            </w:pPr>
          </w:p>
        </w:tc>
        <w:tc>
          <w:tcPr>
            <w:tcW w:w="920" w:type="dxa"/>
            <w:vAlign w:val="bottom"/>
            <w:gridSpan w:val="2"/>
          </w:tcPr>
          <w:p>
            <w:pPr>
              <w:jc w:val="right"/>
              <w:ind w:right="140"/>
              <w:spacing w:after="0"/>
              <w:rPr>
                <w:sz w:val="20"/>
                <w:szCs w:val="20"/>
                <w:color w:val="auto"/>
              </w:rPr>
            </w:pPr>
            <w:r>
              <w:rPr>
                <w:rFonts w:ascii="Arial" w:cs="Arial" w:eastAsia="Arial" w:hAnsi="Arial"/>
                <w:sz w:val="18"/>
                <w:szCs w:val="18"/>
                <w:color w:val="auto"/>
              </w:rPr>
              <w:t>(1,628)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 xml:space="preserve">Restructuring and other exit-related costs </w:t>
            </w:r>
            <w:r>
              <w:rPr>
                <w:rFonts w:ascii="Arial" w:cs="Arial" w:eastAsia="Arial" w:hAnsi="Arial"/>
                <w:sz w:val="18"/>
                <w:szCs w:val="18"/>
                <w:i w:val="1"/>
                <w:iCs w:val="1"/>
                <w:color w:val="auto"/>
              </w:rPr>
              <w:t>(b)</w:t>
            </w:r>
          </w:p>
        </w:tc>
        <w:tc>
          <w:tcPr>
            <w:tcW w:w="120" w:type="dxa"/>
            <w:vAlign w:val="bottom"/>
            <w:shd w:val="clear" w:color="auto" w:fill="CCEEFF"/>
          </w:tcPr>
          <w:p>
            <w:pPr>
              <w:spacing w:after="0"/>
              <w:rPr>
                <w:sz w:val="18"/>
                <w:szCs w:val="18"/>
                <w:color w:val="auto"/>
              </w:rPr>
            </w:pPr>
          </w:p>
        </w:tc>
        <w:tc>
          <w:tcPr>
            <w:tcW w:w="780" w:type="dxa"/>
            <w:vAlign w:val="bottom"/>
            <w:gridSpan w:val="3"/>
            <w:shd w:val="clear" w:color="auto" w:fill="CCEEFF"/>
          </w:tcPr>
          <w:p>
            <w:pPr>
              <w:jc w:val="right"/>
              <w:ind w:right="120"/>
              <w:spacing w:after="0"/>
              <w:rPr>
                <w:sz w:val="20"/>
                <w:szCs w:val="20"/>
                <w:color w:val="auto"/>
              </w:rPr>
            </w:pPr>
            <w:r>
              <w:rPr>
                <w:rFonts w:ascii="Arial" w:cs="Arial" w:eastAsia="Arial" w:hAnsi="Arial"/>
                <w:sz w:val="18"/>
                <w:szCs w:val="18"/>
                <w:color w:val="auto"/>
              </w:rPr>
              <w:t>(829)</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(4,613)</w:t>
            </w: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(1)</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(5,442)</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(47)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20" w:type="dxa"/>
            <w:vAlign w:val="bottom"/>
          </w:tcPr>
          <w:p>
            <w:pPr>
              <w:ind w:left="340"/>
              <w:spacing w:after="0"/>
              <w:rPr>
                <w:sz w:val="20"/>
                <w:szCs w:val="20"/>
                <w:color w:val="auto"/>
              </w:rPr>
            </w:pPr>
            <w:r>
              <w:rPr>
                <w:rFonts w:ascii="Arial" w:cs="Arial" w:eastAsia="Arial" w:hAnsi="Arial"/>
                <w:sz w:val="18"/>
                <w:szCs w:val="18"/>
                <w:color w:val="auto"/>
              </w:rPr>
              <w:t xml:space="preserve">Legal/Tax related matters </w:t>
            </w:r>
            <w:r>
              <w:rPr>
                <w:rFonts w:ascii="Arial" w:cs="Arial" w:eastAsia="Arial" w:hAnsi="Arial"/>
                <w:sz w:val="18"/>
                <w:szCs w:val="18"/>
                <w:i w:val="1"/>
                <w:iCs w:val="1"/>
                <w:color w:val="auto"/>
              </w:rPr>
              <w:t>(c)</w:t>
            </w:r>
          </w:p>
        </w:tc>
        <w:tc>
          <w:tcPr>
            <w:tcW w:w="12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w:t>
            </w:r>
          </w:p>
        </w:tc>
        <w:tc>
          <w:tcPr>
            <w:tcW w:w="180" w:type="dxa"/>
            <w:vAlign w:val="bottom"/>
            <w:gridSpan w:val="2"/>
          </w:tcPr>
          <w:p>
            <w:pPr>
              <w:spacing w:after="0"/>
              <w:rPr>
                <w:sz w:val="18"/>
                <w:szCs w:val="18"/>
                <w:color w:val="auto"/>
              </w:rPr>
            </w:pP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w:t>
            </w: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gridSpan w:val="2"/>
          </w:tcPr>
          <w:p>
            <w:pPr>
              <w:jc w:val="right"/>
              <w:ind w:right="320"/>
              <w:spacing w:after="0"/>
              <w:rPr>
                <w:sz w:val="20"/>
                <w:szCs w:val="20"/>
                <w:color w:val="auto"/>
              </w:rPr>
            </w:pPr>
            <w:r>
              <w:rPr>
                <w:rFonts w:ascii="Arial" w:cs="Arial" w:eastAsia="Arial" w:hAnsi="Arial"/>
                <w:sz w:val="18"/>
                <w:szCs w:val="18"/>
                <w:color w:val="auto"/>
              </w:rPr>
              <w:t>690</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56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920" w:type="dxa"/>
            <w:vAlign w:val="bottom"/>
            <w:gridSpan w:val="2"/>
          </w:tcPr>
          <w:p>
            <w:pPr>
              <w:jc w:val="right"/>
              <w:ind w:right="200"/>
              <w:spacing w:after="0"/>
              <w:rPr>
                <w:sz w:val="20"/>
                <w:szCs w:val="20"/>
                <w:color w:val="auto"/>
              </w:rPr>
            </w:pPr>
            <w:r>
              <w:rPr>
                <w:rFonts w:ascii="Arial" w:cs="Arial" w:eastAsia="Arial" w:hAnsi="Arial"/>
                <w:sz w:val="18"/>
                <w:szCs w:val="18"/>
                <w:color w:val="auto"/>
              </w:rPr>
              <w:t>690</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42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20" w:type="dxa"/>
            <w:vAlign w:val="bottom"/>
          </w:tcPr>
          <w:p>
            <w:pPr>
              <w:spacing w:after="0"/>
              <w:rPr>
                <w:sz w:val="2"/>
                <w:szCs w:val="2"/>
                <w:color w:val="auto"/>
              </w:rPr>
            </w:pPr>
          </w:p>
        </w:tc>
        <w:tc>
          <w:tcPr>
            <w:tcW w:w="160" w:type="dxa"/>
            <w:vAlign w:val="bottom"/>
          </w:tcPr>
          <w:p>
            <w:pPr>
              <w:spacing w:after="0"/>
              <w:rPr>
                <w:sz w:val="2"/>
                <w:szCs w:val="2"/>
                <w:color w:val="auto"/>
              </w:rPr>
            </w:pPr>
          </w:p>
        </w:tc>
        <w:tc>
          <w:tcPr>
            <w:tcW w:w="30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4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420" w:type="dxa"/>
            <w:vAlign w:val="bottom"/>
            <w:shd w:val="clear" w:color="auto" w:fill="CCEEFF"/>
          </w:tcPr>
          <w:p>
            <w:pPr>
              <w:spacing w:after="0"/>
              <w:rPr>
                <w:sz w:val="20"/>
                <w:szCs w:val="20"/>
                <w:color w:val="auto"/>
              </w:rPr>
            </w:pPr>
            <w:r>
              <w:rPr>
                <w:rFonts w:ascii="Arial" w:cs="Arial" w:eastAsia="Arial" w:hAnsi="Arial"/>
                <w:sz w:val="18"/>
                <w:szCs w:val="18"/>
                <w:color w:val="auto"/>
              </w:rPr>
              <w:t>Non-GAAP research and development</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260,868</w:t>
            </w:r>
          </w:p>
        </w:tc>
        <w:tc>
          <w:tcPr>
            <w:tcW w:w="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44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261,180</w:t>
            </w:r>
          </w:p>
        </w:tc>
        <w:tc>
          <w:tcPr>
            <w:tcW w:w="380" w:type="dxa"/>
            <w:vAlign w:val="bottom"/>
            <w:shd w:val="clear" w:color="auto" w:fill="CCEEFF"/>
          </w:tcPr>
          <w:p>
            <w:pPr>
              <w:spacing w:after="0"/>
              <w:rPr>
                <w:sz w:val="18"/>
                <w:szCs w:val="18"/>
                <w:color w:val="auto"/>
              </w:rPr>
            </w:pPr>
          </w:p>
        </w:tc>
        <w:tc>
          <w:tcPr>
            <w:tcW w:w="220" w:type="dxa"/>
            <w:vAlign w:val="bottom"/>
            <w:gridSpan w:val="2"/>
            <w:shd w:val="clear" w:color="auto" w:fill="CCEEFF"/>
          </w:tcPr>
          <w:p>
            <w:pPr>
              <w:ind w:left="100"/>
              <w:spacing w:after="0"/>
              <w:rPr>
                <w:sz w:val="20"/>
                <w:szCs w:val="20"/>
                <w:color w:val="auto"/>
              </w:rPr>
            </w:pPr>
            <w:r>
              <w:rPr>
                <w:rFonts w:ascii="Arial" w:cs="Arial" w:eastAsia="Arial" w:hAnsi="Arial"/>
                <w:sz w:val="18"/>
                <w:szCs w:val="18"/>
                <w:color w:val="auto"/>
                <w:w w:val="99"/>
              </w:rPr>
              <w:t>$</w:t>
            </w:r>
          </w:p>
        </w:tc>
        <w:tc>
          <w:tcPr>
            <w:tcW w:w="9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9"/>
              </w:rPr>
              <w:t>249,115</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1,042,216</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969,311</w:t>
            </w:r>
          </w:p>
        </w:tc>
        <w:tc>
          <w:tcPr>
            <w:tcW w:w="0" w:type="dxa"/>
            <w:vAlign w:val="bottom"/>
          </w:tcPr>
          <w:p>
            <w:pPr>
              <w:spacing w:after="0"/>
              <w:rPr>
                <w:sz w:val="1"/>
                <w:szCs w:val="1"/>
                <w:color w:val="auto"/>
              </w:rPr>
            </w:pPr>
          </w:p>
        </w:tc>
      </w:tr>
      <w:tr>
        <w:trPr>
          <w:trHeight w:val="20"/>
        </w:trPr>
        <w:tc>
          <w:tcPr>
            <w:tcW w:w="5440" w:type="dxa"/>
            <w:vAlign w:val="bottom"/>
            <w:gridSpan w:val="2"/>
            <w:vMerge w:val="restart"/>
          </w:tcPr>
          <w:p>
            <w:pPr>
              <w:spacing w:after="0"/>
              <w:rPr>
                <w:sz w:val="20"/>
                <w:szCs w:val="20"/>
                <w:color w:val="auto"/>
              </w:rPr>
            </w:pPr>
            <w:r>
              <w:rPr>
                <w:rFonts w:ascii="Arial" w:cs="Arial" w:eastAsia="Arial" w:hAnsi="Arial"/>
                <w:sz w:val="18"/>
                <w:szCs w:val="18"/>
                <w:color w:val="auto"/>
              </w:rPr>
              <w:t>GAAP selling and marketing:</w:t>
            </w:r>
          </w:p>
        </w:tc>
        <w:tc>
          <w:tcPr>
            <w:tcW w:w="12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5440" w:type="dxa"/>
            <w:vAlign w:val="bottom"/>
            <w:gridSpan w:val="2"/>
            <w:vMerge w:val="continue"/>
          </w:tcPr>
          <w:p>
            <w:pPr>
              <w:spacing w:after="0"/>
              <w:rPr>
                <w:sz w:val="18"/>
                <w:szCs w:val="18"/>
                <w:color w:val="auto"/>
              </w:rPr>
            </w:pP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36,665</w:t>
            </w:r>
          </w:p>
        </w:tc>
        <w:tc>
          <w:tcPr>
            <w:tcW w:w="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640" w:type="dxa"/>
            <w:vAlign w:val="bottom"/>
          </w:tcPr>
          <w:p>
            <w:pPr>
              <w:jc w:val="right"/>
              <w:spacing w:after="0"/>
              <w:rPr>
                <w:sz w:val="20"/>
                <w:szCs w:val="20"/>
                <w:color w:val="auto"/>
              </w:rPr>
            </w:pPr>
            <w:r>
              <w:rPr>
                <w:rFonts w:ascii="Arial" w:cs="Arial" w:eastAsia="Arial" w:hAnsi="Arial"/>
                <w:sz w:val="18"/>
                <w:szCs w:val="18"/>
                <w:color w:val="auto"/>
              </w:rPr>
              <w:t>37,496</w:t>
            </w: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42,319</w:t>
            </w:r>
          </w:p>
        </w:tc>
        <w:tc>
          <w:tcPr>
            <w:tcW w:w="3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152,698</w:t>
            </w:r>
          </w:p>
        </w:tc>
        <w:tc>
          <w:tcPr>
            <w:tcW w:w="48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161,817</w:t>
            </w: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Share-based compensation</w:t>
            </w:r>
          </w:p>
        </w:tc>
        <w:tc>
          <w:tcPr>
            <w:tcW w:w="120" w:type="dxa"/>
            <w:vAlign w:val="bottom"/>
            <w:shd w:val="clear" w:color="auto" w:fill="CCEEFF"/>
          </w:tcPr>
          <w:p>
            <w:pPr>
              <w:spacing w:after="0"/>
              <w:rPr>
                <w:sz w:val="18"/>
                <w:szCs w:val="18"/>
                <w:color w:val="auto"/>
              </w:rPr>
            </w:pPr>
          </w:p>
        </w:tc>
        <w:tc>
          <w:tcPr>
            <w:tcW w:w="780" w:type="dxa"/>
            <w:vAlign w:val="bottom"/>
            <w:gridSpan w:val="3"/>
            <w:shd w:val="clear" w:color="auto" w:fill="CCEEFF"/>
          </w:tcPr>
          <w:p>
            <w:pPr>
              <w:jc w:val="right"/>
              <w:ind w:right="120"/>
              <w:spacing w:after="0"/>
              <w:rPr>
                <w:sz w:val="20"/>
                <w:szCs w:val="20"/>
                <w:color w:val="auto"/>
              </w:rPr>
            </w:pPr>
            <w:r>
              <w:rPr>
                <w:rFonts w:ascii="Arial" w:cs="Arial" w:eastAsia="Arial" w:hAnsi="Arial"/>
                <w:sz w:val="18"/>
                <w:szCs w:val="18"/>
                <w:color w:val="auto"/>
              </w:rPr>
              <w:t>(3,162)</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(3,738)</w:t>
            </w: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(3,683)</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(13,940)</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(13,278)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20" w:type="dxa"/>
            <w:vAlign w:val="bottom"/>
          </w:tcPr>
          <w:p>
            <w:pPr>
              <w:ind w:left="340"/>
              <w:spacing w:after="0"/>
              <w:rPr>
                <w:sz w:val="20"/>
                <w:szCs w:val="20"/>
                <w:color w:val="auto"/>
              </w:rPr>
            </w:pPr>
            <w:r>
              <w:rPr>
                <w:rFonts w:ascii="Arial" w:cs="Arial" w:eastAsia="Arial" w:hAnsi="Arial"/>
                <w:sz w:val="18"/>
                <w:szCs w:val="18"/>
                <w:color w:val="auto"/>
              </w:rPr>
              <w:t xml:space="preserve">Acquisition-related costs </w:t>
            </w:r>
            <w:r>
              <w:rPr>
                <w:rFonts w:ascii="Arial" w:cs="Arial" w:eastAsia="Arial" w:hAnsi="Arial"/>
                <w:sz w:val="18"/>
                <w:szCs w:val="18"/>
                <w:i w:val="1"/>
                <w:iCs w:val="1"/>
                <w:color w:val="auto"/>
              </w:rPr>
              <w:t>(a)</w:t>
            </w:r>
          </w:p>
        </w:tc>
        <w:tc>
          <w:tcPr>
            <w:tcW w:w="120" w:type="dxa"/>
            <w:vAlign w:val="bottom"/>
          </w:tcPr>
          <w:p>
            <w:pPr>
              <w:spacing w:after="0"/>
              <w:rPr>
                <w:sz w:val="18"/>
                <w:szCs w:val="18"/>
                <w:color w:val="auto"/>
              </w:rPr>
            </w:pPr>
          </w:p>
        </w:tc>
        <w:tc>
          <w:tcPr>
            <w:tcW w:w="780" w:type="dxa"/>
            <w:vAlign w:val="bottom"/>
            <w:gridSpan w:val="3"/>
          </w:tcPr>
          <w:p>
            <w:pPr>
              <w:jc w:val="right"/>
              <w:ind w:right="26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20" w:type="dxa"/>
            <w:vAlign w:val="bottom"/>
            <w:gridSpan w:val="2"/>
          </w:tcPr>
          <w:p>
            <w:pPr>
              <w:jc w:val="right"/>
              <w:ind w:right="46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gridSpan w:val="2"/>
          </w:tcPr>
          <w:p>
            <w:pPr>
              <w:jc w:val="right"/>
              <w:ind w:right="260"/>
              <w:spacing w:after="0"/>
              <w:rPr>
                <w:sz w:val="20"/>
                <w:szCs w:val="20"/>
                <w:color w:val="auto"/>
              </w:rPr>
            </w:pPr>
            <w:r>
              <w:rPr>
                <w:rFonts w:ascii="Arial" w:cs="Arial" w:eastAsia="Arial" w:hAnsi="Arial"/>
                <w:sz w:val="18"/>
                <w:szCs w:val="18"/>
                <w:color w:val="auto"/>
              </w:rPr>
              <w:t>(14)</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420"/>
              <w:spacing w:after="0"/>
              <w:rPr>
                <w:sz w:val="20"/>
                <w:szCs w:val="20"/>
                <w:color w:val="auto"/>
              </w:rPr>
            </w:pPr>
            <w:r>
              <w:rPr>
                <w:rFonts w:ascii="Arial" w:cs="Arial" w:eastAsia="Arial" w:hAnsi="Arial"/>
                <w:sz w:val="18"/>
                <w:szCs w:val="18"/>
                <w:color w:val="auto"/>
              </w:rPr>
              <w:t>(79)</w:t>
            </w:r>
          </w:p>
        </w:tc>
        <w:tc>
          <w:tcPr>
            <w:tcW w:w="100" w:type="dxa"/>
            <w:vAlign w:val="bottom"/>
          </w:tcPr>
          <w:p>
            <w:pPr>
              <w:spacing w:after="0"/>
              <w:rPr>
                <w:sz w:val="18"/>
                <w:szCs w:val="18"/>
                <w:color w:val="auto"/>
              </w:rPr>
            </w:pPr>
          </w:p>
        </w:tc>
        <w:tc>
          <w:tcPr>
            <w:tcW w:w="920" w:type="dxa"/>
            <w:vAlign w:val="bottom"/>
            <w:gridSpan w:val="2"/>
          </w:tcPr>
          <w:p>
            <w:pPr>
              <w:jc w:val="right"/>
              <w:ind w:right="140"/>
              <w:spacing w:after="0"/>
              <w:rPr>
                <w:sz w:val="20"/>
                <w:szCs w:val="20"/>
                <w:color w:val="auto"/>
              </w:rPr>
            </w:pPr>
            <w:r>
              <w:rPr>
                <w:rFonts w:ascii="Arial" w:cs="Arial" w:eastAsia="Arial" w:hAnsi="Arial"/>
                <w:sz w:val="18"/>
                <w:szCs w:val="18"/>
                <w:color w:val="auto"/>
              </w:rPr>
              <w:t>(167)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 xml:space="preserve">Restructuring and other exit-related costs </w:t>
            </w:r>
            <w:r>
              <w:rPr>
                <w:rFonts w:ascii="Arial" w:cs="Arial" w:eastAsia="Arial" w:hAnsi="Arial"/>
                <w:sz w:val="18"/>
                <w:szCs w:val="18"/>
                <w:i w:val="1"/>
                <w:iCs w:val="1"/>
                <w:color w:val="auto"/>
              </w:rPr>
              <w:t>(b)</w:t>
            </w:r>
          </w:p>
        </w:tc>
        <w:tc>
          <w:tcPr>
            <w:tcW w:w="120" w:type="dxa"/>
            <w:vAlign w:val="bottom"/>
            <w:shd w:val="clear" w:color="auto" w:fill="CCEEFF"/>
          </w:tcPr>
          <w:p>
            <w:pPr>
              <w:spacing w:after="0"/>
              <w:rPr>
                <w:sz w:val="18"/>
                <w:szCs w:val="18"/>
                <w:color w:val="auto"/>
              </w:rPr>
            </w:pPr>
          </w:p>
        </w:tc>
        <w:tc>
          <w:tcPr>
            <w:tcW w:w="780" w:type="dxa"/>
            <w:vAlign w:val="bottom"/>
            <w:gridSpan w:val="3"/>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(795)</w:t>
            </w: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(795)</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3</w:t>
            </w:r>
          </w:p>
        </w:tc>
        <w:tc>
          <w:tcPr>
            <w:tcW w:w="0" w:type="dxa"/>
            <w:vAlign w:val="bottom"/>
          </w:tcPr>
          <w:p>
            <w:pPr>
              <w:spacing w:after="0"/>
              <w:rPr>
                <w:sz w:val="1"/>
                <w:szCs w:val="1"/>
                <w:color w:val="auto"/>
              </w:rPr>
            </w:pPr>
          </w:p>
        </w:tc>
      </w:tr>
      <w:tr>
        <w:trPr>
          <w:trHeight w:val="223"/>
        </w:trPr>
        <w:tc>
          <w:tcPr>
            <w:tcW w:w="5440" w:type="dxa"/>
            <w:vAlign w:val="bottom"/>
            <w:gridSpan w:val="2"/>
          </w:tcPr>
          <w:p>
            <w:pPr>
              <w:spacing w:after="0"/>
              <w:rPr>
                <w:sz w:val="20"/>
                <w:szCs w:val="20"/>
                <w:color w:val="auto"/>
              </w:rPr>
            </w:pPr>
            <w:r>
              <w:rPr>
                <w:rFonts w:ascii="Arial" w:cs="Arial" w:eastAsia="Arial" w:hAnsi="Arial"/>
                <w:sz w:val="18"/>
                <w:szCs w:val="18"/>
                <w:color w:val="auto"/>
              </w:rPr>
              <w:t>Non-GAAP selling and marketing</w:t>
            </w:r>
          </w:p>
        </w:tc>
        <w:tc>
          <w:tcPr>
            <w:tcW w:w="12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33,503</w:t>
            </w:r>
          </w:p>
        </w:tc>
        <w:tc>
          <w:tcPr>
            <w:tcW w:w="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4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rPr>
              <w:t>$</w:t>
            </w:r>
          </w:p>
        </w:tc>
        <w:tc>
          <w:tcPr>
            <w:tcW w:w="6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32,963</w:t>
            </w:r>
          </w:p>
        </w:tc>
        <w:tc>
          <w:tcPr>
            <w:tcW w:w="3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2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38,622</w:t>
            </w:r>
          </w:p>
        </w:tc>
        <w:tc>
          <w:tcPr>
            <w:tcW w:w="3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137,884</w:t>
            </w:r>
          </w:p>
        </w:tc>
        <w:tc>
          <w:tcPr>
            <w:tcW w:w="48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148,375</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4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5420" w:type="dxa"/>
            <w:vAlign w:val="bottom"/>
            <w:shd w:val="clear" w:color="auto" w:fill="CCEEFF"/>
          </w:tcPr>
          <w:p>
            <w:pPr>
              <w:spacing w:after="0"/>
              <w:rPr>
                <w:sz w:val="20"/>
                <w:szCs w:val="20"/>
                <w:color w:val="auto"/>
              </w:rPr>
            </w:pPr>
            <w:r>
              <w:rPr>
                <w:rFonts w:ascii="Arial" w:cs="Arial" w:eastAsia="Arial" w:hAnsi="Arial"/>
                <w:sz w:val="18"/>
                <w:szCs w:val="18"/>
                <w:color w:val="auto"/>
              </w:rPr>
              <w:t>GAAP general and administrative:</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6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26,367</w:t>
            </w:r>
          </w:p>
        </w:tc>
        <w:tc>
          <w:tcPr>
            <w:tcW w:w="160" w:type="dxa"/>
            <w:vAlign w:val="bottom"/>
            <w:shd w:val="clear" w:color="auto" w:fill="CCEEFF"/>
          </w:tcPr>
          <w:p>
            <w:pPr>
              <w:spacing w:after="0"/>
              <w:rPr>
                <w:sz w:val="18"/>
                <w:szCs w:val="18"/>
                <w:color w:val="auto"/>
              </w:rPr>
            </w:pPr>
          </w:p>
        </w:tc>
        <w:tc>
          <w:tcPr>
            <w:tcW w:w="44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rPr>
              <w:t>$</w:t>
            </w:r>
          </w:p>
        </w:tc>
        <w:tc>
          <w:tcPr>
            <w:tcW w:w="102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26,589</w:t>
            </w:r>
          </w:p>
        </w:tc>
        <w:tc>
          <w:tcPr>
            <w:tcW w:w="220" w:type="dxa"/>
            <w:vAlign w:val="bottom"/>
            <w:gridSpan w:val="2"/>
            <w:shd w:val="clear" w:color="auto" w:fill="CCEEFF"/>
          </w:tcPr>
          <w:p>
            <w:pPr>
              <w:ind w:left="100"/>
              <w:spacing w:after="0"/>
              <w:rPr>
                <w:sz w:val="20"/>
                <w:szCs w:val="20"/>
                <w:color w:val="auto"/>
              </w:rPr>
            </w:pPr>
            <w:r>
              <w:rPr>
                <w:rFonts w:ascii="Arial" w:cs="Arial" w:eastAsia="Arial" w:hAnsi="Arial"/>
                <w:sz w:val="18"/>
                <w:szCs w:val="18"/>
                <w:color w:val="auto"/>
                <w:w w:val="99"/>
              </w:rPr>
              <w:t>$</w:t>
            </w:r>
          </w:p>
        </w:tc>
        <w:tc>
          <w:tcPr>
            <w:tcW w:w="9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32,577</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0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106,471</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108,514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20" w:type="dxa"/>
            <w:vAlign w:val="bottom"/>
          </w:tcPr>
          <w:p>
            <w:pPr>
              <w:ind w:left="340"/>
              <w:spacing w:after="0"/>
              <w:rPr>
                <w:sz w:val="20"/>
                <w:szCs w:val="20"/>
                <w:color w:val="auto"/>
              </w:rPr>
            </w:pPr>
            <w:r>
              <w:rPr>
                <w:rFonts w:ascii="Arial" w:cs="Arial" w:eastAsia="Arial" w:hAnsi="Arial"/>
                <w:sz w:val="18"/>
                <w:szCs w:val="18"/>
                <w:color w:val="auto"/>
              </w:rPr>
              <w:t>Share-based compensation</w:t>
            </w:r>
          </w:p>
        </w:tc>
        <w:tc>
          <w:tcPr>
            <w:tcW w:w="120" w:type="dxa"/>
            <w:vAlign w:val="bottom"/>
          </w:tcPr>
          <w:p>
            <w:pPr>
              <w:spacing w:after="0"/>
              <w:rPr>
                <w:sz w:val="18"/>
                <w:szCs w:val="18"/>
                <w:color w:val="auto"/>
              </w:rPr>
            </w:pPr>
          </w:p>
        </w:tc>
        <w:tc>
          <w:tcPr>
            <w:tcW w:w="780" w:type="dxa"/>
            <w:vAlign w:val="bottom"/>
            <w:gridSpan w:val="3"/>
          </w:tcPr>
          <w:p>
            <w:pPr>
              <w:jc w:val="right"/>
              <w:ind w:right="120"/>
              <w:spacing w:after="0"/>
              <w:rPr>
                <w:sz w:val="20"/>
                <w:szCs w:val="20"/>
                <w:color w:val="auto"/>
              </w:rPr>
            </w:pPr>
            <w:r>
              <w:rPr>
                <w:rFonts w:ascii="Arial" w:cs="Arial" w:eastAsia="Arial" w:hAnsi="Arial"/>
                <w:sz w:val="18"/>
                <w:szCs w:val="18"/>
                <w:color w:val="auto"/>
              </w:rPr>
              <w:t>(5,222)</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20" w:type="dxa"/>
            <w:vAlign w:val="bottom"/>
            <w:gridSpan w:val="2"/>
          </w:tcPr>
          <w:p>
            <w:pPr>
              <w:jc w:val="right"/>
              <w:ind w:right="320"/>
              <w:spacing w:after="0"/>
              <w:rPr>
                <w:sz w:val="20"/>
                <w:szCs w:val="20"/>
                <w:color w:val="auto"/>
              </w:rPr>
            </w:pPr>
            <w:r>
              <w:rPr>
                <w:rFonts w:ascii="Arial" w:cs="Arial" w:eastAsia="Arial" w:hAnsi="Arial"/>
                <w:sz w:val="18"/>
                <w:szCs w:val="18"/>
                <w:color w:val="auto"/>
              </w:rPr>
              <w:t>(6,848)</w:t>
            </w: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gridSpan w:val="2"/>
          </w:tcPr>
          <w:p>
            <w:pPr>
              <w:jc w:val="right"/>
              <w:ind w:right="260"/>
              <w:spacing w:after="0"/>
              <w:rPr>
                <w:sz w:val="20"/>
                <w:szCs w:val="20"/>
                <w:color w:val="auto"/>
              </w:rPr>
            </w:pPr>
            <w:r>
              <w:rPr>
                <w:rFonts w:ascii="Arial" w:cs="Arial" w:eastAsia="Arial" w:hAnsi="Arial"/>
                <w:sz w:val="18"/>
                <w:szCs w:val="18"/>
                <w:color w:val="auto"/>
              </w:rPr>
              <w:t>(5,506)</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420"/>
              <w:spacing w:after="0"/>
              <w:rPr>
                <w:sz w:val="20"/>
                <w:szCs w:val="20"/>
                <w:color w:val="auto"/>
              </w:rPr>
            </w:pPr>
            <w:r>
              <w:rPr>
                <w:rFonts w:ascii="Arial" w:cs="Arial" w:eastAsia="Arial" w:hAnsi="Arial"/>
                <w:sz w:val="18"/>
                <w:szCs w:val="18"/>
                <w:color w:val="auto"/>
              </w:rPr>
              <w:t>(23,638)</w:t>
            </w:r>
          </w:p>
        </w:tc>
        <w:tc>
          <w:tcPr>
            <w:tcW w:w="100" w:type="dxa"/>
            <w:vAlign w:val="bottom"/>
          </w:tcPr>
          <w:p>
            <w:pPr>
              <w:spacing w:after="0"/>
              <w:rPr>
                <w:sz w:val="18"/>
                <w:szCs w:val="18"/>
                <w:color w:val="auto"/>
              </w:rPr>
            </w:pPr>
          </w:p>
        </w:tc>
        <w:tc>
          <w:tcPr>
            <w:tcW w:w="920" w:type="dxa"/>
            <w:vAlign w:val="bottom"/>
            <w:gridSpan w:val="2"/>
          </w:tcPr>
          <w:p>
            <w:pPr>
              <w:jc w:val="right"/>
              <w:ind w:right="140"/>
              <w:spacing w:after="0"/>
              <w:rPr>
                <w:sz w:val="20"/>
                <w:szCs w:val="20"/>
                <w:color w:val="auto"/>
              </w:rPr>
            </w:pPr>
            <w:r>
              <w:rPr>
                <w:rFonts w:ascii="Arial" w:cs="Arial" w:eastAsia="Arial" w:hAnsi="Arial"/>
                <w:sz w:val="18"/>
                <w:szCs w:val="18"/>
                <w:color w:val="auto"/>
              </w:rPr>
              <w:t>(18,711)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 xml:space="preserve">Acquisition-related costs </w:t>
            </w:r>
            <w:r>
              <w:rPr>
                <w:rFonts w:ascii="Arial" w:cs="Arial" w:eastAsia="Arial" w:hAnsi="Arial"/>
                <w:sz w:val="18"/>
                <w:szCs w:val="18"/>
                <w:i w:val="1"/>
                <w:iCs w:val="1"/>
                <w:color w:val="auto"/>
              </w:rPr>
              <w:t>(a)</w:t>
            </w:r>
          </w:p>
        </w:tc>
        <w:tc>
          <w:tcPr>
            <w:tcW w:w="120" w:type="dxa"/>
            <w:vAlign w:val="bottom"/>
            <w:shd w:val="clear" w:color="auto" w:fill="CCEEFF"/>
          </w:tcPr>
          <w:p>
            <w:pPr>
              <w:spacing w:after="0"/>
              <w:rPr>
                <w:sz w:val="18"/>
                <w:szCs w:val="18"/>
                <w:color w:val="auto"/>
              </w:rPr>
            </w:pPr>
          </w:p>
        </w:tc>
        <w:tc>
          <w:tcPr>
            <w:tcW w:w="780" w:type="dxa"/>
            <w:vAlign w:val="bottom"/>
            <w:gridSpan w:val="3"/>
            <w:shd w:val="clear" w:color="auto" w:fill="CCEEFF"/>
          </w:tcPr>
          <w:p>
            <w:pPr>
              <w:jc w:val="right"/>
              <w:ind w:right="120"/>
              <w:spacing w:after="0"/>
              <w:rPr>
                <w:sz w:val="20"/>
                <w:szCs w:val="20"/>
                <w:color w:val="auto"/>
              </w:rPr>
            </w:pPr>
            <w:r>
              <w:rPr>
                <w:rFonts w:ascii="Arial" w:cs="Arial" w:eastAsia="Arial" w:hAnsi="Arial"/>
                <w:sz w:val="18"/>
                <w:szCs w:val="18"/>
                <w:color w:val="auto"/>
              </w:rPr>
              <w:t>(5)</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(19)</w:t>
            </w: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(19)</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(64)</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(73)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20" w:type="dxa"/>
            <w:vAlign w:val="bottom"/>
          </w:tcPr>
          <w:p>
            <w:pPr>
              <w:ind w:left="340"/>
              <w:spacing w:after="0"/>
              <w:rPr>
                <w:sz w:val="20"/>
                <w:szCs w:val="20"/>
                <w:color w:val="auto"/>
              </w:rPr>
            </w:pPr>
            <w:r>
              <w:rPr>
                <w:rFonts w:ascii="Arial" w:cs="Arial" w:eastAsia="Arial" w:hAnsi="Arial"/>
                <w:sz w:val="18"/>
                <w:szCs w:val="18"/>
                <w:color w:val="auto"/>
              </w:rPr>
              <w:t xml:space="preserve">Restructuring and other exit-related costs </w:t>
            </w:r>
            <w:r>
              <w:rPr>
                <w:rFonts w:ascii="Arial" w:cs="Arial" w:eastAsia="Arial" w:hAnsi="Arial"/>
                <w:sz w:val="18"/>
                <w:szCs w:val="18"/>
                <w:i w:val="1"/>
                <w:iCs w:val="1"/>
                <w:color w:val="auto"/>
              </w:rPr>
              <w:t>(b)</w:t>
            </w:r>
          </w:p>
        </w:tc>
        <w:tc>
          <w:tcPr>
            <w:tcW w:w="120" w:type="dxa"/>
            <w:vAlign w:val="bottom"/>
          </w:tcPr>
          <w:p>
            <w:pPr>
              <w:spacing w:after="0"/>
              <w:rPr>
                <w:sz w:val="18"/>
                <w:szCs w:val="18"/>
                <w:color w:val="auto"/>
              </w:rPr>
            </w:pPr>
          </w:p>
        </w:tc>
        <w:tc>
          <w:tcPr>
            <w:tcW w:w="780" w:type="dxa"/>
            <w:vAlign w:val="bottom"/>
            <w:gridSpan w:val="3"/>
          </w:tcPr>
          <w:p>
            <w:pPr>
              <w:jc w:val="right"/>
              <w:ind w:right="120"/>
              <w:spacing w:after="0"/>
              <w:rPr>
                <w:sz w:val="20"/>
                <w:szCs w:val="20"/>
                <w:color w:val="auto"/>
              </w:rPr>
            </w:pPr>
            <w:r>
              <w:rPr>
                <w:rFonts w:ascii="Arial" w:cs="Arial" w:eastAsia="Arial" w:hAnsi="Arial"/>
                <w:sz w:val="18"/>
                <w:szCs w:val="18"/>
                <w:color w:val="auto"/>
              </w:rPr>
              <w:t>(118)</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20" w:type="dxa"/>
            <w:vAlign w:val="bottom"/>
            <w:gridSpan w:val="2"/>
          </w:tcPr>
          <w:p>
            <w:pPr>
              <w:jc w:val="right"/>
              <w:ind w:right="320"/>
              <w:spacing w:after="0"/>
              <w:rPr>
                <w:sz w:val="20"/>
                <w:szCs w:val="20"/>
                <w:color w:val="auto"/>
              </w:rPr>
            </w:pPr>
            <w:r>
              <w:rPr>
                <w:rFonts w:ascii="Arial" w:cs="Arial" w:eastAsia="Arial" w:hAnsi="Arial"/>
                <w:sz w:val="18"/>
                <w:szCs w:val="18"/>
                <w:color w:val="auto"/>
              </w:rPr>
              <w:t>(527)</w:t>
            </w: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gridSpan w:val="2"/>
          </w:tcPr>
          <w:p>
            <w:pPr>
              <w:jc w:val="right"/>
              <w:ind w:right="260"/>
              <w:spacing w:after="0"/>
              <w:rPr>
                <w:sz w:val="20"/>
                <w:szCs w:val="20"/>
                <w:color w:val="auto"/>
              </w:rPr>
            </w:pPr>
            <w:r>
              <w:rPr>
                <w:rFonts w:ascii="Arial" w:cs="Arial" w:eastAsia="Arial" w:hAnsi="Arial"/>
                <w:sz w:val="18"/>
                <w:szCs w:val="18"/>
                <w:color w:val="auto"/>
              </w:rPr>
              <w:t>(153)</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420"/>
              <w:spacing w:after="0"/>
              <w:rPr>
                <w:sz w:val="20"/>
                <w:szCs w:val="20"/>
                <w:color w:val="auto"/>
              </w:rPr>
            </w:pPr>
            <w:r>
              <w:rPr>
                <w:rFonts w:ascii="Arial" w:cs="Arial" w:eastAsia="Arial" w:hAnsi="Arial"/>
                <w:sz w:val="18"/>
                <w:szCs w:val="18"/>
                <w:color w:val="auto"/>
              </w:rPr>
              <w:t>(1,051)</w:t>
            </w:r>
          </w:p>
        </w:tc>
        <w:tc>
          <w:tcPr>
            <w:tcW w:w="100" w:type="dxa"/>
            <w:vAlign w:val="bottom"/>
          </w:tcPr>
          <w:p>
            <w:pPr>
              <w:spacing w:after="0"/>
              <w:rPr>
                <w:sz w:val="18"/>
                <w:szCs w:val="18"/>
                <w:color w:val="auto"/>
              </w:rPr>
            </w:pPr>
          </w:p>
        </w:tc>
        <w:tc>
          <w:tcPr>
            <w:tcW w:w="920" w:type="dxa"/>
            <w:vAlign w:val="bottom"/>
            <w:gridSpan w:val="2"/>
          </w:tcPr>
          <w:p>
            <w:pPr>
              <w:jc w:val="right"/>
              <w:ind w:right="140"/>
              <w:spacing w:after="0"/>
              <w:rPr>
                <w:sz w:val="20"/>
                <w:szCs w:val="20"/>
                <w:color w:val="auto"/>
              </w:rPr>
            </w:pPr>
            <w:r>
              <w:rPr>
                <w:rFonts w:ascii="Arial" w:cs="Arial" w:eastAsia="Arial" w:hAnsi="Arial"/>
                <w:sz w:val="18"/>
                <w:szCs w:val="18"/>
                <w:color w:val="auto"/>
              </w:rPr>
              <w:t>(1,213)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 xml:space="preserve">Legal/Tax related matters </w:t>
            </w:r>
            <w:r>
              <w:rPr>
                <w:rFonts w:ascii="Arial" w:cs="Arial" w:eastAsia="Arial" w:hAnsi="Arial"/>
                <w:sz w:val="18"/>
                <w:szCs w:val="18"/>
                <w:i w:val="1"/>
                <w:iCs w:val="1"/>
                <w:color w:val="auto"/>
              </w:rPr>
              <w:t>(c)</w:t>
            </w:r>
          </w:p>
        </w:tc>
        <w:tc>
          <w:tcPr>
            <w:tcW w:w="120" w:type="dxa"/>
            <w:vAlign w:val="bottom"/>
            <w:shd w:val="clear" w:color="auto" w:fill="CCEEFF"/>
          </w:tcPr>
          <w:p>
            <w:pPr>
              <w:spacing w:after="0"/>
              <w:rPr>
                <w:sz w:val="18"/>
                <w:szCs w:val="18"/>
                <w:color w:val="auto"/>
              </w:rPr>
            </w:pPr>
          </w:p>
        </w:tc>
        <w:tc>
          <w:tcPr>
            <w:tcW w:w="780" w:type="dxa"/>
            <w:vAlign w:val="bottom"/>
            <w:gridSpan w:val="3"/>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(500)</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(250)</w:t>
            </w:r>
          </w:p>
        </w:tc>
        <w:tc>
          <w:tcPr>
            <w:tcW w:w="0" w:type="dxa"/>
            <w:vAlign w:val="bottom"/>
          </w:tcPr>
          <w:p>
            <w:pPr>
              <w:spacing w:after="0"/>
              <w:rPr>
                <w:sz w:val="1"/>
                <w:szCs w:val="1"/>
                <w:color w:val="auto"/>
              </w:rPr>
            </w:pPr>
          </w:p>
        </w:tc>
      </w:tr>
      <w:tr>
        <w:trPr>
          <w:trHeight w:val="223"/>
        </w:trPr>
        <w:tc>
          <w:tcPr>
            <w:tcW w:w="5440" w:type="dxa"/>
            <w:vAlign w:val="bottom"/>
            <w:gridSpan w:val="2"/>
          </w:tcPr>
          <w:p>
            <w:pPr>
              <w:spacing w:after="0"/>
              <w:rPr>
                <w:sz w:val="20"/>
                <w:szCs w:val="20"/>
                <w:color w:val="auto"/>
              </w:rPr>
            </w:pPr>
            <w:r>
              <w:rPr>
                <w:rFonts w:ascii="Arial" w:cs="Arial" w:eastAsia="Arial" w:hAnsi="Arial"/>
                <w:sz w:val="18"/>
                <w:szCs w:val="18"/>
                <w:color w:val="auto"/>
              </w:rPr>
              <w:t>Non-GAAP general and administrative</w:t>
            </w:r>
          </w:p>
        </w:tc>
        <w:tc>
          <w:tcPr>
            <w:tcW w:w="12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21,022</w:t>
            </w:r>
          </w:p>
        </w:tc>
        <w:tc>
          <w:tcPr>
            <w:tcW w:w="20" w:type="dxa"/>
            <w:vAlign w:val="bottom"/>
            <w:tcBorders>
              <w:bottom w:val="single" w:sz="8" w:color="auto"/>
            </w:tcBorders>
          </w:tcPr>
          <w:p>
            <w:pPr>
              <w:spacing w:after="0"/>
              <w:rPr>
                <w:sz w:val="19"/>
                <w:szCs w:val="19"/>
                <w:color w:val="auto"/>
              </w:rPr>
            </w:pPr>
          </w:p>
        </w:tc>
        <w:tc>
          <w:tcPr>
            <w:tcW w:w="16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4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rPr>
              <w:t>$</w:t>
            </w:r>
          </w:p>
        </w:tc>
        <w:tc>
          <w:tcPr>
            <w:tcW w:w="6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19,195</w:t>
            </w:r>
          </w:p>
        </w:tc>
        <w:tc>
          <w:tcPr>
            <w:tcW w:w="3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2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26,899</w:t>
            </w:r>
          </w:p>
        </w:tc>
        <w:tc>
          <w:tcPr>
            <w:tcW w:w="3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81,218</w:t>
            </w:r>
          </w:p>
        </w:tc>
        <w:tc>
          <w:tcPr>
            <w:tcW w:w="48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88,267</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4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42" w:lineRule="exact"/>
        <w:rPr>
          <w:sz w:val="20"/>
          <w:szCs w:val="20"/>
          <w:color w:val="auto"/>
        </w:rPr>
      </w:pPr>
    </w:p>
    <w:p>
      <w:pPr>
        <w:jc w:val="both"/>
        <w:ind w:left="460" w:right="100" w:hanging="452"/>
        <w:spacing w:after="0" w:line="256" w:lineRule="auto"/>
        <w:tabs>
          <w:tab w:leader="none" w:pos="460" w:val="left"/>
        </w:tabs>
        <w:numPr>
          <w:ilvl w:val="0"/>
          <w:numId w:val="10"/>
        </w:numPr>
        <w:rPr>
          <w:rFonts w:ascii="Arial" w:cs="Arial" w:eastAsia="Arial" w:hAnsi="Arial"/>
          <w:sz w:val="18"/>
          <w:szCs w:val="18"/>
          <w:i w:val="1"/>
          <w:iCs w:val="1"/>
          <w:color w:val="auto"/>
        </w:rPr>
      </w:pPr>
      <w:r>
        <w:rPr>
          <w:rFonts w:ascii="Arial" w:cs="Arial" w:eastAsia="Arial" w:hAnsi="Arial"/>
          <w:sz w:val="18"/>
          <w:szCs w:val="18"/>
          <w:color w:val="auto"/>
        </w:rPr>
        <w:t>Acquisition-related costs include the step-up in fair value of acquired inventory that was sold during the year ended February 2, 2013, the amortization of retention bonuses required by the terms of an acquisition and the release of a $1.5 million liability for contingent milestone that was not met during the year ended February 1, 2014.</w:t>
      </w:r>
    </w:p>
    <w:p>
      <w:pPr>
        <w:ind w:left="460" w:right="300" w:hanging="452"/>
        <w:spacing w:after="0" w:line="250" w:lineRule="auto"/>
        <w:tabs>
          <w:tab w:leader="none" w:pos="460" w:val="left"/>
        </w:tabs>
        <w:numPr>
          <w:ilvl w:val="0"/>
          <w:numId w:val="10"/>
        </w:numPr>
        <w:rPr>
          <w:rFonts w:ascii="Arial" w:cs="Arial" w:eastAsia="Arial" w:hAnsi="Arial"/>
          <w:sz w:val="18"/>
          <w:szCs w:val="18"/>
          <w:i w:val="1"/>
          <w:iCs w:val="1"/>
          <w:color w:val="auto"/>
        </w:rPr>
      </w:pPr>
      <w:r>
        <w:rPr>
          <w:rFonts w:ascii="Arial" w:cs="Arial" w:eastAsia="Arial" w:hAnsi="Arial"/>
          <w:sz w:val="18"/>
          <w:szCs w:val="18"/>
          <w:color w:val="auto"/>
        </w:rPr>
        <w:t>Restructuring and other exit-related costs include costs that qualify under U.S. GAAP as restructuring costs, as well as operating expenses related to assets classified as held-for-sale that did not qualify as discontinued operations.</w:t>
      </w:r>
    </w:p>
    <w:p>
      <w:pPr>
        <w:ind w:left="460" w:right="120" w:hanging="452"/>
        <w:spacing w:after="0" w:line="250" w:lineRule="auto"/>
        <w:tabs>
          <w:tab w:leader="none" w:pos="460" w:val="left"/>
        </w:tabs>
        <w:numPr>
          <w:ilvl w:val="0"/>
          <w:numId w:val="10"/>
        </w:numPr>
        <w:rPr>
          <w:rFonts w:ascii="Arial" w:cs="Arial" w:eastAsia="Arial" w:hAnsi="Arial"/>
          <w:sz w:val="18"/>
          <w:szCs w:val="18"/>
          <w:i w:val="1"/>
          <w:iCs w:val="1"/>
          <w:color w:val="auto"/>
        </w:rPr>
      </w:pPr>
      <w:r>
        <w:rPr>
          <w:rFonts w:ascii="Arial" w:cs="Arial" w:eastAsia="Arial" w:hAnsi="Arial"/>
          <w:sz w:val="18"/>
          <w:szCs w:val="18"/>
          <w:color w:val="auto"/>
        </w:rPr>
        <w:t>Legal/Tax related matters include settlement fees related to litigation matters. The amounts recorded do not relate to Marvell’s litigation with Carnegie Mellon University.</w:t>
      </w:r>
    </w:p>
    <w:p>
      <w:pPr>
        <w:ind w:left="460" w:right="100" w:hanging="452"/>
        <w:spacing w:after="0" w:line="323" w:lineRule="auto"/>
        <w:tabs>
          <w:tab w:leader="none" w:pos="460" w:val="left"/>
        </w:tabs>
        <w:numPr>
          <w:ilvl w:val="0"/>
          <w:numId w:val="10"/>
        </w:numPr>
        <w:rPr>
          <w:rFonts w:ascii="Arial" w:cs="Arial" w:eastAsia="Arial" w:hAnsi="Arial"/>
          <w:sz w:val="16"/>
          <w:szCs w:val="16"/>
          <w:i w:val="1"/>
          <w:iCs w:val="1"/>
          <w:color w:val="auto"/>
        </w:rPr>
      </w:pPr>
      <w:r>
        <w:rPr>
          <w:rFonts w:ascii="Arial" w:cs="Arial" w:eastAsia="Arial" w:hAnsi="Arial"/>
          <w:sz w:val="16"/>
          <w:szCs w:val="16"/>
          <w:color w:val="auto"/>
        </w:rPr>
        <w:t>For purposes of calculating non-GAAP diluted net income per share, the GAAP diluted weighted average shares outstanding is adjusted to exclude the potential benefits of stock-based compensation costs expected to be incurred in future periods but not yet recognized in the financial statements.</w:t>
      </w:r>
    </w:p>
    <w:p>
      <w:pPr>
        <w:sectPr>
          <w:pgSz w:w="11900" w:h="16838" w:orient="portrait"/>
          <w:cols w:equalWidth="0" w:num="1">
            <w:col w:w="11420"/>
          </w:cols>
          <w:pgMar w:left="240" w:top="270" w:right="239" w:bottom="1440" w:gutter="0" w:footer="0" w:header="0"/>
        </w:sectPr>
      </w:pPr>
    </w:p>
    <w:p>
      <w:pPr>
        <w:spacing w:after="0" w:line="71"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10</w:t>
      </w:r>
    </w:p>
    <w:p>
      <w:pPr>
        <w:sectPr>
          <w:pgSz w:w="11900" w:h="16838" w:orient="portrait"/>
          <w:cols w:equalWidth="0" w:num="1">
            <w:col w:w="11420"/>
          </w:cols>
          <w:pgMar w:left="240" w:top="270" w:right="239" w:bottom="1440" w:gutter="0" w:footer="0" w:header="0"/>
          <w:type w:val="continuous"/>
        </w:sectPr>
      </w:pPr>
    </w:p>
    <w:bookmarkStart w:id="16" w:name="page17"/>
    <w:bookmarkEnd w:id="16"/>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Reconciliations from GAAP to Non-GAAP Outlook</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millions, except per share amounts)</w:t>
      </w:r>
    </w:p>
    <w:p>
      <w:pPr>
        <w:spacing w:after="0" w:line="217" w:lineRule="exact"/>
        <w:rPr>
          <w:sz w:val="20"/>
          <w:szCs w:val="20"/>
          <w:color w:val="auto"/>
        </w:rPr>
      </w:pPr>
    </w:p>
    <w:tbl>
      <w:tblPr>
        <w:tblLayout w:type="fixed"/>
        <w:tblInd w:w="18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7020" w:type="dxa"/>
            <w:vAlign w:val="bottom"/>
          </w:tcPr>
          <w:p>
            <w:pPr>
              <w:spacing w:after="0"/>
              <w:rPr>
                <w:sz w:val="14"/>
                <w:szCs w:val="14"/>
                <w:color w:val="auto"/>
              </w:rPr>
            </w:pPr>
          </w:p>
        </w:tc>
        <w:tc>
          <w:tcPr>
            <w:tcW w:w="1640" w:type="dxa"/>
            <w:vAlign w:val="bottom"/>
            <w:gridSpan w:val="4"/>
          </w:tcPr>
          <w:p>
            <w:pPr>
              <w:jc w:val="right"/>
              <w:ind w:right="220"/>
              <w:spacing w:after="0"/>
              <w:rPr>
                <w:sz w:val="20"/>
                <w:szCs w:val="20"/>
                <w:color w:val="auto"/>
              </w:rPr>
            </w:pPr>
            <w:r>
              <w:rPr>
                <w:rFonts w:ascii="Arial" w:cs="Arial" w:eastAsia="Arial" w:hAnsi="Arial"/>
                <w:sz w:val="14"/>
                <w:szCs w:val="14"/>
                <w:b w:val="1"/>
                <w:bCs w:val="1"/>
                <w:color w:val="auto"/>
              </w:rPr>
              <w:t>Q1 FY2015</w:t>
            </w: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70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20" w:type="dxa"/>
            <w:vAlign w:val="bottom"/>
            <w:gridSpan w:val="2"/>
          </w:tcPr>
          <w:p>
            <w:pPr>
              <w:jc w:val="right"/>
              <w:ind w:right="320"/>
              <w:spacing w:after="0"/>
              <w:rPr>
                <w:sz w:val="20"/>
                <w:szCs w:val="20"/>
                <w:color w:val="auto"/>
              </w:rPr>
            </w:pPr>
            <w:r>
              <w:rPr>
                <w:rFonts w:ascii="Arial" w:cs="Arial" w:eastAsia="Arial" w:hAnsi="Arial"/>
                <w:sz w:val="14"/>
                <w:szCs w:val="14"/>
                <w:b w:val="1"/>
                <w:bCs w:val="1"/>
                <w:color w:val="auto"/>
                <w:w w:val="90"/>
              </w:rPr>
              <w:t>Outlook</w:t>
            </w: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702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Note : Amounts represent the midpoint of the expected range</w:t>
            </w:r>
          </w:p>
        </w:tc>
        <w:tc>
          <w:tcPr>
            <w:tcW w:w="74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620" w:type="dxa"/>
            <w:vAlign w:val="bottom"/>
            <w:tcBorders>
              <w:top w:val="single" w:sz="8" w:color="auto"/>
            </w:tcBorders>
            <w:shd w:val="clear" w:color="auto" w:fill="CCEEFF"/>
          </w:tcPr>
          <w:p>
            <w:pPr>
              <w:spacing w:after="0"/>
              <w:rPr>
                <w:sz w:val="17"/>
                <w:szCs w:val="17"/>
                <w:color w:val="auto"/>
              </w:rPr>
            </w:pPr>
          </w:p>
        </w:tc>
        <w:tc>
          <w:tcPr>
            <w:tcW w:w="2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324"/>
        </w:trPr>
        <w:tc>
          <w:tcPr>
            <w:tcW w:w="7040" w:type="dxa"/>
            <w:vAlign w:val="bottom"/>
            <w:gridSpan w:val="2"/>
          </w:tcPr>
          <w:p>
            <w:pPr>
              <w:spacing w:after="0"/>
              <w:rPr>
                <w:sz w:val="20"/>
                <w:szCs w:val="20"/>
                <w:color w:val="auto"/>
              </w:rPr>
            </w:pPr>
            <w:r>
              <w:rPr>
                <w:rFonts w:ascii="Arial" w:cs="Arial" w:eastAsia="Arial" w:hAnsi="Arial"/>
                <w:sz w:val="18"/>
                <w:szCs w:val="18"/>
                <w:color w:val="auto"/>
              </w:rPr>
              <w:t>GAAP gross margin</w:t>
            </w:r>
          </w:p>
        </w:tc>
        <w:tc>
          <w:tcPr>
            <w:tcW w:w="7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820" w:type="dxa"/>
            <w:vAlign w:val="bottom"/>
            <w:gridSpan w:val="2"/>
          </w:tcPr>
          <w:p>
            <w:pPr>
              <w:jc w:val="right"/>
              <w:ind w:right="60"/>
              <w:spacing w:after="0"/>
              <w:rPr>
                <w:sz w:val="20"/>
                <w:szCs w:val="20"/>
                <w:color w:val="auto"/>
              </w:rPr>
            </w:pPr>
            <w:r>
              <w:rPr>
                <w:rFonts w:ascii="Arial" w:cs="Arial" w:eastAsia="Arial" w:hAnsi="Arial"/>
                <w:sz w:val="18"/>
                <w:szCs w:val="18"/>
                <w:color w:val="auto"/>
              </w:rPr>
              <w:t>49.7%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0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Share-based compensation, acquisition related costs, and other</w:t>
            </w:r>
          </w:p>
        </w:tc>
        <w:tc>
          <w:tcPr>
            <w:tcW w:w="7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0.3%</w:t>
            </w:r>
          </w:p>
        </w:tc>
        <w:tc>
          <w:tcPr>
            <w:tcW w:w="0" w:type="dxa"/>
            <w:vAlign w:val="bottom"/>
          </w:tcPr>
          <w:p>
            <w:pPr>
              <w:spacing w:after="0"/>
              <w:rPr>
                <w:sz w:val="1"/>
                <w:szCs w:val="1"/>
                <w:color w:val="auto"/>
              </w:rPr>
            </w:pPr>
          </w:p>
        </w:tc>
      </w:tr>
      <w:tr>
        <w:trPr>
          <w:trHeight w:val="20"/>
        </w:trPr>
        <w:tc>
          <w:tcPr>
            <w:tcW w:w="7040" w:type="dxa"/>
            <w:vAlign w:val="bottom"/>
            <w:gridSpan w:val="2"/>
            <w:vMerge w:val="restart"/>
          </w:tcPr>
          <w:p>
            <w:pPr>
              <w:spacing w:after="0"/>
              <w:rPr>
                <w:sz w:val="20"/>
                <w:szCs w:val="20"/>
                <w:color w:val="auto"/>
              </w:rPr>
            </w:pPr>
            <w:r>
              <w:rPr>
                <w:rFonts w:ascii="Arial" w:cs="Arial" w:eastAsia="Arial" w:hAnsi="Arial"/>
                <w:sz w:val="18"/>
                <w:szCs w:val="18"/>
                <w:color w:val="auto"/>
              </w:rPr>
              <w:t>Non-GAAP gross margin</w:t>
            </w:r>
          </w:p>
        </w:tc>
        <w:tc>
          <w:tcPr>
            <w:tcW w:w="74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62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3"/>
        </w:trPr>
        <w:tc>
          <w:tcPr>
            <w:tcW w:w="7040" w:type="dxa"/>
            <w:vAlign w:val="bottom"/>
            <w:gridSpan w:val="2"/>
            <w:vMerge w:val="continue"/>
          </w:tcPr>
          <w:p>
            <w:pPr>
              <w:spacing w:after="0"/>
              <w:rPr>
                <w:sz w:val="19"/>
                <w:szCs w:val="19"/>
                <w:color w:val="auto"/>
              </w:rPr>
            </w:pPr>
          </w:p>
        </w:tc>
        <w:tc>
          <w:tcPr>
            <w:tcW w:w="7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820" w:type="dxa"/>
            <w:vAlign w:val="bottom"/>
            <w:gridSpan w:val="2"/>
          </w:tcPr>
          <w:p>
            <w:pPr>
              <w:jc w:val="right"/>
              <w:ind w:right="60"/>
              <w:spacing w:after="0"/>
              <w:rPr>
                <w:sz w:val="20"/>
                <w:szCs w:val="20"/>
                <w:color w:val="auto"/>
              </w:rPr>
            </w:pPr>
            <w:r>
              <w:rPr>
                <w:rFonts w:ascii="Arial" w:cs="Arial" w:eastAsia="Arial" w:hAnsi="Arial"/>
                <w:sz w:val="18"/>
                <w:szCs w:val="18"/>
                <w:color w:val="auto"/>
              </w:rPr>
              <w:t>50.0%</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02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700" w:type="dxa"/>
            <w:vAlign w:val="bottom"/>
            <w:tcBorders>
              <w:top w:val="single" w:sz="8" w:color="auto"/>
              <w:bottom w:val="single" w:sz="8" w:color="auto"/>
            </w:tcBorders>
            <w:gridSpan w:val="2"/>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36"/>
        </w:trPr>
        <w:tc>
          <w:tcPr>
            <w:tcW w:w="20" w:type="dxa"/>
            <w:vAlign w:val="bottom"/>
          </w:tcPr>
          <w:p>
            <w:pPr>
              <w:spacing w:after="0"/>
              <w:rPr>
                <w:sz w:val="24"/>
                <w:szCs w:val="24"/>
                <w:color w:val="auto"/>
              </w:rPr>
            </w:pPr>
          </w:p>
        </w:tc>
        <w:tc>
          <w:tcPr>
            <w:tcW w:w="7020" w:type="dxa"/>
            <w:vAlign w:val="bottom"/>
          </w:tcPr>
          <w:p>
            <w:pPr>
              <w:spacing w:after="0"/>
              <w:rPr>
                <w:sz w:val="24"/>
                <w:szCs w:val="24"/>
                <w:color w:val="auto"/>
              </w:rPr>
            </w:pPr>
          </w:p>
        </w:tc>
        <w:tc>
          <w:tcPr>
            <w:tcW w:w="1640" w:type="dxa"/>
            <w:vAlign w:val="bottom"/>
            <w:gridSpan w:val="4"/>
          </w:tcPr>
          <w:p>
            <w:pPr>
              <w:jc w:val="right"/>
              <w:ind w:right="220"/>
              <w:spacing w:after="0"/>
              <w:rPr>
                <w:sz w:val="20"/>
                <w:szCs w:val="20"/>
                <w:color w:val="auto"/>
              </w:rPr>
            </w:pPr>
            <w:r>
              <w:rPr>
                <w:rFonts w:ascii="Arial" w:cs="Arial" w:eastAsia="Arial" w:hAnsi="Arial"/>
                <w:sz w:val="14"/>
                <w:szCs w:val="14"/>
                <w:b w:val="1"/>
                <w:bCs w:val="1"/>
                <w:color w:val="auto"/>
              </w:rPr>
              <w:t>Q1 FY2015</w:t>
            </w: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70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20" w:type="dxa"/>
            <w:vAlign w:val="bottom"/>
            <w:gridSpan w:val="2"/>
          </w:tcPr>
          <w:p>
            <w:pPr>
              <w:jc w:val="right"/>
              <w:ind w:right="320"/>
              <w:spacing w:after="0"/>
              <w:rPr>
                <w:sz w:val="20"/>
                <w:szCs w:val="20"/>
                <w:color w:val="auto"/>
              </w:rPr>
            </w:pPr>
            <w:r>
              <w:rPr>
                <w:rFonts w:ascii="Arial" w:cs="Arial" w:eastAsia="Arial" w:hAnsi="Arial"/>
                <w:sz w:val="14"/>
                <w:szCs w:val="14"/>
                <w:b w:val="1"/>
                <w:bCs w:val="1"/>
                <w:color w:val="auto"/>
                <w:w w:val="90"/>
              </w:rPr>
              <w:t>Outlook</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702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GAAP operating expenses</w:t>
            </w:r>
          </w:p>
        </w:tc>
        <w:tc>
          <w:tcPr>
            <w:tcW w:w="74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370</w:t>
            </w:r>
          </w:p>
        </w:tc>
        <w:tc>
          <w:tcPr>
            <w:tcW w:w="2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7020" w:type="dxa"/>
            <w:vAlign w:val="bottom"/>
          </w:tcPr>
          <w:p>
            <w:pPr>
              <w:ind w:left="340"/>
              <w:spacing w:after="0" w:line="201" w:lineRule="exact"/>
              <w:rPr>
                <w:sz w:val="20"/>
                <w:szCs w:val="20"/>
                <w:color w:val="auto"/>
              </w:rPr>
            </w:pPr>
            <w:r>
              <w:rPr>
                <w:rFonts w:ascii="Arial" w:cs="Arial" w:eastAsia="Arial" w:hAnsi="Arial"/>
                <w:sz w:val="18"/>
                <w:szCs w:val="18"/>
                <w:color w:val="auto"/>
              </w:rPr>
              <w:t>Share-based compensation, acquisition-related costs, restructuring, amortization of</w:t>
            </w:r>
          </w:p>
        </w:tc>
        <w:tc>
          <w:tcPr>
            <w:tcW w:w="74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7020" w:type="dxa"/>
            <w:vAlign w:val="bottom"/>
          </w:tcPr>
          <w:p>
            <w:pPr>
              <w:ind w:left="520"/>
              <w:spacing w:after="0"/>
              <w:rPr>
                <w:sz w:val="20"/>
                <w:szCs w:val="20"/>
                <w:color w:val="auto"/>
              </w:rPr>
            </w:pPr>
            <w:r>
              <w:rPr>
                <w:rFonts w:ascii="Arial" w:cs="Arial" w:eastAsia="Arial" w:hAnsi="Arial"/>
                <w:sz w:val="18"/>
                <w:szCs w:val="18"/>
                <w:color w:val="auto"/>
              </w:rPr>
              <w:t>intangible assets and other</w:t>
            </w:r>
          </w:p>
        </w:tc>
        <w:tc>
          <w:tcPr>
            <w:tcW w:w="74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820" w:type="dxa"/>
            <w:vAlign w:val="bottom"/>
            <w:gridSpan w:val="2"/>
          </w:tcPr>
          <w:p>
            <w:pPr>
              <w:jc w:val="right"/>
              <w:ind w:right="160"/>
              <w:spacing w:after="0"/>
              <w:rPr>
                <w:sz w:val="20"/>
                <w:szCs w:val="20"/>
                <w:color w:val="auto"/>
              </w:rPr>
            </w:pPr>
            <w:r>
              <w:rPr>
                <w:rFonts w:ascii="Arial" w:cs="Arial" w:eastAsia="Arial" w:hAnsi="Arial"/>
                <w:sz w:val="18"/>
                <w:szCs w:val="18"/>
                <w:color w:val="auto"/>
              </w:rPr>
              <w:t>(40)</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7020" w:type="dxa"/>
            <w:vAlign w:val="bottom"/>
          </w:tcPr>
          <w:p>
            <w:pPr>
              <w:spacing w:after="0"/>
              <w:rPr>
                <w:sz w:val="2"/>
                <w:szCs w:val="2"/>
                <w:color w:val="auto"/>
              </w:rPr>
            </w:pPr>
          </w:p>
        </w:tc>
        <w:tc>
          <w:tcPr>
            <w:tcW w:w="74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7020" w:type="dxa"/>
            <w:vAlign w:val="bottom"/>
            <w:shd w:val="clear" w:color="auto" w:fill="CCEEFF"/>
          </w:tcPr>
          <w:p>
            <w:pPr>
              <w:spacing w:after="0"/>
              <w:rPr>
                <w:sz w:val="20"/>
                <w:szCs w:val="20"/>
                <w:color w:val="auto"/>
              </w:rPr>
            </w:pPr>
            <w:r>
              <w:rPr>
                <w:rFonts w:ascii="Arial" w:cs="Arial" w:eastAsia="Arial" w:hAnsi="Arial"/>
                <w:sz w:val="18"/>
                <w:szCs w:val="18"/>
                <w:color w:val="auto"/>
              </w:rPr>
              <w:t>Non-GAAP operating expenses</w:t>
            </w:r>
          </w:p>
        </w:tc>
        <w:tc>
          <w:tcPr>
            <w:tcW w:w="8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330</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02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700" w:type="dxa"/>
            <w:vAlign w:val="bottom"/>
            <w:tcBorders>
              <w:top w:val="single" w:sz="8" w:color="auto"/>
              <w:bottom w:val="single" w:sz="8" w:color="auto"/>
            </w:tcBorders>
            <w:gridSpan w:val="2"/>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36"/>
        </w:trPr>
        <w:tc>
          <w:tcPr>
            <w:tcW w:w="20" w:type="dxa"/>
            <w:vAlign w:val="bottom"/>
          </w:tcPr>
          <w:p>
            <w:pPr>
              <w:spacing w:after="0"/>
              <w:rPr>
                <w:sz w:val="24"/>
                <w:szCs w:val="24"/>
                <w:color w:val="auto"/>
              </w:rPr>
            </w:pPr>
          </w:p>
        </w:tc>
        <w:tc>
          <w:tcPr>
            <w:tcW w:w="7020" w:type="dxa"/>
            <w:vAlign w:val="bottom"/>
          </w:tcPr>
          <w:p>
            <w:pPr>
              <w:spacing w:after="0"/>
              <w:rPr>
                <w:sz w:val="24"/>
                <w:szCs w:val="24"/>
                <w:color w:val="auto"/>
              </w:rPr>
            </w:pPr>
          </w:p>
        </w:tc>
        <w:tc>
          <w:tcPr>
            <w:tcW w:w="1640" w:type="dxa"/>
            <w:vAlign w:val="bottom"/>
            <w:gridSpan w:val="4"/>
          </w:tcPr>
          <w:p>
            <w:pPr>
              <w:jc w:val="right"/>
              <w:ind w:right="220"/>
              <w:spacing w:after="0"/>
              <w:rPr>
                <w:sz w:val="20"/>
                <w:szCs w:val="20"/>
                <w:color w:val="auto"/>
              </w:rPr>
            </w:pPr>
            <w:r>
              <w:rPr>
                <w:rFonts w:ascii="Arial" w:cs="Arial" w:eastAsia="Arial" w:hAnsi="Arial"/>
                <w:sz w:val="14"/>
                <w:szCs w:val="14"/>
                <w:b w:val="1"/>
                <w:bCs w:val="1"/>
                <w:color w:val="auto"/>
              </w:rPr>
              <w:t>Q1 FY2015</w:t>
            </w: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70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20" w:type="dxa"/>
            <w:vAlign w:val="bottom"/>
            <w:gridSpan w:val="2"/>
          </w:tcPr>
          <w:p>
            <w:pPr>
              <w:jc w:val="right"/>
              <w:ind w:right="320"/>
              <w:spacing w:after="0"/>
              <w:rPr>
                <w:sz w:val="20"/>
                <w:szCs w:val="20"/>
                <w:color w:val="auto"/>
              </w:rPr>
            </w:pPr>
            <w:r>
              <w:rPr>
                <w:rFonts w:ascii="Arial" w:cs="Arial" w:eastAsia="Arial" w:hAnsi="Arial"/>
                <w:sz w:val="14"/>
                <w:szCs w:val="14"/>
                <w:b w:val="1"/>
                <w:bCs w:val="1"/>
                <w:color w:val="auto"/>
                <w:w w:val="90"/>
              </w:rPr>
              <w:t>Outlook</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702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GAAP diluted earnings per share</w:t>
            </w:r>
          </w:p>
        </w:tc>
        <w:tc>
          <w:tcPr>
            <w:tcW w:w="74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0.14</w:t>
            </w:r>
          </w:p>
        </w:tc>
        <w:tc>
          <w:tcPr>
            <w:tcW w:w="2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7020" w:type="dxa"/>
            <w:vAlign w:val="bottom"/>
          </w:tcPr>
          <w:p>
            <w:pPr>
              <w:ind w:left="340"/>
              <w:spacing w:after="0" w:line="201" w:lineRule="exact"/>
              <w:rPr>
                <w:sz w:val="20"/>
                <w:szCs w:val="20"/>
                <w:color w:val="auto"/>
              </w:rPr>
            </w:pPr>
            <w:r>
              <w:rPr>
                <w:rFonts w:ascii="Arial" w:cs="Arial" w:eastAsia="Arial" w:hAnsi="Arial"/>
                <w:sz w:val="18"/>
                <w:szCs w:val="18"/>
                <w:color w:val="auto"/>
              </w:rPr>
              <w:t>Share-based compensation, acquisition-related costs, restructuring, amortization of</w:t>
            </w:r>
          </w:p>
        </w:tc>
        <w:tc>
          <w:tcPr>
            <w:tcW w:w="74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7"/>
        </w:trPr>
        <w:tc>
          <w:tcPr>
            <w:tcW w:w="20" w:type="dxa"/>
            <w:vAlign w:val="bottom"/>
          </w:tcPr>
          <w:p>
            <w:pPr>
              <w:spacing w:after="0"/>
              <w:rPr>
                <w:sz w:val="20"/>
                <w:szCs w:val="20"/>
                <w:color w:val="auto"/>
              </w:rPr>
            </w:pPr>
          </w:p>
        </w:tc>
        <w:tc>
          <w:tcPr>
            <w:tcW w:w="7020" w:type="dxa"/>
            <w:vAlign w:val="bottom"/>
          </w:tcPr>
          <w:p>
            <w:pPr>
              <w:ind w:left="520"/>
              <w:spacing w:after="0"/>
              <w:rPr>
                <w:sz w:val="20"/>
                <w:szCs w:val="20"/>
                <w:color w:val="auto"/>
              </w:rPr>
            </w:pPr>
            <w:r>
              <w:rPr>
                <w:rFonts w:ascii="Arial" w:cs="Arial" w:eastAsia="Arial" w:hAnsi="Arial"/>
                <w:sz w:val="18"/>
                <w:szCs w:val="18"/>
                <w:color w:val="auto"/>
              </w:rPr>
              <w:t>intangible assets and other</w:t>
            </w:r>
          </w:p>
        </w:tc>
        <w:tc>
          <w:tcPr>
            <w:tcW w:w="740" w:type="dxa"/>
            <w:vAlign w:val="bottom"/>
          </w:tcPr>
          <w:p>
            <w:pPr>
              <w:spacing w:after="0"/>
              <w:rPr>
                <w:sz w:val="20"/>
                <w:szCs w:val="20"/>
                <w:color w:val="auto"/>
              </w:rPr>
            </w:pPr>
          </w:p>
        </w:tc>
        <w:tc>
          <w:tcPr>
            <w:tcW w:w="80" w:type="dxa"/>
            <w:vAlign w:val="bottom"/>
            <w:tcBorders>
              <w:bottom w:val="single" w:sz="8" w:color="auto"/>
            </w:tcBorders>
          </w:tcPr>
          <w:p>
            <w:pPr>
              <w:spacing w:after="0"/>
              <w:rPr>
                <w:sz w:val="20"/>
                <w:szCs w:val="20"/>
                <w:color w:val="auto"/>
              </w:rPr>
            </w:pP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0.08</w:t>
            </w:r>
          </w:p>
        </w:tc>
        <w:tc>
          <w:tcPr>
            <w:tcW w:w="2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020" w:type="dxa"/>
            <w:vAlign w:val="bottom"/>
            <w:shd w:val="clear" w:color="auto" w:fill="CCEEFF"/>
          </w:tcPr>
          <w:p>
            <w:pPr>
              <w:spacing w:after="0"/>
              <w:rPr>
                <w:sz w:val="20"/>
                <w:szCs w:val="20"/>
                <w:color w:val="auto"/>
              </w:rPr>
            </w:pPr>
            <w:r>
              <w:rPr>
                <w:rFonts w:ascii="Arial" w:cs="Arial" w:eastAsia="Arial" w:hAnsi="Arial"/>
                <w:sz w:val="18"/>
                <w:szCs w:val="18"/>
                <w:color w:val="auto"/>
              </w:rPr>
              <w:t>Non-GAAP diluted earnings per share</w:t>
            </w:r>
          </w:p>
        </w:tc>
        <w:tc>
          <w:tcPr>
            <w:tcW w:w="8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0.22</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7040" w:type="dxa"/>
            <w:vAlign w:val="bottom"/>
            <w:gridSpan w:val="2"/>
            <w:vMerge w:val="restart"/>
          </w:tcPr>
          <w:p>
            <w:pPr>
              <w:jc w:val="right"/>
              <w:ind w:right="2530"/>
              <w:spacing w:after="0"/>
              <w:rPr>
                <w:sz w:val="20"/>
                <w:szCs w:val="20"/>
                <w:color w:val="auto"/>
              </w:rPr>
            </w:pPr>
            <w:r>
              <w:rPr>
                <w:rFonts w:ascii="Arial" w:cs="Arial" w:eastAsia="Arial" w:hAnsi="Arial"/>
                <w:sz w:val="18"/>
                <w:szCs w:val="18"/>
                <w:color w:val="auto"/>
              </w:rPr>
              <w:t>11</w:t>
            </w:r>
          </w:p>
        </w:tc>
        <w:tc>
          <w:tcPr>
            <w:tcW w:w="7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7040" w:type="dxa"/>
            <w:vAlign w:val="bottom"/>
            <w:gridSpan w:val="2"/>
            <w:vMerge w:val="continue"/>
          </w:tcPr>
          <w:p>
            <w:pPr>
              <w:spacing w:after="0"/>
              <w:rPr>
                <w:sz w:val="24"/>
                <w:szCs w:val="24"/>
                <w:color w:val="auto"/>
              </w:rPr>
            </w:pPr>
          </w:p>
        </w:tc>
        <w:tc>
          <w:tcPr>
            <w:tcW w:w="7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1" w:lineRule="exact"/>
        <w:rPr>
          <w:sz w:val="20"/>
          <w:szCs w:val="20"/>
          <w:color w:val="auto"/>
        </w:rPr>
      </w:pPr>
    </w:p>
    <w:sectPr>
      <w:pgSz w:w="11900" w:h="16838" w:orient="portrait"/>
      <w:cols w:equalWidth="0" w:num="1">
        <w:col w:w="9019"/>
      </w:cols>
      <w:pgMar w:left="1440" w:top="27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3D1B58BA"/>
    <w:multiLevelType w:val="hybridMultilevel"/>
    <w:lvl w:ilvl="0">
      <w:lvlJc w:val="left"/>
      <w:lvlText w:val="☐"/>
      <w:numFmt w:val="bullet"/>
      <w:start w:val="1"/>
    </w:lvl>
  </w:abstractNum>
  <w:abstractNum w:abstractNumId="1">
    <w:nsid w:val="507ED7AB"/>
    <w:multiLevelType w:val="hybridMultilevel"/>
    <w:lvl w:ilvl="0">
      <w:lvlJc w:val="left"/>
      <w:lvlText w:val="•"/>
      <w:numFmt w:val="bullet"/>
      <w:start w:val="1"/>
    </w:lvl>
  </w:abstractNum>
  <w:abstractNum w:abstractNumId="2">
    <w:nsid w:val="2EB141F2"/>
    <w:multiLevelType w:val="hybridMultilevel"/>
    <w:lvl w:ilvl="0">
      <w:lvlJc w:val="left"/>
      <w:lvlText w:val="•"/>
      <w:numFmt w:val="bullet"/>
      <w:start w:val="1"/>
    </w:lvl>
  </w:abstractNum>
  <w:abstractNum w:abstractNumId="3">
    <w:nsid w:val="41B71EFB"/>
    <w:multiLevelType w:val="hybridMultilevel"/>
    <w:lvl w:ilvl="0">
      <w:lvlJc w:val="left"/>
      <w:lvlText w:val="•"/>
      <w:numFmt w:val="bullet"/>
      <w:start w:val="1"/>
    </w:lvl>
  </w:abstractNum>
  <w:abstractNum w:abstractNumId="4">
    <w:nsid w:val="79E2A9E3"/>
    <w:multiLevelType w:val="hybridMultilevel"/>
    <w:lvl w:ilvl="0">
      <w:lvlJc w:val="left"/>
      <w:lvlText w:val="•"/>
      <w:numFmt w:val="bullet"/>
      <w:start w:val="1"/>
    </w:lvl>
  </w:abstractNum>
  <w:abstractNum w:abstractNumId="5">
    <w:nsid w:val="7545E146"/>
    <w:multiLevelType w:val="hybridMultilevel"/>
    <w:lvl w:ilvl="0">
      <w:lvlJc w:val="left"/>
      <w:lvlText w:val="(%1)"/>
      <w:numFmt w:val="lowerLetter"/>
      <w:start w:val="4"/>
    </w:lvl>
  </w:abstractNum>
  <w:abstractNum w:abstractNumId="6">
    <w:nsid w:val="515F007C"/>
    <w:multiLevelType w:val="hybridMultilevel"/>
    <w:lvl w:ilvl="0">
      <w:lvlJc w:val="left"/>
      <w:lvlText w:val="•"/>
      <w:numFmt w:val="bullet"/>
      <w:start w:val="1"/>
    </w:lvl>
  </w:abstractNum>
  <w:abstractNum w:abstractNumId="7">
    <w:nsid w:val="5BD062C2"/>
    <w:multiLevelType w:val="hybridMultilevel"/>
    <w:lvl w:ilvl="0">
      <w:lvlJc w:val="left"/>
      <w:lvlText w:val="•"/>
      <w:numFmt w:val="bullet"/>
      <w:start w:val="1"/>
    </w:lvl>
  </w:abstractNum>
  <w:abstractNum w:abstractNumId="8">
    <w:nsid w:val="12200854"/>
    <w:multiLevelType w:val="hybridMultilevel"/>
    <w:lvl w:ilvl="0">
      <w:lvlJc w:val="left"/>
      <w:lvlText w:val="(%1)"/>
      <w:numFmt w:val="lowerLetter"/>
      <w:start w:val="1"/>
    </w:lvl>
  </w:abstractNum>
  <w:abstractNum w:abstractNumId="9">
    <w:nsid w:val="4DB127F8"/>
    <w:multiLevelType w:val="hybridMultilevel"/>
    <w:lvl w:ilvl="0">
      <w:lvlJc w:val="left"/>
      <w:lvlText w:val="(%1)"/>
      <w:numFmt w:val="lowerLetter"/>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jpe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2019-12-06T19:08:58Z</dcterms:created>
  <dcterms:modified xsi:type="dcterms:W3CDTF">2019-12-06T19:08:58Z</dcterms:modified>
</cp:coreProperties>
</file>