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166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5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5</w:t>
            </w:r>
          </w:p>
        </w:tc>
        <w:tc>
          <w:tcPr>
            <w:tcW w:w="7060" w:type="dxa"/>
            <w:vAlign w:val="bottom"/>
            <w:gridSpan w:val="23"/>
          </w:tcPr>
          <w:p>
            <w:pPr>
              <w:jc w:val="center"/>
              <w:ind w:right="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  <w:vMerge w:val="restart"/>
          </w:tcPr>
          <w:p>
            <w:pPr>
              <w:jc w:val="center"/>
              <w:ind w:right="174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gridSpan w:val="6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1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gridSpan w:val="3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highlight w:val="white"/>
              </w:rPr>
              <w:t>X</w:t>
            </w: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40" w:type="dxa"/>
            <w:vAlign w:val="bottom"/>
            <w:gridSpan w:val="20"/>
            <w:vMerge w:val="restart"/>
          </w:tcPr>
          <w:p>
            <w:pPr>
              <w:jc w:val="center"/>
              <w:ind w:left="64"/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ANNUAL STATEMENT OF CHANGES IN BENEFICIAL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3235-0362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6440" w:type="dxa"/>
            <w:vAlign w:val="bottom"/>
            <w:gridSpan w:val="2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Instruction 1(b).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  <w:vMerge w:val="restart"/>
          </w:tcPr>
          <w:p>
            <w:pPr>
              <w:jc w:val="center"/>
              <w:ind w:right="1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OWNERSHIP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Form 3 Holdings Reported.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1.0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520" w:type="dxa"/>
            <w:vAlign w:val="bottom"/>
            <w:gridSpan w:val="17"/>
            <w:vMerge w:val="restart"/>
          </w:tcPr>
          <w:p>
            <w:pPr>
              <w:jc w:val="center"/>
              <w:ind w:left="9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520" w:type="dxa"/>
            <w:vAlign w:val="bottom"/>
            <w:gridSpan w:val="17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Form 4 Transactions Reported.</w:t>
            </w:r>
          </w:p>
        </w:tc>
        <w:tc>
          <w:tcPr>
            <w:tcW w:w="5520" w:type="dxa"/>
            <w:vAlign w:val="bottom"/>
            <w:gridSpan w:val="17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</w:tcPr>
          <w:p>
            <w:pPr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7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7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 xml:space="preserve"> Ticker or Trading Symbol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32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gridSpan w:val="4"/>
            <w:vMerge w:val="restart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4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4"/>
                </w:rPr>
                <w:t>Sutardja, Pantas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960" w:type="dxa"/>
            <w:vAlign w:val="bottom"/>
            <w:gridSpan w:val="13"/>
          </w:tcPr>
          <w:p>
            <w:pPr>
              <w:spacing w:after="0" w:line="175" w:lineRule="exact"/>
              <w:rPr>
                <w:rFonts w:ascii="Arial" w:cs="Arial" w:eastAsia="Arial" w:hAnsi="Arial"/>
                <w:sz w:val="19"/>
                <w:szCs w:val="19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9"/>
                  <w:szCs w:val="19"/>
                  <w:color w:val="0000EE"/>
                </w:rPr>
                <w:t>MARVELL TECHNOLOGY GROUP LTD</w:t>
              </w:r>
            </w:hyperlink>
          </w:p>
        </w:tc>
        <w:tc>
          <w:tcPr>
            <w:tcW w:w="15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0000EE"/>
            </w:tcBorders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0000EE"/>
              <w:bottom w:val="single" w:sz="8" w:color="0000EE"/>
            </w:tcBorders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 xml:space="preserve"> ]</w:t>
            </w:r>
          </w:p>
        </w:tc>
        <w:tc>
          <w:tcPr>
            <w:tcW w:w="5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restart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Officer (give title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14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below)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60" w:type="dxa"/>
            <w:vAlign w:val="bottom"/>
            <w:gridSpan w:val="1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Statement for Issuer's Fiscal Year Ended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6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See footnote 1 below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6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02/01/2014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4. If Amendment, Date of Original Filed (Month/Day/Year)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32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2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SANTA CLARA CA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0" w:type="dxa"/>
            <w:vAlign w:val="bottom"/>
            <w:gridSpan w:val="11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60" w:type="dxa"/>
            <w:vAlign w:val="bottom"/>
            <w:gridSpan w:val="10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More than One Reporting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920" w:type="dxa"/>
            <w:vAlign w:val="bottom"/>
            <w:tcBorders>
              <w:top w:val="single" w:sz="8" w:color="2C2C2C"/>
            </w:tcBorders>
            <w:gridSpan w:val="24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 - Non-Derivative Securities Acquired, Disposed of, or Beneficially Owned</w:t>
            </w: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3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 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  <w:gridSpan w:val="5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at end of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Issuer's Fiscal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Year (Instr. 3 and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By Sutardja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12/23/2013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(1)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gridSpan w:val="5"/>
          </w:tcPr>
          <w:p>
            <w:pPr>
              <w:ind w:left="280"/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36,914,826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Revocable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40" w:type="dxa"/>
            <w:vAlign w:val="bottom"/>
            <w:gridSpan w:val="18"/>
          </w:tcPr>
          <w:p>
            <w:pPr>
              <w:jc w:val="center"/>
              <w:ind w:left="6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3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5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2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5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5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5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5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  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-6097905</wp:posOffset>
            </wp:positionV>
            <wp:extent cx="7272020" cy="61569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15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Reflects number of shares owned as of January 15, 2014. Dr. Sutardja was an executive officer through January 15, 2014.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02/28/2014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8" Type="http://schemas.openxmlformats.org/officeDocument/2006/relationships/hyperlink" Target="http://www.sec.gov/cgi-bin/browse-edgar?action=getcompany&amp;CIK=0001134282" TargetMode="External"/><Relationship Id="rId9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2019-12-18T04:23:18Z</dcterms:created>
  <dcterms:modified xsi:type="dcterms:W3CDTF">2019-12-18T04:23:18Z</dcterms:modified>
</cp:coreProperties>
</file>