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17,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6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w:t>
      </w:r>
    </w:p>
    <w:p>
      <w:pPr>
        <w:spacing w:after="0" w:line="229"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On February 17, 2014, the Board of Directors of Marvell Technology Group Ltd. (the “Company”) appointed Michael Rashkin, age 68, as Chief Financial Officer of the Company. Mr. Rashkin had been serving as Interim Chief Financial Officer of the Company since December 9, 2013. Mr. Rashkin served as the Director of Taxes and Tax Counsel of the Company’s subsidiary, Marvell Semiconductor, Inc. (“MSI”), from 1999 until 2000 and Director of Taxes and General Tax Counsel of MSI from 2000 until 2005, when he became MSI’s Vice President and General Tax Counsel. In 2007, Mr. Rashkin was appointed Special Assistant to the CEO and Vice President of Strategic Development of MSI. From July 2007 to January 2008, Mr. Rashkin served as Interim Chief Financial Officer of the Company. From January 2008 to March 2011, Mr. Rashkin served as Vice President of Taxes and General Tax Counsel of MSI. From March 2011, Mr. Rashkin has served as President of the Marvell Charitable Fund.</w:t>
      </w:r>
    </w:p>
    <w:p>
      <w:pPr>
        <w:spacing w:after="0" w:line="178"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Prior to joining MSI, Mr. Rashkin spent 13 years at Apple, where he served many executive roles, including, General Manager of Asia and Latin America, Director of Marketing for Apple Japan, Director of International Business Development, Director of Taxation, Customs, and Export Licensing, and Director of International Legal. He is the author of several books on taxation and has testified several times before the Senate Finance Committee on tax reform proposals to encourage innovation in the United States. Mr. Rashkin holds an LL.M. from the New York University Graduate School of Law, a J.D. from St. John’s University School of Law and a B.S. from Brooklyn College, City University of New York. Mr. Rashkin is a member of both the California and New York bars.</w:t>
      </w:r>
    </w:p>
    <w:p>
      <w:pPr>
        <w:spacing w:after="0" w:line="19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There are no arrangements or understandings between Mr. Rashkin and any other persons pursuant to which he was selected as Chief Financial Officer. There are also no family relationships between Mr. Rashkin and any director or executive officer of the Company and he has no direct or indirect material interest in any transaction required to be disclosed pursuant to Item 404(a) of Regulation S-K. The Company has entered into its standard form indemnification agreement with Mr. Rashkin.</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240" w:firstLine="456"/>
        <w:spacing w:after="0" w:line="277" w:lineRule="auto"/>
        <w:rPr>
          <w:sz w:val="20"/>
          <w:szCs w:val="20"/>
          <w:color w:val="auto"/>
        </w:rPr>
      </w:pPr>
      <w:r>
        <w:rPr>
          <w:rFonts w:ascii="Arial" w:cs="Arial" w:eastAsia="Arial" w:hAnsi="Arial"/>
          <w:sz w:val="18"/>
          <w:szCs w:val="18"/>
          <w:color w:val="auto"/>
        </w:rPr>
        <w:t>On February 20, 2014, the Company issued a press release announcing the appointment described above. A copy of this press release is furnished as Exhibit 99.1 to this Current Report on Form 8-K.</w:t>
      </w:r>
    </w:p>
    <w:p>
      <w:pPr>
        <w:spacing w:after="0" w:line="3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February 20, 2014</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20,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20, 2014</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5150485</wp:posOffset>
            </wp:positionH>
            <wp:positionV relativeFrom="paragraph">
              <wp:posOffset>172085</wp:posOffset>
            </wp:positionV>
            <wp:extent cx="1586230" cy="1200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86230" cy="120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8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5300" w:type="dxa"/>
            <w:vAlign w:val="bottom"/>
          </w:tcPr>
          <w:p>
            <w:pPr>
              <w:spacing w:after="0"/>
              <w:rPr>
                <w:sz w:val="19"/>
                <w:szCs w:val="19"/>
                <w:color w:val="auto"/>
              </w:rPr>
            </w:pPr>
          </w:p>
        </w:tc>
        <w:tc>
          <w:tcPr>
            <w:tcW w:w="1520" w:type="dxa"/>
            <w:vAlign w:val="bottom"/>
          </w:tcPr>
          <w:p>
            <w:pPr>
              <w:spacing w:after="0"/>
              <w:rPr>
                <w:sz w:val="19"/>
                <w:szCs w:val="19"/>
                <w:color w:val="auto"/>
              </w:rPr>
            </w:pPr>
          </w:p>
        </w:tc>
      </w:tr>
      <w:tr>
        <w:trPr>
          <w:trHeight w:val="216"/>
        </w:trPr>
        <w:tc>
          <w:tcPr>
            <w:tcW w:w="282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530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Holly Zheng</w:t>
            </w:r>
          </w:p>
        </w:tc>
      </w:tr>
      <w:tr>
        <w:trPr>
          <w:trHeight w:val="216"/>
        </w:trPr>
        <w:tc>
          <w:tcPr>
            <w:tcW w:w="28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30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408-222-8373</w:t>
            </w:r>
          </w:p>
        </w:tc>
        <w:tc>
          <w:tcPr>
            <w:tcW w:w="1360" w:type="dxa"/>
            <w:vAlign w:val="bottom"/>
          </w:tcPr>
          <w:p>
            <w:pPr>
              <w:spacing w:after="0"/>
              <w:rPr>
                <w:sz w:val="18"/>
                <w:szCs w:val="18"/>
                <w:color w:val="auto"/>
              </w:rPr>
            </w:pPr>
          </w:p>
        </w:tc>
        <w:tc>
          <w:tcPr>
            <w:tcW w:w="6820" w:type="dxa"/>
            <w:vAlign w:val="bottom"/>
            <w:gridSpan w:val="2"/>
          </w:tcPr>
          <w:p>
            <w:pPr>
              <w:ind w:left="5300"/>
              <w:spacing w:after="0"/>
              <w:rPr>
                <w:sz w:val="20"/>
                <w:szCs w:val="20"/>
                <w:color w:val="auto"/>
              </w:rPr>
            </w:pPr>
            <w:r>
              <w:rPr>
                <w:rFonts w:ascii="Arial" w:cs="Arial" w:eastAsia="Arial" w:hAnsi="Arial"/>
                <w:sz w:val="18"/>
                <w:szCs w:val="18"/>
                <w:color w:val="auto"/>
              </w:rPr>
              <w:t>408-222-9202</w:t>
            </w:r>
          </w:p>
        </w:tc>
      </w:tr>
      <w:tr>
        <w:trPr>
          <w:trHeight w:val="190"/>
        </w:trPr>
        <w:tc>
          <w:tcPr>
            <w:tcW w:w="2820" w:type="dxa"/>
            <w:vAlign w:val="bottom"/>
            <w:gridSpan w:val="2"/>
          </w:tcPr>
          <w:p>
            <w:pPr>
              <w:spacing w:after="0" w:line="190" w:lineRule="exact"/>
              <w:rPr>
                <w:sz w:val="20"/>
                <w:szCs w:val="20"/>
                <w:color w:val="auto"/>
              </w:rPr>
            </w:pPr>
            <w:r>
              <w:rPr>
                <w:rFonts w:ascii="Arial" w:cs="Arial" w:eastAsia="Arial" w:hAnsi="Arial"/>
                <w:sz w:val="18"/>
                <w:szCs w:val="18"/>
                <w:color w:val="auto"/>
              </w:rPr>
              <w:t>sukhi@marvell.com</w:t>
            </w:r>
          </w:p>
        </w:tc>
        <w:tc>
          <w:tcPr>
            <w:tcW w:w="5300" w:type="dxa"/>
            <w:vAlign w:val="bottom"/>
          </w:tcPr>
          <w:p>
            <w:pPr>
              <w:spacing w:after="0"/>
              <w:rPr>
                <w:sz w:val="16"/>
                <w:szCs w:val="16"/>
                <w:color w:val="auto"/>
              </w:rPr>
            </w:pPr>
          </w:p>
        </w:tc>
        <w:tc>
          <w:tcPr>
            <w:tcW w:w="1520" w:type="dxa"/>
            <w:vAlign w:val="bottom"/>
          </w:tcPr>
          <w:p>
            <w:pPr>
              <w:spacing w:after="0" w:line="190" w:lineRule="exact"/>
              <w:rPr>
                <w:sz w:val="20"/>
                <w:szCs w:val="20"/>
                <w:color w:val="auto"/>
              </w:rPr>
            </w:pPr>
            <w:r>
              <w:rPr>
                <w:rFonts w:ascii="Arial" w:cs="Arial" w:eastAsia="Arial" w:hAnsi="Arial"/>
                <w:sz w:val="18"/>
                <w:szCs w:val="18"/>
                <w:color w:val="auto"/>
                <w:w w:val="92"/>
              </w:rPr>
              <w:t>hollyz@marvell.com</w:t>
            </w:r>
          </w:p>
        </w:tc>
      </w:tr>
      <w:tr>
        <w:trPr>
          <w:trHeight w:val="20"/>
        </w:trPr>
        <w:tc>
          <w:tcPr>
            <w:tcW w:w="1460" w:type="dxa"/>
            <w:vAlign w:val="bottom"/>
            <w:shd w:val="clear" w:color="auto" w:fill="000000"/>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1520" w:type="dxa"/>
            <w:vAlign w:val="bottom"/>
            <w:shd w:val="clear" w:color="auto" w:fill="000000"/>
          </w:tcPr>
          <w:p>
            <w:pPr>
              <w:spacing w:after="0" w:line="20" w:lineRule="exact"/>
              <w:rPr>
                <w:sz w:val="1"/>
                <w:szCs w:val="1"/>
                <w:color w:val="auto"/>
              </w:rPr>
            </w:pPr>
          </w:p>
        </w:tc>
      </w:tr>
      <w:tr>
        <w:trPr>
          <w:trHeight w:val="453"/>
        </w:trPr>
        <w:tc>
          <w:tcPr>
            <w:tcW w:w="14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6820" w:type="dxa"/>
            <w:vAlign w:val="bottom"/>
            <w:gridSpan w:val="2"/>
          </w:tcPr>
          <w:p>
            <w:pPr>
              <w:ind w:left="260"/>
              <w:spacing w:after="0"/>
              <w:rPr>
                <w:sz w:val="20"/>
                <w:szCs w:val="20"/>
                <w:color w:val="auto"/>
              </w:rPr>
            </w:pPr>
            <w:r>
              <w:rPr>
                <w:rFonts w:ascii="Arial" w:cs="Arial" w:eastAsia="Arial" w:hAnsi="Arial"/>
                <w:sz w:val="18"/>
                <w:szCs w:val="18"/>
                <w:b w:val="1"/>
                <w:bCs w:val="1"/>
                <w:color w:val="auto"/>
              </w:rPr>
              <w:t>Marvell Technology Names Michael Rashkin Chief Financial Officer</w:t>
            </w:r>
          </w:p>
        </w:tc>
      </w:tr>
    </w:tbl>
    <w:p>
      <w:pPr>
        <w:spacing w:after="0" w:line="198"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 xml:space="preserve">Santa Clara, Calif. (February 20, 2014)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it has named Michael Rashkin Chief Financial Officer, effective February 17, 2014.</w:t>
      </w:r>
    </w:p>
    <w:p>
      <w:pPr>
        <w:spacing w:after="0" w:line="16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Mr. Rashkin served as the Interim Chief Financial Officer since December of 2013 and brings to Marvell more than 40 years of experience in finance, tax and operations in high technology industries. Mr. Rashkin has been with the Company since 1999 and prior to this appointment served in a variety of roles in the finance organization including as VP of Tax, VP of Strategic Development and President of the Marvell Charitable Fund. Mr. Rashkin also served as Interim Chief Financial Officer of Marvell from July 2007 to January 2008. Prior to joining Marvell, Mr. Rashkin spent 13 years at Apple, where he served many executive roles, including, General Manager of Asia and Latin America, Director of Marketing for Apple Japan, Director of International Business Development, Director of Taxation, Customs, and Export Licensing, and Director of International Legal. He is the author of several books on taxation and has testified several times before the Senate Finance Committee on tax reform proposals to encourage innovation in the United States.</w:t>
      </w:r>
    </w:p>
    <w:p>
      <w:pPr>
        <w:spacing w:after="0" w:line="167"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“Mike has extensive financial management experience with a steady and dependable track record of improving operations,” said Sehat Sutardja, Marvell’s Chief Executive Officer. “He is a well-known and well-liked executive within Marvell and having already served as our interim CFO is the best choice for all our stakeholders including customers, employees and shareholders. I am confident that his past experience and proven leadership will help him guide Marvell to the next level.”</w:t>
      </w:r>
    </w:p>
    <w:p>
      <w:pPr>
        <w:sectPr>
          <w:pgSz w:w="11900" w:h="16838" w:orient="portrait"/>
          <w:cols w:equalWidth="0" w:num="1">
            <w:col w:w="11420"/>
          </w:cols>
          <w:pgMar w:left="240" w:top="121" w:right="239" w:bottom="1440" w:gutter="0" w:footer="0" w:header="0"/>
        </w:sectPr>
      </w:pPr>
    </w:p>
    <w:bookmarkStart w:id="5" w:name="page6"/>
    <w:bookmarkEnd w:id="5"/>
    <w:p>
      <w:pPr>
        <w:ind w:right="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 am very pleased to step up and serve as the chief financial officer of Marvell and help build a truly world class semiconductor company,” said Mr. Rashkin. “The world-wide employees of Marvell continue to strive for excellence in products and execution and as we enter this new era of mobility and Internet for the masses, I look forward to doing my part in helping the company continue its journey from start-up to industry leader. As one of the most innovative companies in the world, Marvell is poised to take advantage of the new market opportunities that are sure to arise, and I look forward to assisting Marvell’s leaders drive our technologies into these new markets.”</w:t>
      </w:r>
    </w:p>
    <w:p>
      <w:pPr>
        <w:spacing w:after="0" w:line="188"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Mr. Rashkin holds an LL.M. from the New York University Graduate School of Law, a J.D. from St. John’s University School of Law and a B.S. from Brooklyn College, City University of New York. Mr. Rashkin is a member of both the California and New York bars.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Marvell is a global leader in providing complete silicon solutions enabling the Smart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73"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2019-12-06T18:55:15Z</dcterms:created>
  <dcterms:modified xsi:type="dcterms:W3CDTF">2019-12-06T18:55:15Z</dcterms:modified>
</cp:coreProperties>
</file>