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SEC Form 3</w:t>
            </w: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6"/>
        </w:trPr>
        <w:tc>
          <w:tcPr>
            <w:tcW w:w="2080" w:type="dxa"/>
            <w:vAlign w:val="bottom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</w:rPr>
              <w:t>FORM 3</w:t>
            </w:r>
          </w:p>
        </w:tc>
        <w:tc>
          <w:tcPr>
            <w:tcW w:w="7120" w:type="dxa"/>
            <w:vAlign w:val="bottom"/>
          </w:tcPr>
          <w:p>
            <w:pPr>
              <w:jc w:val="center"/>
              <w:ind w:lef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 w:line="19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INITIAL STATEMENT OF BENEFICIAL OWNERSHIP OF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3235-0104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120" w:type="dxa"/>
            <w:vAlign w:val="bottom"/>
            <w:vMerge w:val="restart"/>
          </w:tcPr>
          <w:p>
            <w:pPr>
              <w:jc w:val="center"/>
              <w:ind w:lef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8"/>
              </w:rPr>
              <w:t>SECURITIES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1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2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7170420</wp:posOffset>
            </wp:positionH>
            <wp:positionV relativeFrom="paragraph">
              <wp:posOffset>-655320</wp:posOffset>
            </wp:positionV>
            <wp:extent cx="59690" cy="6686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5824220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75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Filed pursuant to Section 16(a) of the Securities Exchange Act of 1934</w:t>
      </w: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-6985</wp:posOffset>
            </wp:positionH>
            <wp:positionV relativeFrom="paragraph">
              <wp:posOffset>13970</wp:posOffset>
            </wp:positionV>
            <wp:extent cx="7272020" cy="427926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4279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420"/>
          </w:cols>
          <w:pgMar w:left="240" w:top="226" w:right="239" w:bottom="1440" w:gutter="0" w:footer="0" w:header="0"/>
        </w:sectPr>
      </w:pPr>
    </w:p>
    <w:p>
      <w:pPr>
        <w:spacing w:after="0" w:line="3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32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2. Date of Event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gridSpan w:val="2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2"/>
                <w:szCs w:val="22"/>
                <w:color w:val="0000EE"/>
              </w:rPr>
            </w:pPr>
            <w:hyperlink r:id="rId11">
              <w:r>
                <w:rPr>
                  <w:rFonts w:ascii="Arial" w:cs="Arial" w:eastAsia="Arial" w:hAnsi="Arial"/>
                  <w:sz w:val="22"/>
                  <w:szCs w:val="22"/>
                  <w:color w:val="0000EE"/>
                </w:rPr>
                <w:t>Rashkin Michael</w:t>
              </w:r>
            </w:hyperlink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3"/>
              </w:rPr>
              <w:t>Requiring Statement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(Month/Day/Year)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ind w:left="160"/>
              <w:spacing w:after="0" w:line="17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12/10/2013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8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3. Issuer Name </w:t>
      </w: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Ticker or Trading Symbol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21"/>
          <w:szCs w:val="21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MARVELL TECHNOLOGY GROUP LTD</w:t>
        </w:r>
        <w:r>
          <w:rPr>
            <w:rFonts w:ascii="Arial" w:cs="Arial" w:eastAsia="Arial" w:hAnsi="Arial"/>
            <w:sz w:val="21"/>
            <w:szCs w:val="21"/>
            <w:color w:val="0000EE"/>
          </w:rPr>
          <w:t xml:space="preserve"> </w:t>
        </w:r>
      </w:hyperlink>
      <w:r>
        <w:rPr>
          <w:rFonts w:ascii="Arial" w:cs="Arial" w:eastAsia="Arial" w:hAnsi="Arial"/>
          <w:sz w:val="21"/>
          <w:szCs w:val="21"/>
          <w:color w:val="000000"/>
        </w:rPr>
        <w:t>[</w:t>
      </w:r>
      <w:r>
        <w:rPr>
          <w:rFonts w:ascii="Arial" w:cs="Arial" w:eastAsia="Arial" w:hAnsi="Arial"/>
          <w:sz w:val="21"/>
          <w:szCs w:val="21"/>
          <w:color w:val="0000EE"/>
        </w:rPr>
        <w:t xml:space="preserve"> </w:t>
      </w:r>
      <w:r>
        <w:rPr>
          <w:rFonts w:ascii="Arial" w:cs="Arial" w:eastAsia="Arial" w:hAnsi="Arial"/>
          <w:sz w:val="16"/>
          <w:szCs w:val="16"/>
          <w:color w:val="0000FF"/>
        </w:rPr>
        <w:t>MRVL</w:t>
      </w:r>
      <w:r>
        <w:rPr>
          <w:rFonts w:ascii="Arial" w:cs="Arial" w:eastAsia="Arial" w:hAnsi="Arial"/>
          <w:sz w:val="21"/>
          <w:szCs w:val="21"/>
          <w:color w:val="0000EE"/>
        </w:rPr>
        <w:t xml:space="preserve">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34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4720" w:space="480"/>
            <w:col w:w="6220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68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12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2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CA</w:t>
            </w:r>
          </w:p>
        </w:tc>
        <w:tc>
          <w:tcPr>
            <w:tcW w:w="126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CLARA</w:t>
            </w: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6" w:right="160" w:hanging="6"/>
        <w:spacing w:after="0" w:line="231" w:lineRule="auto"/>
        <w:tabs>
          <w:tab w:leader="none" w:pos="156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Relationship of Reporting Person(s) to Issuer (Check all applicable)</w:t>
      </w:r>
    </w:p>
    <w:p>
      <w:pPr>
        <w:spacing w:after="0" w:line="28" w:lineRule="exact"/>
        <w:rPr>
          <w:sz w:val="24"/>
          <w:szCs w:val="24"/>
          <w:color w:val="auto"/>
        </w:rPr>
      </w:pPr>
    </w:p>
    <w:tbl>
      <w:tblPr>
        <w:tblLayout w:type="fixed"/>
        <w:tblInd w:w="206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16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42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16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4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1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1186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Interim CFO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3" w:right="480" w:hanging="3"/>
        <w:spacing w:after="0" w:line="231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If Amendment, Date of Original Filed (Month/Day/Year)</w:t>
      </w:r>
    </w:p>
    <w:p>
      <w:pPr>
        <w:spacing w:after="0" w:line="297" w:lineRule="exact"/>
        <w:rPr>
          <w:rFonts w:ascii="Arial" w:cs="Arial" w:eastAsia="Arial" w:hAnsi="Arial"/>
          <w:sz w:val="14"/>
          <w:szCs w:val="14"/>
          <w:color w:val="auto"/>
        </w:rPr>
      </w:pPr>
    </w:p>
    <w:p>
      <w:pPr>
        <w:ind w:left="3" w:right="380" w:hanging="3"/>
        <w:spacing w:after="0" w:line="231" w:lineRule="auto"/>
        <w:tabs>
          <w:tab w:leader="none" w:pos="153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Individual or Joint/Group Filing (Check Applicable Line)</w:t>
      </w:r>
    </w:p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483" w:hanging="316"/>
        <w:spacing w:after="0"/>
        <w:tabs>
          <w:tab w:leader="none" w:pos="483" w:val="left"/>
        </w:tabs>
        <w:numPr>
          <w:ilvl w:val="0"/>
          <w:numId w:val="3"/>
        </w:numPr>
        <w:rPr>
          <w:rFonts w:ascii="Arial" w:cs="Arial" w:eastAsia="Arial" w:hAnsi="Arial"/>
          <w:sz w:val="16"/>
          <w:szCs w:val="16"/>
          <w:color w:val="0000FF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0" w:lineRule="exact"/>
        <w:rPr>
          <w:rFonts w:ascii="Arial" w:cs="Arial" w:eastAsia="Arial" w:hAnsi="Arial"/>
          <w:sz w:val="16"/>
          <w:szCs w:val="16"/>
          <w:color w:val="0000FF"/>
        </w:rPr>
      </w:pPr>
    </w:p>
    <w:p>
      <w:pPr>
        <w:ind w:left="483" w:right="640"/>
        <w:spacing w:after="0" w:line="231" w:lineRule="auto"/>
        <w:rPr>
          <w:rFonts w:ascii="Arial" w:cs="Arial" w:eastAsia="Arial" w:hAnsi="Arial"/>
          <w:sz w:val="16"/>
          <w:szCs w:val="16"/>
          <w:color w:val="0000FF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 Person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4474" w:space="720"/>
            <w:col w:w="3006" w:space="397"/>
            <w:col w:w="2823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71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200" w:val="left"/>
          <w:tab w:leader="none" w:pos="22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(City)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(State)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(Zip)</w:t>
      </w:r>
    </w:p>
    <w:p>
      <w:pPr>
        <w:spacing w:after="0" w:line="172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Beneficially Owned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34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4)</w:t>
            </w:r>
          </w:p>
        </w:tc>
        <w:tc>
          <w:tcPr>
            <w:tcW w:w="3620" w:type="dxa"/>
            <w:vAlign w:val="bottom"/>
          </w:tcPr>
          <w:p>
            <w:pPr>
              <w:ind w:left="1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2. Amount of Securities</w:t>
            </w: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3. Ownership</w:t>
            </w:r>
          </w:p>
        </w:tc>
        <w:tc>
          <w:tcPr>
            <w:tcW w:w="30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4. Nature of Indirect Beneficial Ownership</w:t>
            </w:r>
          </w:p>
        </w:tc>
      </w:tr>
      <w:tr>
        <w:trPr>
          <w:trHeight w:val="149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ind w:left="164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Beneficially Owned (Instr. 4)</w:t>
            </w: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Form: Direct (D)</w:t>
            </w:r>
          </w:p>
        </w:tc>
        <w:tc>
          <w:tcPr>
            <w:tcW w:w="3000" w:type="dxa"/>
            <w:vAlign w:val="bottom"/>
          </w:tcPr>
          <w:p>
            <w:pPr>
              <w:ind w:left="12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</w:tr>
      <w:tr>
        <w:trPr>
          <w:trHeight w:val="149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Indirect (I)</w:t>
            </w:r>
          </w:p>
        </w:tc>
        <w:tc>
          <w:tcPr>
            <w:tcW w:w="30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178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30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48"/>
        </w:trPr>
        <w:tc>
          <w:tcPr>
            <w:tcW w:w="3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</w:tbl>
    <w:p>
      <w:pPr>
        <w:spacing w:after="0" w:line="46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jc w:val="right"/>
              <w:ind w:right="4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1,226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1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440" w:type="dxa"/>
            <w:vAlign w:val="bottom"/>
            <w:tcBorders>
              <w:top w:val="single" w:sz="8" w:color="2C2C2C"/>
            </w:tcBorders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Table II - Derivative Securities Beneficially Owned</w:t>
            </w: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8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Derivative Security (Instr. 4)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2. Date Exercisable and</w:t>
            </w:r>
          </w:p>
        </w:tc>
        <w:tc>
          <w:tcPr>
            <w:tcW w:w="27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3. Title and Amount of Securities</w:t>
            </w:r>
          </w:p>
        </w:tc>
        <w:tc>
          <w:tcPr>
            <w:tcW w:w="2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4.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5.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40" w:type="dxa"/>
            <w:vAlign w:val="bottom"/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6. Nature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2760" w:type="dxa"/>
            <w:vAlign w:val="bottom"/>
            <w:gridSpan w:val="3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Underlying Derivative Security (Instr. 4)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640" w:type="dxa"/>
            <w:vAlign w:val="bottom"/>
            <w:gridSpan w:val="3"/>
          </w:tcPr>
          <w:p>
            <w:pPr>
              <w:ind w:left="1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Beneficial 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Form:</w:t>
            </w:r>
          </w:p>
        </w:tc>
        <w:tc>
          <w:tcPr>
            <w:tcW w:w="1640" w:type="dxa"/>
            <w:vAlign w:val="bottom"/>
            <w:gridSpan w:val="3"/>
          </w:tcPr>
          <w:p>
            <w:pPr>
              <w:ind w:left="10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Price of</w:t>
            </w: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Amount</w:t>
            </w: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6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80"/>
              <w:spacing w:after="0" w:line="13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2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or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(I) (Instr. 5)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2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Number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26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of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Date</w:t>
            </w:r>
          </w:p>
        </w:tc>
        <w:tc>
          <w:tcPr>
            <w:tcW w:w="18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Title</w:t>
            </w:r>
          </w:p>
        </w:tc>
        <w:tc>
          <w:tcPr>
            <w:tcW w:w="88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Shares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Employee Stock Option (Right to Buy)</w:t>
            </w:r>
          </w:p>
        </w:tc>
        <w:tc>
          <w:tcPr>
            <w:tcW w:w="1300" w:type="dxa"/>
            <w:vAlign w:val="bottom"/>
            <w:gridSpan w:val="2"/>
          </w:tcPr>
          <w:p>
            <w:pPr>
              <w:jc w:val="right"/>
              <w:ind w:right="30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ind w:righ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99"/>
              </w:rPr>
              <w:t>12/18/2018</w:t>
            </w:r>
          </w:p>
        </w:tc>
        <w:tc>
          <w:tcPr>
            <w:tcW w:w="1880" w:type="dxa"/>
            <w:vAlign w:val="bottom"/>
            <w:gridSpan w:val="2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8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2,500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6.84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8000"/>
                <w:w w:val="91"/>
              </w:rPr>
              <w:t>1. This option was fully vested on December 15, 2012.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Remarks: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9"/>
              </w:rPr>
              <w:t>/s/ Michael Rashkin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500" w:type="dxa"/>
            <w:vAlign w:val="bottom"/>
            <w:gridSpan w:val="4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12/18/2013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20" w:type="dxa"/>
            <w:vAlign w:val="bottom"/>
            <w:gridSpan w:val="3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9"/>
              </w:rPr>
              <w:t>** Signature of Reporting Person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5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4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4B0DC51"/>
    <w:multiLevelType w:val="hybridMultilevel"/>
    <w:lvl w:ilvl="0">
      <w:lvlJc w:val="left"/>
      <w:lvlText w:val="%1."/>
      <w:numFmt w:val="decimal"/>
      <w:start w:val="4"/>
    </w:lvl>
  </w:abstractNum>
  <w:abstractNum w:abstractNumId="1">
    <w:nsid w:val="19495CFF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2AE8944A"/>
    <w:multiLevelType w:val="hybridMultilevel"/>
    <w:lvl w:ilvl="0">
      <w:lvlJc w:val="left"/>
      <w:lvlText w:val="X"/>
      <w:numFmt w:val="bullet"/>
      <w:start w:val="1"/>
    </w:lvl>
  </w:abstractNum>
  <w:abstractNum w:abstractNumId="3">
    <w:nsid w:val="625558EC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hyperlink" Target="http://www.sec.gov/cgi-bin/browse-edgar?action=getcompany&amp;CIK=0001407022" TargetMode="External"/><Relationship Id="rId12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2019-12-18T04:06:07Z</dcterms:created>
  <dcterms:modified xsi:type="dcterms:W3CDTF">2019-12-18T04:06:07Z</dcterms:modified>
</cp:coreProperties>
</file>