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center"/>
        <w:ind w:right="-39"/>
        <w:spacing w:after="0"/>
        <w:rPr>
          <w:sz w:val="20"/>
          <w:szCs w:val="20"/>
          <w:color w:val="auto"/>
        </w:rPr>
      </w:pPr>
      <w:r>
        <w:rPr>
          <w:rFonts w:ascii="Arial" w:cs="Arial" w:eastAsia="Arial" w:hAnsi="Arial"/>
          <w:sz w:val="32"/>
          <w:szCs w:val="32"/>
          <w:b w:val="1"/>
          <w:bCs w:val="1"/>
          <w:color w:val="auto"/>
        </w:rPr>
        <w:drawing>
          <wp:anchor simplePos="0" relativeHeight="251657728" behindDoc="1" locked="0" layoutInCell="0" allowOverlap="1">
            <wp:simplePos x="0" y="0"/>
            <wp:positionH relativeFrom="page">
              <wp:posOffset>157480</wp:posOffset>
            </wp:positionH>
            <wp:positionV relativeFrom="page">
              <wp:posOffset>166370</wp:posOffset>
            </wp:positionV>
            <wp:extent cx="7246620" cy="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7246620" cy="8890"/>
                    </a:xfrm>
                    <a:prstGeom prst="rect">
                      <a:avLst/>
                    </a:prstGeom>
                    <a:noFill/>
                  </pic:spPr>
                </pic:pic>
              </a:graphicData>
            </a:graphic>
          </wp:anchor>
        </w:drawing>
        <w:drawing>
          <wp:anchor simplePos="0" relativeHeight="251657728" behindDoc="1" locked="0" layoutInCell="0" allowOverlap="1">
            <wp:simplePos x="0" y="0"/>
            <wp:positionH relativeFrom="page">
              <wp:posOffset>157480</wp:posOffset>
            </wp:positionH>
            <wp:positionV relativeFrom="page">
              <wp:posOffset>208915</wp:posOffset>
            </wp:positionV>
            <wp:extent cx="7246620" cy="889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246620" cy="8890"/>
                    </a:xfrm>
                    <a:prstGeom prst="rect">
                      <a:avLst/>
                    </a:prstGeom>
                    <a:noFill/>
                  </pic:spPr>
                </pic:pic>
              </a:graphicData>
            </a:graphic>
          </wp:anchor>
        </w:drawing>
        <w:t>UNITED STATES</w:t>
      </w:r>
    </w:p>
    <w:p>
      <w:pPr>
        <w:spacing w:after="0" w:line="31" w:lineRule="exact"/>
        <w:rPr>
          <w:sz w:val="24"/>
          <w:szCs w:val="24"/>
          <w:color w:val="auto"/>
        </w:rPr>
      </w:pPr>
    </w:p>
    <w:p>
      <w:pPr>
        <w:jc w:val="center"/>
        <w:ind w:right="-39"/>
        <w:spacing w:after="0"/>
        <w:rPr>
          <w:sz w:val="20"/>
          <w:szCs w:val="20"/>
          <w:color w:val="auto"/>
        </w:rPr>
      </w:pPr>
      <w:r>
        <w:rPr>
          <w:rFonts w:ascii="Arial" w:cs="Arial" w:eastAsia="Arial" w:hAnsi="Arial"/>
          <w:sz w:val="32"/>
          <w:szCs w:val="32"/>
          <w:b w:val="1"/>
          <w:bCs w:val="1"/>
          <w:color w:val="auto"/>
        </w:rPr>
        <w:t>SECURITIES AND EXCHANGE COMMISSION</w:t>
      </w:r>
    </w:p>
    <w:p>
      <w:pPr>
        <w:jc w:val="center"/>
        <w:ind w:right="-39"/>
        <w:spacing w:after="0"/>
        <w:rPr>
          <w:sz w:val="20"/>
          <w:szCs w:val="20"/>
          <w:color w:val="auto"/>
        </w:rPr>
      </w:pPr>
      <w:r>
        <w:rPr>
          <w:rFonts w:ascii="Arial" w:cs="Arial" w:eastAsia="Arial" w:hAnsi="Arial"/>
          <w:sz w:val="22"/>
          <w:szCs w:val="22"/>
          <w:b w:val="1"/>
          <w:bCs w:val="1"/>
          <w:color w:val="auto"/>
        </w:rPr>
        <w:t>Washington, D.C. 20549</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227330</wp:posOffset>
            </wp:positionV>
            <wp:extent cx="1517650" cy="88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00" w:lineRule="exact"/>
        <w:rPr>
          <w:sz w:val="24"/>
          <w:szCs w:val="24"/>
          <w:color w:val="auto"/>
        </w:rPr>
      </w:pPr>
    </w:p>
    <w:p>
      <w:pPr>
        <w:spacing w:after="0" w:line="327" w:lineRule="exact"/>
        <w:rPr>
          <w:sz w:val="24"/>
          <w:szCs w:val="24"/>
          <w:color w:val="auto"/>
        </w:rPr>
      </w:pPr>
    </w:p>
    <w:p>
      <w:pPr>
        <w:jc w:val="center"/>
        <w:ind w:right="-39"/>
        <w:spacing w:after="0"/>
        <w:rPr>
          <w:sz w:val="20"/>
          <w:szCs w:val="20"/>
          <w:color w:val="auto"/>
        </w:rPr>
      </w:pPr>
      <w:r>
        <w:rPr>
          <w:rFonts w:ascii="Arial" w:cs="Arial" w:eastAsia="Arial" w:hAnsi="Arial"/>
          <w:sz w:val="32"/>
          <w:szCs w:val="32"/>
          <w:b w:val="1"/>
          <w:bCs w:val="1"/>
          <w:color w:val="auto"/>
        </w:rPr>
        <w:t>FORM 8-K</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247015</wp:posOffset>
            </wp:positionV>
            <wp:extent cx="1517650" cy="889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00" w:lineRule="exact"/>
        <w:rPr>
          <w:sz w:val="24"/>
          <w:szCs w:val="24"/>
          <w:color w:val="auto"/>
        </w:rPr>
      </w:pPr>
    </w:p>
    <w:p>
      <w:pPr>
        <w:spacing w:after="0" w:line="371" w:lineRule="exact"/>
        <w:rPr>
          <w:sz w:val="24"/>
          <w:szCs w:val="24"/>
          <w:color w:val="auto"/>
        </w:rPr>
      </w:pPr>
    </w:p>
    <w:p>
      <w:pPr>
        <w:jc w:val="center"/>
        <w:ind w:right="-39"/>
        <w:spacing w:after="0"/>
        <w:rPr>
          <w:sz w:val="20"/>
          <w:szCs w:val="20"/>
          <w:color w:val="auto"/>
        </w:rPr>
      </w:pPr>
      <w:r>
        <w:rPr>
          <w:rFonts w:ascii="Arial" w:cs="Arial" w:eastAsia="Arial" w:hAnsi="Arial"/>
          <w:sz w:val="22"/>
          <w:szCs w:val="22"/>
          <w:b w:val="1"/>
          <w:bCs w:val="1"/>
          <w:color w:val="auto"/>
        </w:rPr>
        <w:t>CURRENT REPORT</w:t>
      </w:r>
    </w:p>
    <w:p>
      <w:pPr>
        <w:spacing w:after="0" w:line="4" w:lineRule="exact"/>
        <w:rPr>
          <w:sz w:val="24"/>
          <w:szCs w:val="24"/>
          <w:color w:val="auto"/>
        </w:rPr>
      </w:pPr>
    </w:p>
    <w:p>
      <w:pPr>
        <w:jc w:val="center"/>
        <w:ind w:right="-39"/>
        <w:spacing w:after="0"/>
        <w:rPr>
          <w:sz w:val="20"/>
          <w:szCs w:val="20"/>
          <w:color w:val="auto"/>
        </w:rPr>
      </w:pPr>
      <w:r>
        <w:rPr>
          <w:rFonts w:ascii="Arial" w:cs="Arial" w:eastAsia="Arial" w:hAnsi="Arial"/>
          <w:sz w:val="22"/>
          <w:szCs w:val="22"/>
          <w:b w:val="1"/>
          <w:bCs w:val="1"/>
          <w:color w:val="auto"/>
        </w:rPr>
        <w:t>Pursuant to Section 13 or 15(d)</w:t>
      </w:r>
    </w:p>
    <w:p>
      <w:pPr>
        <w:jc w:val="center"/>
        <w:ind w:right="-39"/>
        <w:spacing w:after="0"/>
        <w:rPr>
          <w:sz w:val="20"/>
          <w:szCs w:val="20"/>
          <w:color w:val="auto"/>
        </w:rPr>
      </w:pPr>
      <w:r>
        <w:rPr>
          <w:rFonts w:ascii="Arial" w:cs="Arial" w:eastAsia="Arial" w:hAnsi="Arial"/>
          <w:sz w:val="22"/>
          <w:szCs w:val="22"/>
          <w:b w:val="1"/>
          <w:bCs w:val="1"/>
          <w:color w:val="auto"/>
        </w:rPr>
        <w:t>of the Securities Exchange Act of 1934</w:t>
      </w:r>
    </w:p>
    <w:p>
      <w:pPr>
        <w:spacing w:after="0" w:line="182" w:lineRule="exact"/>
        <w:rPr>
          <w:sz w:val="24"/>
          <w:szCs w:val="24"/>
          <w:color w:val="auto"/>
        </w:rPr>
      </w:pPr>
    </w:p>
    <w:p>
      <w:pPr>
        <w:jc w:val="center"/>
        <w:ind w:right="-39"/>
        <w:spacing w:after="0"/>
        <w:rPr>
          <w:sz w:val="20"/>
          <w:szCs w:val="20"/>
          <w:color w:val="auto"/>
        </w:rPr>
      </w:pPr>
      <w:r>
        <w:rPr>
          <w:rFonts w:ascii="Arial" w:cs="Arial" w:eastAsia="Arial" w:hAnsi="Arial"/>
          <w:sz w:val="22"/>
          <w:szCs w:val="22"/>
          <w:b w:val="1"/>
          <w:bCs w:val="1"/>
          <w:color w:val="auto"/>
        </w:rPr>
        <w:t>Date of Report (Date of earliest event reported): November 21, 2013</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234315</wp:posOffset>
            </wp:positionV>
            <wp:extent cx="1517650" cy="889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00" w:lineRule="exact"/>
        <w:rPr>
          <w:sz w:val="24"/>
          <w:szCs w:val="24"/>
          <w:color w:val="auto"/>
        </w:rPr>
      </w:pPr>
    </w:p>
    <w:p>
      <w:pPr>
        <w:spacing w:after="0" w:line="335" w:lineRule="exact"/>
        <w:rPr>
          <w:sz w:val="24"/>
          <w:szCs w:val="24"/>
          <w:color w:val="auto"/>
        </w:rPr>
      </w:pPr>
    </w:p>
    <w:p>
      <w:pPr>
        <w:jc w:val="center"/>
        <w:ind w:right="-39"/>
        <w:spacing w:after="0"/>
        <w:rPr>
          <w:sz w:val="20"/>
          <w:szCs w:val="20"/>
          <w:color w:val="auto"/>
        </w:rPr>
      </w:pPr>
      <w:r>
        <w:rPr>
          <w:rFonts w:ascii="Arial" w:cs="Arial" w:eastAsia="Arial" w:hAnsi="Arial"/>
          <w:sz w:val="43"/>
          <w:szCs w:val="43"/>
          <w:b w:val="1"/>
          <w:bCs w:val="1"/>
          <w:color w:val="auto"/>
        </w:rPr>
        <w:t>MARVELL TECHNOLOGY GROUP LTD.</w:t>
      </w:r>
    </w:p>
    <w:p>
      <w:pPr>
        <w:spacing w:after="0" w:line="50" w:lineRule="exact"/>
        <w:rPr>
          <w:sz w:val="24"/>
          <w:szCs w:val="24"/>
          <w:color w:val="auto"/>
        </w:rPr>
      </w:pPr>
    </w:p>
    <w:p>
      <w:pPr>
        <w:jc w:val="center"/>
        <w:ind w:right="-39"/>
        <w:spacing w:after="0"/>
        <w:rPr>
          <w:sz w:val="20"/>
          <w:szCs w:val="20"/>
          <w:color w:val="auto"/>
        </w:rPr>
      </w:pPr>
      <w:r>
        <w:rPr>
          <w:rFonts w:ascii="Arial" w:cs="Arial" w:eastAsia="Arial" w:hAnsi="Arial"/>
          <w:sz w:val="18"/>
          <w:szCs w:val="18"/>
          <w:b w:val="1"/>
          <w:bCs w:val="1"/>
          <w:color w:val="auto"/>
        </w:rPr>
        <w:t>(Exact name of registrant as specified in its charter)</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236220</wp:posOffset>
            </wp:positionV>
            <wp:extent cx="1517650" cy="889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ectPr>
          <w:pgSz w:w="11900" w:h="16838" w:orient="portrait"/>
          <w:cols w:equalWidth="0" w:num="1">
            <w:col w:w="11380"/>
          </w:cols>
          <w:pgMar w:left="240" w:top="368" w:right="279" w:bottom="1440" w:gutter="0" w:footer="0" w:header="0"/>
        </w:sectPr>
      </w:pPr>
    </w:p>
    <w:p>
      <w:pPr>
        <w:spacing w:after="0" w:line="200" w:lineRule="exact"/>
        <w:rPr>
          <w:sz w:val="24"/>
          <w:szCs w:val="24"/>
          <w:color w:val="auto"/>
        </w:rPr>
      </w:pPr>
    </w:p>
    <w:p>
      <w:pPr>
        <w:spacing w:after="0" w:line="200" w:lineRule="exact"/>
        <w:rPr>
          <w:sz w:val="24"/>
          <w:szCs w:val="24"/>
          <w:color w:val="auto"/>
        </w:rPr>
      </w:pPr>
    </w:p>
    <w:p>
      <w:pPr>
        <w:spacing w:after="0" w:line="237" w:lineRule="exact"/>
        <w:rPr>
          <w:sz w:val="24"/>
          <w:szCs w:val="24"/>
          <w:color w:val="auto"/>
        </w:rPr>
      </w:pPr>
    </w:p>
    <w:p>
      <w:pPr>
        <w:ind w:left="1580"/>
        <w:spacing w:after="0"/>
        <w:rPr>
          <w:sz w:val="20"/>
          <w:szCs w:val="20"/>
          <w:color w:val="auto"/>
        </w:rPr>
      </w:pPr>
      <w:r>
        <w:rPr>
          <w:rFonts w:ascii="Arial" w:cs="Arial" w:eastAsia="Arial" w:hAnsi="Arial"/>
          <w:sz w:val="16"/>
          <w:szCs w:val="16"/>
          <w:b w:val="1"/>
          <w:bCs w:val="1"/>
          <w:color w:val="auto"/>
        </w:rPr>
        <w:t>Bermuda</w:t>
      </w:r>
    </w:p>
    <w:p>
      <w:pPr>
        <w:spacing w:after="0" w:line="20" w:lineRule="exact"/>
        <w:rPr>
          <w:sz w:val="24"/>
          <w:szCs w:val="24"/>
          <w:color w:val="auto"/>
        </w:rPr>
      </w:pPr>
      <w:r>
        <w:rPr>
          <w:sz w:val="24"/>
          <w:szCs w:val="24"/>
          <w:color w:val="auto"/>
        </w:rPr>
        <w:br w:type="column"/>
      </w:r>
    </w:p>
    <w:p>
      <w:pPr>
        <w:spacing w:after="0" w:line="200" w:lineRule="exact"/>
        <w:rPr>
          <w:sz w:val="24"/>
          <w:szCs w:val="24"/>
          <w:color w:val="auto"/>
        </w:rPr>
      </w:pPr>
    </w:p>
    <w:p>
      <w:pPr>
        <w:spacing w:after="0" w:line="200" w:lineRule="exact"/>
        <w:rPr>
          <w:sz w:val="24"/>
          <w:szCs w:val="24"/>
          <w:color w:val="auto"/>
        </w:rPr>
      </w:pPr>
    </w:p>
    <w:p>
      <w:pPr>
        <w:spacing w:after="0" w:line="217" w:lineRule="exact"/>
        <w:rPr>
          <w:sz w:val="24"/>
          <w:szCs w:val="24"/>
          <w:color w:val="auto"/>
        </w:rPr>
      </w:pPr>
    </w:p>
    <w:p>
      <w:pPr>
        <w:jc w:val="center"/>
        <w:ind w:right="2200"/>
        <w:spacing w:after="0"/>
        <w:rPr>
          <w:sz w:val="20"/>
          <w:szCs w:val="20"/>
          <w:color w:val="auto"/>
        </w:rPr>
      </w:pPr>
      <w:r>
        <w:rPr>
          <w:rFonts w:ascii="Arial" w:cs="Arial" w:eastAsia="Arial" w:hAnsi="Arial"/>
          <w:sz w:val="16"/>
          <w:szCs w:val="16"/>
          <w:b w:val="1"/>
          <w:bCs w:val="1"/>
          <w:color w:val="auto"/>
        </w:rPr>
        <w:t>000-30877</w:t>
      </w:r>
    </w:p>
    <w:p>
      <w:pPr>
        <w:spacing w:after="0" w:line="20" w:lineRule="exact"/>
        <w:rPr>
          <w:sz w:val="24"/>
          <w:szCs w:val="24"/>
          <w:color w:val="auto"/>
        </w:rPr>
      </w:pPr>
      <w:r>
        <w:rPr>
          <w:sz w:val="24"/>
          <w:szCs w:val="24"/>
          <w:color w:val="auto"/>
        </w:rPr>
        <w:br w:type="column"/>
      </w:r>
    </w:p>
    <w:p>
      <w:pPr>
        <w:spacing w:after="0" w:line="200" w:lineRule="exact"/>
        <w:rPr>
          <w:sz w:val="24"/>
          <w:szCs w:val="24"/>
          <w:color w:val="auto"/>
        </w:rPr>
      </w:pPr>
    </w:p>
    <w:p>
      <w:pPr>
        <w:spacing w:after="0" w:line="200" w:lineRule="exact"/>
        <w:rPr>
          <w:sz w:val="24"/>
          <w:szCs w:val="24"/>
          <w:color w:val="auto"/>
        </w:rPr>
      </w:pPr>
    </w:p>
    <w:p>
      <w:pPr>
        <w:spacing w:after="0" w:line="217" w:lineRule="exact"/>
        <w:rPr>
          <w:sz w:val="24"/>
          <w:szCs w:val="24"/>
          <w:color w:val="auto"/>
        </w:rPr>
      </w:pPr>
    </w:p>
    <w:p>
      <w:pPr>
        <w:spacing w:after="0"/>
        <w:rPr>
          <w:sz w:val="20"/>
          <w:szCs w:val="20"/>
          <w:color w:val="auto"/>
        </w:rPr>
      </w:pPr>
      <w:r>
        <w:rPr>
          <w:rFonts w:ascii="Arial" w:cs="Arial" w:eastAsia="Arial" w:hAnsi="Arial"/>
          <w:sz w:val="16"/>
          <w:szCs w:val="16"/>
          <w:b w:val="1"/>
          <w:bCs w:val="1"/>
          <w:color w:val="auto"/>
        </w:rPr>
        <w:t>77-0481679</w:t>
      </w:r>
    </w:p>
    <w:p>
      <w:pPr>
        <w:spacing w:after="0" w:line="31" w:lineRule="exact"/>
        <w:rPr>
          <w:sz w:val="24"/>
          <w:szCs w:val="24"/>
          <w:color w:val="auto"/>
        </w:rPr>
      </w:pPr>
    </w:p>
    <w:p>
      <w:pPr>
        <w:sectPr>
          <w:pgSz w:w="11900" w:h="16838" w:orient="portrait"/>
          <w:cols w:equalWidth="0" w:num="3">
            <w:col w:w="4740" w:space="720"/>
            <w:col w:w="2980" w:space="720"/>
            <w:col w:w="2220"/>
          </w:cols>
          <w:pgMar w:left="240" w:top="368" w:right="279" w:bottom="1440" w:gutter="0" w:footer="0" w:header="0"/>
          <w:type w:val="continuous"/>
        </w:sectPr>
      </w:pPr>
    </w:p>
    <w:p>
      <w:pPr>
        <w:spacing w:after="0" w:line="12" w:lineRule="exact"/>
        <w:rPr>
          <w:sz w:val="24"/>
          <w:szCs w:val="24"/>
          <w:color w:val="auto"/>
        </w:rPr>
      </w:pPr>
    </w:p>
    <w:p>
      <w:pPr>
        <w:jc w:val="center"/>
        <w:ind w:right="820"/>
        <w:spacing w:after="0"/>
        <w:rPr>
          <w:sz w:val="20"/>
          <w:szCs w:val="20"/>
          <w:color w:val="auto"/>
        </w:rPr>
      </w:pPr>
      <w:r>
        <w:rPr>
          <w:rFonts w:ascii="Arial" w:cs="Arial" w:eastAsia="Arial" w:hAnsi="Arial"/>
          <w:sz w:val="13"/>
          <w:szCs w:val="13"/>
          <w:b w:val="1"/>
          <w:bCs w:val="1"/>
          <w:color w:val="auto"/>
        </w:rPr>
        <w:t>(State or other jurisdiction</w:t>
      </w:r>
    </w:p>
    <w:p>
      <w:pPr>
        <w:jc w:val="center"/>
        <w:ind w:right="820"/>
        <w:spacing w:after="0"/>
        <w:rPr>
          <w:sz w:val="20"/>
          <w:szCs w:val="20"/>
          <w:color w:val="auto"/>
        </w:rPr>
      </w:pPr>
      <w:r>
        <w:rPr>
          <w:rFonts w:ascii="Arial" w:cs="Arial" w:eastAsia="Arial" w:hAnsi="Arial"/>
          <w:sz w:val="14"/>
          <w:szCs w:val="14"/>
          <w:b w:val="1"/>
          <w:bCs w:val="1"/>
          <w:color w:val="auto"/>
        </w:rPr>
        <w:t>of incorporation)</w:t>
      </w:r>
    </w:p>
    <w:p>
      <w:pPr>
        <w:spacing w:after="0" w:line="20" w:lineRule="exact"/>
        <w:rPr>
          <w:sz w:val="24"/>
          <w:szCs w:val="24"/>
          <w:color w:val="auto"/>
        </w:rPr>
      </w:pPr>
      <w:r>
        <w:rPr>
          <w:sz w:val="24"/>
          <w:szCs w:val="24"/>
          <w:color w:val="auto"/>
        </w:rPr>
        <w:br w:type="column"/>
      </w:r>
    </w:p>
    <w:p>
      <w:pPr>
        <w:ind w:left="20"/>
        <w:spacing w:after="0"/>
        <w:rPr>
          <w:sz w:val="20"/>
          <w:szCs w:val="20"/>
          <w:color w:val="auto"/>
        </w:rPr>
      </w:pPr>
      <w:r>
        <w:rPr>
          <w:rFonts w:ascii="Arial" w:cs="Arial" w:eastAsia="Arial" w:hAnsi="Arial"/>
          <w:sz w:val="12"/>
          <w:szCs w:val="12"/>
          <w:b w:val="1"/>
          <w:bCs w:val="1"/>
          <w:color w:val="auto"/>
        </w:rPr>
        <w:t>(Commission</w:t>
      </w:r>
    </w:p>
    <w:p>
      <w:pPr>
        <w:spacing w:after="0" w:line="4" w:lineRule="exact"/>
        <w:rPr>
          <w:sz w:val="24"/>
          <w:szCs w:val="24"/>
          <w:color w:val="auto"/>
        </w:rPr>
      </w:pPr>
    </w:p>
    <w:p>
      <w:pPr>
        <w:spacing w:after="0"/>
        <w:rPr>
          <w:sz w:val="20"/>
          <w:szCs w:val="20"/>
          <w:color w:val="auto"/>
        </w:rPr>
      </w:pPr>
      <w:r>
        <w:rPr>
          <w:rFonts w:ascii="Arial" w:cs="Arial" w:eastAsia="Arial" w:hAnsi="Arial"/>
          <w:sz w:val="13"/>
          <w:szCs w:val="13"/>
          <w:b w:val="1"/>
          <w:bCs w:val="1"/>
          <w:color w:val="auto"/>
        </w:rPr>
        <w:t>File Number)</w:t>
      </w:r>
    </w:p>
    <w:p>
      <w:pPr>
        <w:spacing w:after="0" w:line="20" w:lineRule="exact"/>
        <w:rPr>
          <w:sz w:val="24"/>
          <w:szCs w:val="24"/>
          <w:color w:val="auto"/>
        </w:rPr>
      </w:pPr>
      <w:r>
        <w:rPr>
          <w:sz w:val="24"/>
          <w:szCs w:val="24"/>
          <w:color w:val="auto"/>
        </w:rPr>
        <w:br w:type="column"/>
      </w:r>
    </w:p>
    <w:p>
      <w:pPr>
        <w:ind w:left="40"/>
        <w:spacing w:after="0"/>
        <w:rPr>
          <w:sz w:val="20"/>
          <w:szCs w:val="20"/>
          <w:color w:val="auto"/>
        </w:rPr>
      </w:pPr>
      <w:r>
        <w:rPr>
          <w:rFonts w:ascii="Arial" w:cs="Arial" w:eastAsia="Arial" w:hAnsi="Arial"/>
          <w:sz w:val="14"/>
          <w:szCs w:val="14"/>
          <w:b w:val="1"/>
          <w:bCs w:val="1"/>
          <w:color w:val="auto"/>
        </w:rPr>
        <w:t>(I.R.S. Employer</w:t>
      </w:r>
    </w:p>
    <w:p>
      <w:pPr>
        <w:spacing w:after="0"/>
        <w:rPr>
          <w:sz w:val="20"/>
          <w:szCs w:val="20"/>
          <w:color w:val="auto"/>
        </w:rPr>
      </w:pPr>
      <w:r>
        <w:rPr>
          <w:rFonts w:ascii="Arial" w:cs="Arial" w:eastAsia="Arial" w:hAnsi="Arial"/>
          <w:sz w:val="13"/>
          <w:szCs w:val="13"/>
          <w:b w:val="1"/>
          <w:bCs w:val="1"/>
          <w:color w:val="auto"/>
        </w:rPr>
        <w:t>Identification No.)</w:t>
      </w:r>
    </w:p>
    <w:p>
      <w:pPr>
        <w:spacing w:after="0" w:line="211" w:lineRule="exact"/>
        <w:rPr>
          <w:sz w:val="24"/>
          <w:szCs w:val="24"/>
          <w:color w:val="auto"/>
        </w:rPr>
      </w:pPr>
    </w:p>
    <w:p>
      <w:pPr>
        <w:sectPr>
          <w:pgSz w:w="11900" w:h="16838" w:orient="portrait"/>
          <w:cols w:equalWidth="0" w:num="3">
            <w:col w:w="4700" w:space="720"/>
            <w:col w:w="2900" w:space="720"/>
            <w:col w:w="2340"/>
          </w:cols>
          <w:pgMar w:left="240" w:top="368" w:right="279" w:bottom="1440" w:gutter="0" w:footer="0" w:header="0"/>
          <w:type w:val="continuous"/>
        </w:sectPr>
      </w:pPr>
    </w:p>
    <w:p>
      <w:pPr>
        <w:spacing w:after="0" w:line="6"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Canon’s Court</w:t>
      </w:r>
    </w:p>
    <w:p>
      <w:pPr>
        <w:spacing w:after="0" w:line="27"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22 Victoria Street</w:t>
      </w:r>
    </w:p>
    <w:p>
      <w:pPr>
        <w:spacing w:after="0" w:line="9"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Hamilton HM 12</w:t>
      </w:r>
    </w:p>
    <w:p>
      <w:pPr>
        <w:spacing w:after="0" w:line="9"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Bermuda</w:t>
      </w:r>
    </w:p>
    <w:p>
      <w:pPr>
        <w:spacing w:after="0" w:line="2" w:lineRule="exact"/>
        <w:rPr>
          <w:sz w:val="24"/>
          <w:szCs w:val="24"/>
          <w:color w:val="auto"/>
        </w:rPr>
      </w:pPr>
    </w:p>
    <w:p>
      <w:pPr>
        <w:jc w:val="center"/>
        <w:ind w:right="-59"/>
        <w:spacing w:after="0"/>
        <w:rPr>
          <w:sz w:val="20"/>
          <w:szCs w:val="20"/>
          <w:color w:val="auto"/>
        </w:rPr>
      </w:pPr>
      <w:r>
        <w:rPr>
          <w:rFonts w:ascii="Arial" w:cs="Arial" w:eastAsia="Arial" w:hAnsi="Arial"/>
          <w:sz w:val="14"/>
          <w:szCs w:val="14"/>
          <w:b w:val="1"/>
          <w:bCs w:val="1"/>
          <w:color w:val="auto"/>
        </w:rPr>
        <w:t>(Address of principal executive offices)</w:t>
      </w:r>
    </w:p>
    <w:p>
      <w:pPr>
        <w:spacing w:after="0" w:line="192"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(441) 296-6395</w:t>
      </w:r>
    </w:p>
    <w:p>
      <w:pPr>
        <w:spacing w:after="0" w:line="21" w:lineRule="exact"/>
        <w:rPr>
          <w:sz w:val="24"/>
          <w:szCs w:val="24"/>
          <w:color w:val="auto"/>
        </w:rPr>
      </w:pPr>
    </w:p>
    <w:p>
      <w:pPr>
        <w:jc w:val="center"/>
        <w:ind w:right="-59"/>
        <w:spacing w:after="0"/>
        <w:rPr>
          <w:sz w:val="20"/>
          <w:szCs w:val="20"/>
          <w:color w:val="auto"/>
        </w:rPr>
      </w:pPr>
      <w:r>
        <w:rPr>
          <w:rFonts w:ascii="Arial" w:cs="Arial" w:eastAsia="Arial" w:hAnsi="Arial"/>
          <w:sz w:val="14"/>
          <w:szCs w:val="14"/>
          <w:b w:val="1"/>
          <w:bCs w:val="1"/>
          <w:color w:val="auto"/>
        </w:rPr>
        <w:t>(Registrant’s telephone number, including area code)</w:t>
      </w:r>
    </w:p>
    <w:p>
      <w:pPr>
        <w:spacing w:after="0" w:line="192"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N/A</w:t>
      </w:r>
    </w:p>
    <w:p>
      <w:pPr>
        <w:spacing w:after="0" w:line="21" w:lineRule="exact"/>
        <w:rPr>
          <w:sz w:val="24"/>
          <w:szCs w:val="24"/>
          <w:color w:val="auto"/>
        </w:rPr>
      </w:pPr>
    </w:p>
    <w:p>
      <w:pPr>
        <w:jc w:val="center"/>
        <w:ind w:right="-59"/>
        <w:spacing w:after="0"/>
        <w:rPr>
          <w:sz w:val="20"/>
          <w:szCs w:val="20"/>
          <w:color w:val="auto"/>
        </w:rPr>
      </w:pPr>
      <w:r>
        <w:rPr>
          <w:rFonts w:ascii="Arial" w:cs="Arial" w:eastAsia="Arial" w:hAnsi="Arial"/>
          <w:sz w:val="12"/>
          <w:szCs w:val="12"/>
          <w:b w:val="1"/>
          <w:bCs w:val="1"/>
          <w:color w:val="auto"/>
        </w:rPr>
        <w:t>(Former name or former address, if changed since last report.)</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242570</wp:posOffset>
            </wp:positionV>
            <wp:extent cx="1517650" cy="889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ectPr>
          <w:pgSz w:w="11900" w:h="16838" w:orient="portrait"/>
          <w:cols w:equalWidth="0" w:num="1">
            <w:col w:w="11380"/>
          </w:cols>
          <w:pgMar w:left="240" w:top="368" w:right="279" w:bottom="1440" w:gutter="0" w:footer="0" w:header="0"/>
          <w:type w:val="continuous"/>
        </w:sectPr>
      </w:pPr>
    </w:p>
    <w:p>
      <w:pPr>
        <w:spacing w:after="0" w:line="200" w:lineRule="exact"/>
        <w:rPr>
          <w:sz w:val="24"/>
          <w:szCs w:val="24"/>
          <w:color w:val="auto"/>
        </w:rPr>
      </w:pPr>
    </w:p>
    <w:p>
      <w:pPr>
        <w:spacing w:after="0" w:line="397" w:lineRule="exact"/>
        <w:rPr>
          <w:sz w:val="24"/>
          <w:szCs w:val="24"/>
          <w:color w:val="auto"/>
        </w:rPr>
      </w:pPr>
    </w:p>
    <w:p>
      <w:pPr>
        <w:spacing w:after="0" w:line="277" w:lineRule="auto"/>
        <w:rPr>
          <w:sz w:val="20"/>
          <w:szCs w:val="20"/>
          <w:color w:val="auto"/>
        </w:rPr>
      </w:pPr>
      <w:r>
        <w:rPr>
          <w:rFonts w:ascii="Arial" w:cs="Arial" w:eastAsia="Arial" w:hAnsi="Arial"/>
          <w:sz w:val="18"/>
          <w:szCs w:val="18"/>
          <w:color w:val="auto"/>
        </w:rPr>
        <w:t>Check the appropriate box below if the Form 8-K filing is intended to simultaneously satisfy the filing obligations of the registrant under any of the following provisions (see General Instruction A.2. below):</w:t>
      </w:r>
    </w:p>
    <w:p>
      <w:pPr>
        <w:spacing w:after="0" w:line="76" w:lineRule="exact"/>
        <w:rPr>
          <w:sz w:val="24"/>
          <w:szCs w:val="24"/>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Written communications pursuant to Rule 425 under the Securities Act (17 CFR 230.425)</w:t>
      </w:r>
    </w:p>
    <w:p>
      <w:pPr>
        <w:spacing w:after="0" w:line="130" w:lineRule="exact"/>
        <w:rPr>
          <w:rFonts w:ascii="MS PGothic" w:cs="MS PGothic" w:eastAsia="MS PGothic" w:hAnsi="MS PGothic"/>
          <w:sz w:val="18"/>
          <w:szCs w:val="18"/>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Soliciting material pursuant to Rule 14a-12 under the Exchange Act (17 CFR 240.14a-12)</w:t>
      </w:r>
    </w:p>
    <w:p>
      <w:pPr>
        <w:spacing w:after="0" w:line="130" w:lineRule="exact"/>
        <w:rPr>
          <w:rFonts w:ascii="MS PGothic" w:cs="MS PGothic" w:eastAsia="MS PGothic" w:hAnsi="MS PGothic"/>
          <w:sz w:val="18"/>
          <w:szCs w:val="18"/>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Pre-commencement communications pursuant to Rule 14d-2(b) under the Exchange Act (17 CFR 240.14d-2(b))</w:t>
      </w:r>
    </w:p>
    <w:p>
      <w:pPr>
        <w:spacing w:after="0" w:line="130" w:lineRule="exact"/>
        <w:rPr>
          <w:rFonts w:ascii="MS PGothic" w:cs="MS PGothic" w:eastAsia="MS PGothic" w:hAnsi="MS PGothic"/>
          <w:sz w:val="18"/>
          <w:szCs w:val="18"/>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Pre-commencement communications pursuant to Rule 13e-4(c) under the Exchange Act (17 CFR 240.13e-4(c))</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5080</wp:posOffset>
            </wp:positionH>
            <wp:positionV relativeFrom="paragraph">
              <wp:posOffset>160655</wp:posOffset>
            </wp:positionV>
            <wp:extent cx="7246620" cy="889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7246620" cy="8890"/>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203835</wp:posOffset>
            </wp:positionV>
            <wp:extent cx="7246620" cy="889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ectPr>
          <w:pgSz w:w="11900" w:h="16838" w:orient="portrait"/>
          <w:cols w:equalWidth="0" w:num="1">
            <w:col w:w="11380"/>
          </w:cols>
          <w:pgMar w:left="240" w:top="368" w:right="279" w:bottom="1440" w:gutter="0" w:footer="0" w:header="0"/>
          <w:type w:val="continuous"/>
        </w:sectPr>
      </w:pPr>
    </w:p>
    <w:bookmarkStart w:id="1" w:name="page2"/>
    <w:bookmarkEnd w:id="1"/>
    <w:p>
      <w:pPr>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7289165" cy="38735"/>
                    </a:xfrm>
                    <a:prstGeom prst="rect">
                      <a:avLst/>
                    </a:prstGeom>
                    <a:noFill/>
                  </pic:spPr>
                </pic:pic>
              </a:graphicData>
            </a:graphic>
          </wp:anchor>
        </w:drawing>
        <w:t>Item 2.02 Results of Operations and Financial Condition.</w:t>
      </w:r>
    </w:p>
    <w:p>
      <w:pPr>
        <w:spacing w:after="0" w:line="121" w:lineRule="exact"/>
        <w:rPr>
          <w:sz w:val="20"/>
          <w:szCs w:val="20"/>
          <w:color w:val="auto"/>
        </w:rPr>
      </w:pPr>
    </w:p>
    <w:p>
      <w:pPr>
        <w:ind w:right="20" w:firstLine="456"/>
        <w:spacing w:after="0" w:line="302" w:lineRule="auto"/>
        <w:rPr>
          <w:sz w:val="20"/>
          <w:szCs w:val="20"/>
          <w:color w:val="auto"/>
        </w:rPr>
      </w:pPr>
      <w:r>
        <w:rPr>
          <w:rFonts w:ascii="Arial" w:cs="Arial" w:eastAsia="Arial" w:hAnsi="Arial"/>
          <w:sz w:val="16"/>
          <w:szCs w:val="16"/>
          <w:color w:val="auto"/>
        </w:rPr>
        <w:t>The information in Item 2.02 of this Current Report, including the accompanying Exhibit 99.1, is being furnished and shall not be deemed “filed” for the purposes of Section 18 of the Securities Exchange Act of 1934, as amended (the “Exchange Act”), or otherwise subject to the liabilities of Section 18. The information in Item 2.02 of this Current Report shall not be incorporated by reference into any registration statement or other document filed pursuant to the Securities Act of 1933, as amended, or the Exchange Act, regardless of any general incorporation language contained in such filing.</w:t>
      </w:r>
    </w:p>
    <w:p>
      <w:pPr>
        <w:spacing w:after="0" w:line="154" w:lineRule="exact"/>
        <w:rPr>
          <w:sz w:val="20"/>
          <w:szCs w:val="20"/>
          <w:color w:val="auto"/>
        </w:rPr>
      </w:pPr>
    </w:p>
    <w:p>
      <w:pPr>
        <w:ind w:right="400" w:firstLine="456"/>
        <w:spacing w:after="0" w:line="308" w:lineRule="auto"/>
        <w:rPr>
          <w:sz w:val="20"/>
          <w:szCs w:val="20"/>
          <w:color w:val="auto"/>
        </w:rPr>
      </w:pPr>
      <w:r>
        <w:rPr>
          <w:rFonts w:ascii="Arial" w:cs="Arial" w:eastAsia="Arial" w:hAnsi="Arial"/>
          <w:sz w:val="17"/>
          <w:szCs w:val="17"/>
          <w:color w:val="auto"/>
        </w:rPr>
        <w:t>On November 21, 2013, Marvell Technology Group Ltd. (“Marvell”) issued a press release regarding its financial results for its third fiscal quarter ended November 2, 2013. A copy of the press release is furnished herewith as Exhibit 99.1 and is incorporated by reference herein.</w:t>
      </w:r>
    </w:p>
    <w:p>
      <w:pPr>
        <w:spacing w:after="0" w:line="25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Discussion of Non-GAAP Financial Measures</w:t>
      </w:r>
    </w:p>
    <w:p>
      <w:pPr>
        <w:spacing w:after="0" w:line="121" w:lineRule="exact"/>
        <w:rPr>
          <w:sz w:val="20"/>
          <w:szCs w:val="20"/>
          <w:color w:val="auto"/>
        </w:rPr>
      </w:pPr>
    </w:p>
    <w:p>
      <w:pPr>
        <w:ind w:right="100" w:firstLine="456"/>
        <w:spacing w:after="0" w:line="257" w:lineRule="auto"/>
        <w:rPr>
          <w:sz w:val="20"/>
          <w:szCs w:val="20"/>
          <w:color w:val="auto"/>
        </w:rPr>
      </w:pPr>
      <w:r>
        <w:rPr>
          <w:rFonts w:ascii="Arial" w:cs="Arial" w:eastAsia="Arial" w:hAnsi="Arial"/>
          <w:sz w:val="18"/>
          <w:szCs w:val="18"/>
          <w:color w:val="auto"/>
        </w:rPr>
        <w:t>In addition to disclosing financial results calculated in accordance with U.S. generally accepted accounting principles (“GAAP”), Marvell also reports non-GAAP financial measures. Pursuant to the requirements of Regulation G, Marvell has provided reconciliations with the press release of the non-GAAP financial measures to the most directly comparable GAAP financial measures included in the press release. Non-GAAP financial measures exclude the effect of stock-based compensation, amortization of acquired intangible assets, acquisition-related costs, restructuring and other exit-related costs, and certain one-time expenses and benefits.</w:t>
      </w:r>
    </w:p>
    <w:p>
      <w:pPr>
        <w:spacing w:after="0" w:line="188" w:lineRule="exact"/>
        <w:rPr>
          <w:sz w:val="20"/>
          <w:szCs w:val="20"/>
          <w:color w:val="auto"/>
        </w:rPr>
      </w:pPr>
    </w:p>
    <w:p>
      <w:pPr>
        <w:ind w:firstLine="456"/>
        <w:spacing w:after="0" w:line="290" w:lineRule="auto"/>
        <w:rPr>
          <w:sz w:val="20"/>
          <w:szCs w:val="20"/>
          <w:color w:val="auto"/>
        </w:rPr>
      </w:pPr>
      <w:r>
        <w:rPr>
          <w:rFonts w:ascii="Arial" w:cs="Arial" w:eastAsia="Arial" w:hAnsi="Arial"/>
          <w:sz w:val="16"/>
          <w:szCs w:val="16"/>
          <w:color w:val="auto"/>
        </w:rPr>
        <w:t>Marvell believes that the presentation of non-GAAP financial measures provide important supplemental information to management and investors regarding financial and business trends relating to its financial condition and results of operations. While Marvell uses non-GAAP financial measures as a tool to enhance its understanding of certain aspects of its financial performance, Marvell does not consider these measures to be a substitute for, or superior to, the information provided by GAAP financial measures. Consistent with this approach, Marvell believes that disclosing non-GAAP financial measures to the readers of its financial statements provides such readers with useful supplemental data that, while not a substitute for GAAP financial measures, allows for greater transparency in the review of its financial and operational performance. Marvell has chosen to provide this information to investors to enable them to perform comparisons of operating results in a manner similar to how Marvell analyzes its operating results internally. Management also believes that these non-GAAP financial measures may be used to facilitate comparisons of Marvell’s results with that of other companies in its industry.</w:t>
      </w:r>
    </w:p>
    <w:p>
      <w:pPr>
        <w:spacing w:after="0" w:line="166" w:lineRule="exact"/>
        <w:rPr>
          <w:sz w:val="20"/>
          <w:szCs w:val="20"/>
          <w:color w:val="auto"/>
        </w:rPr>
      </w:pPr>
    </w:p>
    <w:p>
      <w:pPr>
        <w:ind w:right="340" w:firstLine="456"/>
        <w:spacing w:after="0" w:line="308" w:lineRule="auto"/>
        <w:rPr>
          <w:sz w:val="20"/>
          <w:szCs w:val="20"/>
          <w:color w:val="auto"/>
        </w:rPr>
      </w:pPr>
      <w:r>
        <w:rPr>
          <w:rFonts w:ascii="Arial" w:cs="Arial" w:eastAsia="Arial" w:hAnsi="Arial"/>
          <w:sz w:val="17"/>
          <w:szCs w:val="17"/>
          <w:color w:val="auto"/>
        </w:rPr>
        <w:t>Externally, management believes that investors may find Marvell’s non-GAAP financial measures useful in their assessment of Marvell’s operating performance and the valuation of Marvell. Internally, Marvell’s non-GAAP financial measures are used in the following areas:</w:t>
      </w:r>
    </w:p>
    <w:p>
      <w:pPr>
        <w:spacing w:after="0" w:line="52" w:lineRule="exact"/>
        <w:rPr>
          <w:sz w:val="20"/>
          <w:szCs w:val="20"/>
          <w:color w:val="auto"/>
        </w:rPr>
      </w:pPr>
    </w:p>
    <w:p>
      <w:pPr>
        <w:ind w:left="1480" w:right="220" w:hanging="446"/>
        <w:spacing w:after="0" w:line="277" w:lineRule="auto"/>
        <w:tabs>
          <w:tab w:leader="none" w:pos="1480" w:val="left"/>
        </w:tabs>
        <w:numPr>
          <w:ilvl w:val="0"/>
          <w:numId w:val="2"/>
        </w:numPr>
        <w:rPr>
          <w:rFonts w:ascii="Arial" w:cs="Arial" w:eastAsia="Arial" w:hAnsi="Arial"/>
          <w:sz w:val="18"/>
          <w:szCs w:val="18"/>
          <w:color w:val="auto"/>
        </w:rPr>
      </w:pPr>
      <w:r>
        <w:rPr>
          <w:rFonts w:ascii="Arial" w:cs="Arial" w:eastAsia="Arial" w:hAnsi="Arial"/>
          <w:sz w:val="18"/>
          <w:szCs w:val="18"/>
          <w:color w:val="auto"/>
        </w:rPr>
        <w:t>Management’s determination of the achievement and measurement of certain performance-based equity awards (adjustments may vary from award to award);</w:t>
      </w:r>
    </w:p>
    <w:p>
      <w:pPr>
        <w:spacing w:after="0" w:line="75" w:lineRule="exact"/>
        <w:rPr>
          <w:rFonts w:ascii="Arial" w:cs="Arial" w:eastAsia="Arial" w:hAnsi="Arial"/>
          <w:sz w:val="18"/>
          <w:szCs w:val="18"/>
          <w:color w:val="auto"/>
        </w:rPr>
      </w:pPr>
    </w:p>
    <w:p>
      <w:pPr>
        <w:ind w:left="1480" w:hanging="446"/>
        <w:spacing w:after="0"/>
        <w:tabs>
          <w:tab w:leader="none" w:pos="1480" w:val="left"/>
        </w:tabs>
        <w:numPr>
          <w:ilvl w:val="0"/>
          <w:numId w:val="2"/>
        </w:numPr>
        <w:rPr>
          <w:rFonts w:ascii="Arial" w:cs="Arial" w:eastAsia="Arial" w:hAnsi="Arial"/>
          <w:sz w:val="18"/>
          <w:szCs w:val="18"/>
          <w:color w:val="auto"/>
        </w:rPr>
      </w:pPr>
      <w:r>
        <w:rPr>
          <w:rFonts w:ascii="Arial" w:cs="Arial" w:eastAsia="Arial" w:hAnsi="Arial"/>
          <w:sz w:val="18"/>
          <w:szCs w:val="18"/>
          <w:color w:val="auto"/>
        </w:rPr>
        <w:t>Management’s evaluation of Marvell’s operating performance;</w:t>
      </w:r>
    </w:p>
    <w:p>
      <w:pPr>
        <w:spacing w:after="0" w:line="130" w:lineRule="exact"/>
        <w:rPr>
          <w:rFonts w:ascii="Arial" w:cs="Arial" w:eastAsia="Arial" w:hAnsi="Arial"/>
          <w:sz w:val="18"/>
          <w:szCs w:val="18"/>
          <w:color w:val="auto"/>
        </w:rPr>
      </w:pPr>
    </w:p>
    <w:p>
      <w:pPr>
        <w:ind w:left="1480" w:hanging="446"/>
        <w:spacing w:after="0"/>
        <w:tabs>
          <w:tab w:leader="none" w:pos="1480" w:val="left"/>
        </w:tabs>
        <w:numPr>
          <w:ilvl w:val="0"/>
          <w:numId w:val="2"/>
        </w:numPr>
        <w:rPr>
          <w:rFonts w:ascii="Arial" w:cs="Arial" w:eastAsia="Arial" w:hAnsi="Arial"/>
          <w:sz w:val="18"/>
          <w:szCs w:val="18"/>
          <w:color w:val="auto"/>
        </w:rPr>
      </w:pPr>
      <w:r>
        <w:rPr>
          <w:rFonts w:ascii="Arial" w:cs="Arial" w:eastAsia="Arial" w:hAnsi="Arial"/>
          <w:sz w:val="18"/>
          <w:szCs w:val="18"/>
          <w:color w:val="auto"/>
        </w:rPr>
        <w:t>Management’s establishment of internal operating budgets; and</w:t>
      </w:r>
    </w:p>
    <w:p>
      <w:pPr>
        <w:spacing w:after="0" w:line="130" w:lineRule="exact"/>
        <w:rPr>
          <w:rFonts w:ascii="Arial" w:cs="Arial" w:eastAsia="Arial" w:hAnsi="Arial"/>
          <w:sz w:val="18"/>
          <w:szCs w:val="18"/>
          <w:color w:val="auto"/>
        </w:rPr>
      </w:pPr>
    </w:p>
    <w:p>
      <w:pPr>
        <w:ind w:left="1480" w:hanging="446"/>
        <w:spacing w:after="0"/>
        <w:tabs>
          <w:tab w:leader="none" w:pos="1480" w:val="left"/>
        </w:tabs>
        <w:numPr>
          <w:ilvl w:val="0"/>
          <w:numId w:val="2"/>
        </w:numPr>
        <w:rPr>
          <w:rFonts w:ascii="Arial" w:cs="Arial" w:eastAsia="Arial" w:hAnsi="Arial"/>
          <w:sz w:val="18"/>
          <w:szCs w:val="18"/>
          <w:color w:val="auto"/>
        </w:rPr>
      </w:pPr>
      <w:r>
        <w:rPr>
          <w:rFonts w:ascii="Arial" w:cs="Arial" w:eastAsia="Arial" w:hAnsi="Arial"/>
          <w:sz w:val="18"/>
          <w:szCs w:val="18"/>
          <w:color w:val="auto"/>
        </w:rPr>
        <w:t>Management’s performance comparisons with internal forecasts and targeted business models.</w:t>
      </w:r>
    </w:p>
    <w:p>
      <w:pPr>
        <w:spacing w:after="0" w:line="225" w:lineRule="exact"/>
        <w:rPr>
          <w:sz w:val="20"/>
          <w:szCs w:val="20"/>
          <w:color w:val="auto"/>
        </w:rPr>
      </w:pPr>
    </w:p>
    <w:p>
      <w:pPr>
        <w:ind w:left="460"/>
        <w:spacing w:after="0"/>
        <w:rPr>
          <w:sz w:val="20"/>
          <w:szCs w:val="20"/>
          <w:color w:val="auto"/>
        </w:rPr>
      </w:pPr>
      <w:r>
        <w:rPr>
          <w:rFonts w:ascii="Arial" w:cs="Arial" w:eastAsia="Arial" w:hAnsi="Arial"/>
          <w:sz w:val="18"/>
          <w:szCs w:val="18"/>
          <w:color w:val="auto"/>
        </w:rPr>
        <w:t>Non-GAAP financial measures are adjusted by the exclusion of the following items:</w:t>
      </w:r>
    </w:p>
    <w:p>
      <w:pPr>
        <w:spacing w:after="0" w:line="131" w:lineRule="exact"/>
        <w:rPr>
          <w:sz w:val="20"/>
          <w:szCs w:val="20"/>
          <w:color w:val="auto"/>
        </w:rPr>
      </w:pPr>
    </w:p>
    <w:p>
      <w:pPr>
        <w:ind w:left="1480" w:right="100" w:hanging="446"/>
        <w:spacing w:after="0" w:line="273" w:lineRule="auto"/>
        <w:tabs>
          <w:tab w:leader="none" w:pos="1480" w:val="left"/>
        </w:tabs>
        <w:numPr>
          <w:ilvl w:val="0"/>
          <w:numId w:val="3"/>
        </w:numPr>
        <w:rPr>
          <w:rFonts w:ascii="Arial" w:cs="Arial" w:eastAsia="Arial" w:hAnsi="Arial"/>
          <w:sz w:val="17"/>
          <w:szCs w:val="17"/>
          <w:color w:val="auto"/>
        </w:rPr>
      </w:pPr>
      <w:r>
        <w:rPr>
          <w:rFonts w:ascii="Arial" w:cs="Arial" w:eastAsia="Arial" w:hAnsi="Arial"/>
          <w:sz w:val="17"/>
          <w:szCs w:val="17"/>
          <w:i w:val="1"/>
          <w:iCs w:val="1"/>
          <w:color w:val="auto"/>
        </w:rPr>
        <w:t>Stock-based compensation</w:t>
      </w:r>
      <w:r>
        <w:rPr>
          <w:rFonts w:ascii="Arial" w:cs="Arial" w:eastAsia="Arial" w:hAnsi="Arial"/>
          <w:sz w:val="17"/>
          <w:szCs w:val="17"/>
          <w:color w:val="auto"/>
        </w:rPr>
        <w:t>. Stock-based compensation relates primarily to employee stock options, restricted stock units and the</w:t>
      </w:r>
      <w:r>
        <w:rPr>
          <w:rFonts w:ascii="Arial" w:cs="Arial" w:eastAsia="Arial" w:hAnsi="Arial"/>
          <w:sz w:val="17"/>
          <w:szCs w:val="17"/>
          <w:i w:val="1"/>
          <w:iCs w:val="1"/>
          <w:color w:val="auto"/>
        </w:rPr>
        <w:t xml:space="preserve"> </w:t>
      </w:r>
      <w:r>
        <w:rPr>
          <w:rFonts w:ascii="Arial" w:cs="Arial" w:eastAsia="Arial" w:hAnsi="Arial"/>
          <w:sz w:val="17"/>
          <w:szCs w:val="17"/>
          <w:color w:val="auto"/>
        </w:rPr>
        <w:t>employee stock purchase plan. Stock-based compensation expense is a non-cash expense that is affected by changes in market forces, such as the price of Marvell’s common shares, which is not within the control of management. In addition, the valuation of stock-based compensation is highly subjective, and the expense recognized by Marvell may be significantly different than the expense recognized by other companies for similar equity awards, which makes it difficult to assess Marvell’s results compared to its competitors. Accordingly, management excludes this item from its internal operating forecasts and models.</w:t>
      </w:r>
    </w:p>
    <w:p>
      <w:pPr>
        <w:spacing w:after="0" w:line="111"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w:t>
      </w:r>
    </w:p>
    <w:p>
      <w:pPr>
        <w:sectPr>
          <w:pgSz w:w="11900" w:h="16838" w:orient="portrait"/>
          <w:cols w:equalWidth="0" w:num="1">
            <w:col w:w="11420"/>
          </w:cols>
          <w:pgMar w:left="240" w:top="270" w:right="239" w:bottom="1440" w:gutter="0" w:footer="0" w:header="0"/>
        </w:sectPr>
      </w:pPr>
    </w:p>
    <w:bookmarkStart w:id="2" w:name="page3"/>
    <w:bookmarkEnd w:id="2"/>
    <w:p>
      <w:pPr>
        <w:ind w:left="1480" w:right="160" w:hanging="446"/>
        <w:spacing w:after="0" w:line="264" w:lineRule="auto"/>
        <w:tabs>
          <w:tab w:leader="none" w:pos="1480" w:val="left"/>
        </w:tabs>
        <w:numPr>
          <w:ilvl w:val="0"/>
          <w:numId w:val="4"/>
        </w:numPr>
        <w:rPr>
          <w:rFonts w:ascii="Arial" w:cs="Arial" w:eastAsia="Arial" w:hAnsi="Arial"/>
          <w:sz w:val="18"/>
          <w:szCs w:val="18"/>
          <w:color w:val="auto"/>
        </w:rPr>
      </w:pPr>
      <w:r>
        <w:rPr>
          <w:rFonts w:ascii="Arial" w:cs="Arial" w:eastAsia="Arial" w:hAnsi="Arial"/>
          <w:sz w:val="18"/>
          <w:szCs w:val="18"/>
          <w:i w:val="1"/>
          <w:i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7289165" cy="38735"/>
                    </a:xfrm>
                    <a:prstGeom prst="rect">
                      <a:avLst/>
                    </a:prstGeom>
                    <a:noFill/>
                  </pic:spPr>
                </pic:pic>
              </a:graphicData>
            </a:graphic>
          </wp:anchor>
        </w:drawing>
        <w:t>Amortization of acquired intangible assets</w:t>
      </w:r>
      <w:r>
        <w:rPr>
          <w:rFonts w:ascii="Arial" w:cs="Arial" w:eastAsia="Arial" w:hAnsi="Arial"/>
          <w:sz w:val="18"/>
          <w:szCs w:val="18"/>
          <w:color w:val="auto"/>
        </w:rPr>
        <w:t>. Purchased intangible assets relate primarily to existing and core technology, and customer</w:t>
      </w:r>
      <w:r>
        <w:rPr>
          <w:rFonts w:ascii="Arial" w:cs="Arial" w:eastAsia="Arial" w:hAnsi="Arial"/>
          <w:sz w:val="18"/>
          <w:szCs w:val="18"/>
          <w:i w:val="1"/>
          <w:iCs w:val="1"/>
          <w:color w:val="auto"/>
        </w:rPr>
        <w:t xml:space="preserve"> </w:t>
      </w:r>
      <w:r>
        <w:rPr>
          <w:rFonts w:ascii="Arial" w:cs="Arial" w:eastAsia="Arial" w:hAnsi="Arial"/>
          <w:sz w:val="18"/>
          <w:szCs w:val="18"/>
          <w:color w:val="auto"/>
        </w:rPr>
        <w:t>relationships of acquired businesses. Management considers these charges non-cash in nature and unrelated to Marvell’s core operating performance.</w:t>
      </w:r>
    </w:p>
    <w:p>
      <w:pPr>
        <w:spacing w:after="0" w:line="86" w:lineRule="exact"/>
        <w:rPr>
          <w:rFonts w:ascii="Arial" w:cs="Arial" w:eastAsia="Arial" w:hAnsi="Arial"/>
          <w:sz w:val="18"/>
          <w:szCs w:val="18"/>
          <w:color w:val="auto"/>
        </w:rPr>
      </w:pPr>
    </w:p>
    <w:p>
      <w:pPr>
        <w:ind w:left="1480" w:right="60" w:hanging="446"/>
        <w:spacing w:after="0" w:line="257" w:lineRule="auto"/>
        <w:tabs>
          <w:tab w:leader="none" w:pos="1480" w:val="left"/>
        </w:tabs>
        <w:numPr>
          <w:ilvl w:val="0"/>
          <w:numId w:val="4"/>
        </w:numPr>
        <w:rPr>
          <w:rFonts w:ascii="Arial" w:cs="Arial" w:eastAsia="Arial" w:hAnsi="Arial"/>
          <w:sz w:val="18"/>
          <w:szCs w:val="18"/>
          <w:color w:val="auto"/>
        </w:rPr>
      </w:pPr>
      <w:r>
        <w:rPr>
          <w:rFonts w:ascii="Arial" w:cs="Arial" w:eastAsia="Arial" w:hAnsi="Arial"/>
          <w:sz w:val="18"/>
          <w:szCs w:val="18"/>
          <w:i w:val="1"/>
          <w:iCs w:val="1"/>
          <w:color w:val="auto"/>
        </w:rPr>
        <w:t>Acquisition-related costs</w:t>
      </w:r>
      <w:r>
        <w:rPr>
          <w:rFonts w:ascii="Arial" w:cs="Arial" w:eastAsia="Arial" w:hAnsi="Arial"/>
          <w:sz w:val="18"/>
          <w:szCs w:val="18"/>
          <w:color w:val="auto"/>
        </w:rPr>
        <w:t>. Acquisition-related costs primarily include the step-up in fair value of acquired inventory that was sold during</w:t>
      </w:r>
      <w:r>
        <w:rPr>
          <w:rFonts w:ascii="Arial" w:cs="Arial" w:eastAsia="Arial" w:hAnsi="Arial"/>
          <w:sz w:val="18"/>
          <w:szCs w:val="18"/>
          <w:i w:val="1"/>
          <w:iCs w:val="1"/>
          <w:color w:val="auto"/>
        </w:rPr>
        <w:t xml:space="preserve"> </w:t>
      </w:r>
      <w:r>
        <w:rPr>
          <w:rFonts w:ascii="Arial" w:cs="Arial" w:eastAsia="Arial" w:hAnsi="Arial"/>
          <w:sz w:val="18"/>
          <w:szCs w:val="18"/>
          <w:color w:val="auto"/>
        </w:rPr>
        <w:t>the period, and the amortization of retention bonuses required by the terms of the acquisition. Management believes these charges are unrelated to the core operating activities for Marvell, and the frequency and variability in the nature of the charges can vary significantly from period to period. Excluding this data provides investors with a basis to compare Marvell’s performance against the performance of other companies without this variability.</w:t>
      </w:r>
    </w:p>
    <w:p>
      <w:pPr>
        <w:spacing w:after="0" w:line="93" w:lineRule="exact"/>
        <w:rPr>
          <w:rFonts w:ascii="Arial" w:cs="Arial" w:eastAsia="Arial" w:hAnsi="Arial"/>
          <w:sz w:val="18"/>
          <w:szCs w:val="18"/>
          <w:color w:val="auto"/>
        </w:rPr>
      </w:pPr>
    </w:p>
    <w:p>
      <w:pPr>
        <w:ind w:left="1480" w:right="60" w:hanging="446"/>
        <w:spacing w:after="0" w:line="293" w:lineRule="auto"/>
        <w:tabs>
          <w:tab w:leader="none" w:pos="1480" w:val="left"/>
        </w:tabs>
        <w:numPr>
          <w:ilvl w:val="0"/>
          <w:numId w:val="4"/>
        </w:numPr>
        <w:rPr>
          <w:rFonts w:ascii="Arial" w:cs="Arial" w:eastAsia="Arial" w:hAnsi="Arial"/>
          <w:sz w:val="16"/>
          <w:szCs w:val="16"/>
          <w:color w:val="auto"/>
        </w:rPr>
      </w:pPr>
      <w:r>
        <w:rPr>
          <w:rFonts w:ascii="Arial" w:cs="Arial" w:eastAsia="Arial" w:hAnsi="Arial"/>
          <w:sz w:val="16"/>
          <w:szCs w:val="16"/>
          <w:i w:val="1"/>
          <w:iCs w:val="1"/>
          <w:color w:val="auto"/>
        </w:rPr>
        <w:t>Restructuring and other exit-related costs</w:t>
      </w:r>
      <w:r>
        <w:rPr>
          <w:rFonts w:ascii="Arial" w:cs="Arial" w:eastAsia="Arial" w:hAnsi="Arial"/>
          <w:sz w:val="16"/>
          <w:szCs w:val="16"/>
          <w:color w:val="auto"/>
        </w:rPr>
        <w:t>. Restructuring and other exit-related costs include costs, which qualify under U.S. GAAP as</w:t>
      </w:r>
      <w:r>
        <w:rPr>
          <w:rFonts w:ascii="Arial" w:cs="Arial" w:eastAsia="Arial" w:hAnsi="Arial"/>
          <w:sz w:val="16"/>
          <w:szCs w:val="16"/>
          <w:i w:val="1"/>
          <w:iCs w:val="1"/>
          <w:color w:val="auto"/>
        </w:rPr>
        <w:t xml:space="preserve"> </w:t>
      </w:r>
      <w:r>
        <w:rPr>
          <w:rFonts w:ascii="Arial" w:cs="Arial" w:eastAsia="Arial" w:hAnsi="Arial"/>
          <w:sz w:val="16"/>
          <w:szCs w:val="16"/>
          <w:color w:val="auto"/>
        </w:rPr>
        <w:t>restructuring costs, as well as operating expenses related to a business classified as held-for-sale that did not qualify as discontinued operations. These charges are not directly related to Marvell’s ongoing or core business results. Management regularly excludes such items from internal operating forecasts and models because they are not considered a core operating activity for Marvell and because the frequency and variability in the nature of the charges can vary significantly from period to period. Excluding this data provides investors with a basis to compare Marvell’s performance against the performance of other companies without this variability.</w:t>
      </w:r>
    </w:p>
    <w:p>
      <w:pPr>
        <w:spacing w:after="0" w:line="70" w:lineRule="exact"/>
        <w:rPr>
          <w:rFonts w:ascii="Arial" w:cs="Arial" w:eastAsia="Arial" w:hAnsi="Arial"/>
          <w:sz w:val="16"/>
          <w:szCs w:val="16"/>
          <w:color w:val="auto"/>
        </w:rPr>
      </w:pPr>
    </w:p>
    <w:p>
      <w:pPr>
        <w:ind w:left="1480" w:hanging="446"/>
        <w:spacing w:after="0" w:line="257" w:lineRule="auto"/>
        <w:tabs>
          <w:tab w:leader="none" w:pos="1480" w:val="left"/>
        </w:tabs>
        <w:numPr>
          <w:ilvl w:val="0"/>
          <w:numId w:val="4"/>
        </w:numPr>
        <w:rPr>
          <w:rFonts w:ascii="Arial" w:cs="Arial" w:eastAsia="Arial" w:hAnsi="Arial"/>
          <w:sz w:val="18"/>
          <w:szCs w:val="18"/>
          <w:color w:val="auto"/>
        </w:rPr>
      </w:pPr>
      <w:r>
        <w:rPr>
          <w:rFonts w:ascii="Arial" w:cs="Arial" w:eastAsia="Arial" w:hAnsi="Arial"/>
          <w:sz w:val="18"/>
          <w:szCs w:val="18"/>
          <w:i w:val="1"/>
          <w:iCs w:val="1"/>
          <w:color w:val="auto"/>
        </w:rPr>
        <w:t>Other</w:t>
      </w:r>
      <w:r>
        <w:rPr>
          <w:rFonts w:ascii="Arial" w:cs="Arial" w:eastAsia="Arial" w:hAnsi="Arial"/>
          <w:sz w:val="18"/>
          <w:szCs w:val="18"/>
          <w:color w:val="auto"/>
        </w:rPr>
        <w:t>. From time to time, Marvell has other costs/benefits that are not directly related to Marvell’s ongoing or core business results. For</w:t>
      </w:r>
      <w:r>
        <w:rPr>
          <w:rFonts w:ascii="Arial" w:cs="Arial" w:eastAsia="Arial" w:hAnsi="Arial"/>
          <w:sz w:val="18"/>
          <w:szCs w:val="18"/>
          <w:i w:val="1"/>
          <w:iCs w:val="1"/>
          <w:color w:val="auto"/>
        </w:rPr>
        <w:t xml:space="preserve"> </w:t>
      </w:r>
      <w:r>
        <w:rPr>
          <w:rFonts w:ascii="Arial" w:cs="Arial" w:eastAsia="Arial" w:hAnsi="Arial"/>
          <w:sz w:val="18"/>
          <w:szCs w:val="18"/>
          <w:color w:val="auto"/>
        </w:rPr>
        <w:t>example, during the nine months ended November 2, 2013 and the three months ended August 3, 2013, Marvell included a settlement fee related to a litigation matter. The amount recorded does not relate to Marvell’s litigation with Carnegie Mellon University. Excluding this data provides investors with a basis to compare Marvell’s performance against the performance of other companies without this variability.</w:t>
      </w:r>
    </w:p>
    <w:p>
      <w:pPr>
        <w:spacing w:after="0" w:line="188"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 calculation of non-GAAP net income per share is adjusted for the following item:</w:t>
      </w:r>
    </w:p>
    <w:p>
      <w:pPr>
        <w:spacing w:after="0" w:line="131" w:lineRule="exact"/>
        <w:rPr>
          <w:sz w:val="20"/>
          <w:szCs w:val="20"/>
          <w:color w:val="auto"/>
        </w:rPr>
      </w:pPr>
    </w:p>
    <w:p>
      <w:pPr>
        <w:ind w:left="1480" w:hanging="446"/>
        <w:spacing w:after="0" w:line="272" w:lineRule="auto"/>
        <w:tabs>
          <w:tab w:leader="none" w:pos="1480" w:val="left"/>
        </w:tabs>
        <w:numPr>
          <w:ilvl w:val="0"/>
          <w:numId w:val="5"/>
        </w:numPr>
        <w:rPr>
          <w:rFonts w:ascii="Arial" w:cs="Arial" w:eastAsia="Arial" w:hAnsi="Arial"/>
          <w:sz w:val="17"/>
          <w:szCs w:val="17"/>
          <w:color w:val="auto"/>
        </w:rPr>
      </w:pPr>
      <w:r>
        <w:rPr>
          <w:rFonts w:ascii="Arial" w:cs="Arial" w:eastAsia="Arial" w:hAnsi="Arial"/>
          <w:sz w:val="17"/>
          <w:szCs w:val="17"/>
          <w:color w:val="auto"/>
        </w:rPr>
        <w:t>Non-GAAP net income per share is calculated by dividing non-GAAP net income by non-GAAP weighted average shares (diluted). For purposes of calculating non-GAAP net income per share, the GAAP weighted average shares outstanding (diluted) is adjusted to exclude the potential benefits of stock-based compensation expected to be incurred in future periods but not yet recognized in the financial statements. For GAAP purposes under the treasury stock method, this future stock-based compensation is treated as proceeds assumed to be used to repurchase shares. Since Marvell’s non-GAAP net income does not include stock-based compensation, management believes the stock-based compensation effect on diluted shares outstanding using the treasury stock method should similarly not be included in the calculation of non-GAAP diluted shares outstanding.</w:t>
      </w:r>
    </w:p>
    <w:p>
      <w:pPr>
        <w:spacing w:after="0" w:line="178" w:lineRule="exact"/>
        <w:rPr>
          <w:sz w:val="20"/>
          <w:szCs w:val="20"/>
          <w:color w:val="auto"/>
        </w:rPr>
      </w:pPr>
    </w:p>
    <w:p>
      <w:pPr>
        <w:ind w:right="40" w:firstLine="456"/>
        <w:spacing w:after="0" w:line="297" w:lineRule="auto"/>
        <w:rPr>
          <w:sz w:val="20"/>
          <w:szCs w:val="20"/>
          <w:color w:val="auto"/>
        </w:rPr>
      </w:pPr>
      <w:r>
        <w:rPr>
          <w:rFonts w:ascii="Arial" w:cs="Arial" w:eastAsia="Arial" w:hAnsi="Arial"/>
          <w:sz w:val="16"/>
          <w:szCs w:val="16"/>
          <w:color w:val="auto"/>
        </w:rPr>
        <w:t>Non-GAAP financial measures should be considered supplemental to, and not as a substitute for, or superior to, financial measures calculated in accordance with GAAP. Non-GAAP financial measures have limitations in that they do not reflect all of the costs associated with the operations of Marvell’s business as determined in accordance with GAAP. As a result, you should not consider these measures in isolation or as a substitute for analysis of Marvell’s results as reported under GAAP. Marvell expects to continue to incur expenses similar to the non-GAAP adjustments described above, and exclusion of these items from Marvell’s non-GAAP net income should not be construed as an inference that these costs are unusual, infrequent or non-recurring.</w:t>
      </w:r>
    </w:p>
    <w:p>
      <w:pPr>
        <w:spacing w:after="0" w:line="303" w:lineRule="exact"/>
        <w:rPr>
          <w:sz w:val="20"/>
          <w:szCs w:val="20"/>
          <w:color w:val="auto"/>
        </w:rPr>
      </w:pPr>
    </w:p>
    <w:p>
      <w:pPr>
        <w:spacing w:after="0"/>
        <w:tabs>
          <w:tab w:leader="none" w:pos="1120" w:val="left"/>
        </w:tabs>
        <w:rPr>
          <w:sz w:val="20"/>
          <w:szCs w:val="20"/>
          <w:color w:val="auto"/>
        </w:rPr>
      </w:pPr>
      <w:r>
        <w:rPr>
          <w:rFonts w:ascii="Arial" w:cs="Arial" w:eastAsia="Arial" w:hAnsi="Arial"/>
          <w:sz w:val="18"/>
          <w:szCs w:val="18"/>
          <w:b w:val="1"/>
          <w:bCs w:val="1"/>
          <w:color w:val="auto"/>
        </w:rPr>
        <w:t>Item 8.01</w:t>
      </w:r>
      <w:r>
        <w:rPr>
          <w:sz w:val="20"/>
          <w:szCs w:val="20"/>
          <w:color w:val="auto"/>
        </w:rPr>
        <w:tab/>
      </w:r>
      <w:r>
        <w:rPr>
          <w:rFonts w:ascii="Arial" w:cs="Arial" w:eastAsia="Arial" w:hAnsi="Arial"/>
          <w:sz w:val="16"/>
          <w:szCs w:val="16"/>
          <w:b w:val="1"/>
          <w:bCs w:val="1"/>
          <w:color w:val="auto"/>
        </w:rPr>
        <w:t>Other Events.</w:t>
      </w:r>
    </w:p>
    <w:p>
      <w:pPr>
        <w:spacing w:after="0" w:line="121" w:lineRule="exact"/>
        <w:rPr>
          <w:sz w:val="20"/>
          <w:szCs w:val="20"/>
          <w:color w:val="auto"/>
        </w:rPr>
      </w:pPr>
    </w:p>
    <w:p>
      <w:pPr>
        <w:ind w:right="20" w:firstLine="456"/>
        <w:spacing w:after="0" w:line="255" w:lineRule="auto"/>
        <w:rPr>
          <w:sz w:val="20"/>
          <w:szCs w:val="20"/>
          <w:color w:val="auto"/>
        </w:rPr>
      </w:pPr>
      <w:r>
        <w:rPr>
          <w:rFonts w:ascii="Arial" w:cs="Arial" w:eastAsia="Arial" w:hAnsi="Arial"/>
          <w:sz w:val="18"/>
          <w:szCs w:val="18"/>
          <w:color w:val="auto"/>
        </w:rPr>
        <w:t>Marvell today announced that it had declared the payment of its quarterly dividend of $0.06 per share to be paid on December 23, 2013 to all shareholders of record as of December 12, 2013. Developments in ongoing litigation could affect Marvell’s ability to pay the dividend on December 23, 2013 under Bermuda law, where Marvell is incorporated. In such an event, the payment of the dividend could be delayed until such time as Marvell can meet statutory requirements under Bermuda law. The payment of future quarterly cash dividends is subject to, among other things, the best interests of its shareholders, its results of operations, cash balances and future cash requirements, financial condition, statutory requirements under Bermuda law, and other factors that the board of directors may deem relevant.</w:t>
      </w:r>
    </w:p>
    <w:p>
      <w:pPr>
        <w:spacing w:after="0" w:line="126"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3</w:t>
      </w:r>
    </w:p>
    <w:p>
      <w:pPr>
        <w:sectPr>
          <w:pgSz w:w="11900" w:h="16838" w:orient="portrait"/>
          <w:cols w:equalWidth="0" w:num="1">
            <w:col w:w="11380"/>
          </w:cols>
          <w:pgMar w:left="240" w:top="274" w:right="279" w:bottom="1440" w:gutter="0" w:footer="0" w:header="0"/>
        </w:sectPr>
      </w:pPr>
    </w:p>
    <w:bookmarkStart w:id="3" w:name="page4"/>
    <w:bookmarkEnd w:id="3"/>
    <w:p>
      <w:pPr>
        <w:spacing w:after="0"/>
        <w:tabs>
          <w:tab w:leader="none" w:pos="1120" w:val="left"/>
        </w:tabs>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7289165" cy="38735"/>
                    </a:xfrm>
                    <a:prstGeom prst="rect">
                      <a:avLst/>
                    </a:prstGeom>
                    <a:noFill/>
                  </pic:spPr>
                </pic:pic>
              </a:graphicData>
            </a:graphic>
          </wp:anchor>
        </w:drawing>
        <w:t>Item 9.01</w:t>
      </w:r>
      <w:r>
        <w:rPr>
          <w:sz w:val="20"/>
          <w:szCs w:val="20"/>
          <w:color w:val="auto"/>
        </w:rPr>
        <w:tab/>
      </w:r>
      <w:r>
        <w:rPr>
          <w:rFonts w:ascii="Arial" w:cs="Arial" w:eastAsia="Arial" w:hAnsi="Arial"/>
          <w:sz w:val="16"/>
          <w:szCs w:val="16"/>
          <w:b w:val="1"/>
          <w:bCs w:val="1"/>
          <w:color w:val="auto"/>
        </w:rPr>
        <w:t>Financial Statements and Exhibits.</w:t>
      </w:r>
    </w:p>
    <w:p>
      <w:pPr>
        <w:spacing w:after="0" w:line="135" w:lineRule="exact"/>
        <w:rPr>
          <w:sz w:val="20"/>
          <w:szCs w:val="20"/>
          <w:color w:val="auto"/>
        </w:rPr>
      </w:pPr>
    </w:p>
    <w:p>
      <w:pPr>
        <w:ind w:left="900" w:hanging="446"/>
        <w:spacing w:after="0"/>
        <w:tabs>
          <w:tab w:leader="none" w:pos="900" w:val="left"/>
        </w:tabs>
        <w:numPr>
          <w:ilvl w:val="0"/>
          <w:numId w:val="6"/>
        </w:numPr>
        <w:rPr>
          <w:rFonts w:ascii="Arial" w:cs="Arial" w:eastAsia="Arial" w:hAnsi="Arial"/>
          <w:sz w:val="18"/>
          <w:szCs w:val="18"/>
          <w:color w:val="auto"/>
        </w:rPr>
      </w:pPr>
      <w:r>
        <w:rPr>
          <w:rFonts w:ascii="Arial" w:cs="Arial" w:eastAsia="Arial" w:hAnsi="Arial"/>
          <w:sz w:val="18"/>
          <w:szCs w:val="18"/>
          <w:color w:val="auto"/>
        </w:rPr>
        <w:t>Exhibits.</w:t>
      </w:r>
    </w:p>
    <w:p>
      <w:pPr>
        <w:spacing w:after="0" w:line="130" w:lineRule="exact"/>
        <w:rPr>
          <w:rFonts w:ascii="Arial" w:cs="Arial" w:eastAsia="Arial" w:hAnsi="Arial"/>
          <w:sz w:val="18"/>
          <w:szCs w:val="18"/>
          <w:color w:val="auto"/>
        </w:rPr>
      </w:pPr>
    </w:p>
    <w:p>
      <w:pPr>
        <w:ind w:left="920"/>
        <w:spacing w:after="0"/>
        <w:rPr>
          <w:rFonts w:ascii="Arial" w:cs="Arial" w:eastAsia="Arial" w:hAnsi="Arial"/>
          <w:sz w:val="18"/>
          <w:szCs w:val="18"/>
          <w:color w:val="auto"/>
        </w:rPr>
      </w:pPr>
      <w:r>
        <w:rPr>
          <w:rFonts w:ascii="Arial" w:cs="Arial" w:eastAsia="Arial" w:hAnsi="Arial"/>
          <w:sz w:val="18"/>
          <w:szCs w:val="18"/>
          <w:color w:val="auto"/>
        </w:rPr>
        <w:t>99.1   Press Release dated November 21, 2013</w:t>
      </w:r>
    </w:p>
    <w:p>
      <w:pPr>
        <w:spacing w:after="0" w:line="158" w:lineRule="exact"/>
        <w:rPr>
          <w:sz w:val="20"/>
          <w:szCs w:val="20"/>
          <w:color w:val="auto"/>
        </w:rPr>
      </w:pPr>
    </w:p>
    <w:p>
      <w:pPr>
        <w:jc w:val="right"/>
        <w:ind w:right="4459"/>
        <w:spacing w:after="0"/>
        <w:rPr>
          <w:sz w:val="20"/>
          <w:szCs w:val="20"/>
          <w:color w:val="auto"/>
        </w:rPr>
      </w:pPr>
      <w:r>
        <w:rPr>
          <w:rFonts w:ascii="Arial" w:cs="Arial" w:eastAsia="Arial" w:hAnsi="Arial"/>
          <w:sz w:val="18"/>
          <w:szCs w:val="18"/>
          <w:color w:val="auto"/>
        </w:rPr>
        <w:t>4</w:t>
      </w:r>
    </w:p>
    <w:p>
      <w:pPr>
        <w:sectPr>
          <w:pgSz w:w="11900" w:h="16838" w:orient="portrait"/>
          <w:cols w:equalWidth="0" w:num="1">
            <w:col w:w="10219"/>
          </w:cols>
          <w:pgMar w:left="240" w:top="270" w:right="1440" w:bottom="1440" w:gutter="0" w:footer="0" w:header="0"/>
        </w:sectPr>
      </w:pPr>
    </w:p>
    <w:bookmarkStart w:id="4" w:name="page5"/>
    <w:bookmarkEnd w:id="4"/>
    <w:p>
      <w:pPr>
        <w:jc w:val="center"/>
        <w:ind w:right="-19"/>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7289165" cy="38735"/>
                    </a:xfrm>
                    <a:prstGeom prst="rect">
                      <a:avLst/>
                    </a:prstGeom>
                    <a:noFill/>
                  </pic:spPr>
                </pic:pic>
              </a:graphicData>
            </a:graphic>
          </wp:anchor>
        </w:drawing>
        <w:t>SIGNATURE</w:t>
      </w:r>
    </w:p>
    <w:p>
      <w:pPr>
        <w:spacing w:after="0" w:line="229" w:lineRule="exact"/>
        <w:rPr>
          <w:sz w:val="20"/>
          <w:szCs w:val="20"/>
          <w:color w:val="auto"/>
        </w:rPr>
      </w:pPr>
    </w:p>
    <w:p>
      <w:pPr>
        <w:ind w:firstLine="456"/>
        <w:spacing w:after="0" w:line="277" w:lineRule="auto"/>
        <w:rPr>
          <w:sz w:val="20"/>
          <w:szCs w:val="20"/>
          <w:color w:val="auto"/>
        </w:rPr>
      </w:pPr>
      <w:r>
        <w:rPr>
          <w:rFonts w:ascii="Arial" w:cs="Arial" w:eastAsia="Arial" w:hAnsi="Arial"/>
          <w:sz w:val="18"/>
          <w:szCs w:val="18"/>
          <w:color w:val="auto"/>
        </w:rPr>
        <w:t>Pursuant to the requirements of the Securities Exchange Act of 1934, as amended, the registrant has duly caused this report to be signed on its behalf by the undersigned hereunto duly authorized.</w:t>
      </w:r>
    </w:p>
    <w:p>
      <w:pPr>
        <w:spacing w:after="0" w:line="170" w:lineRule="exact"/>
        <w:rPr>
          <w:sz w:val="20"/>
          <w:szCs w:val="20"/>
          <w:color w:val="auto"/>
        </w:rPr>
      </w:pPr>
    </w:p>
    <w:p>
      <w:pPr>
        <w:ind w:left="460"/>
        <w:spacing w:after="0"/>
        <w:rPr>
          <w:sz w:val="20"/>
          <w:szCs w:val="20"/>
          <w:color w:val="auto"/>
        </w:rPr>
      </w:pPr>
      <w:r>
        <w:rPr>
          <w:rFonts w:ascii="Arial" w:cs="Arial" w:eastAsia="Arial" w:hAnsi="Arial"/>
          <w:sz w:val="18"/>
          <w:szCs w:val="18"/>
          <w:color w:val="auto"/>
        </w:rPr>
        <w:t>Dated: November 21, 2013</w:t>
      </w:r>
    </w:p>
    <w:p>
      <w:pPr>
        <w:spacing w:after="0" w:line="252" w:lineRule="exact"/>
        <w:rPr>
          <w:sz w:val="20"/>
          <w:szCs w:val="20"/>
          <w:color w:val="auto"/>
        </w:rPr>
      </w:pPr>
    </w:p>
    <w:p>
      <w:pPr>
        <w:ind w:left="6860"/>
        <w:spacing w:after="0"/>
        <w:rPr>
          <w:sz w:val="20"/>
          <w:szCs w:val="20"/>
          <w:color w:val="auto"/>
        </w:rPr>
      </w:pPr>
      <w:r>
        <w:rPr>
          <w:rFonts w:ascii="Arial" w:cs="Arial" w:eastAsia="Arial" w:hAnsi="Arial"/>
          <w:sz w:val="18"/>
          <w:szCs w:val="18"/>
          <w:color w:val="auto"/>
        </w:rPr>
        <w:t>MARVELL TECHNOLOGY GROUP LTD.</w:t>
      </w:r>
    </w:p>
    <w:p>
      <w:pPr>
        <w:spacing w:after="0" w:line="225" w:lineRule="exact"/>
        <w:rPr>
          <w:sz w:val="20"/>
          <w:szCs w:val="20"/>
          <w:color w:val="auto"/>
        </w:rPr>
      </w:pPr>
    </w:p>
    <w:p>
      <w:pPr>
        <w:ind w:left="6860"/>
        <w:spacing w:after="0"/>
        <w:rPr>
          <w:sz w:val="20"/>
          <w:szCs w:val="20"/>
          <w:color w:val="auto"/>
        </w:rPr>
      </w:pPr>
      <w:r>
        <w:rPr>
          <w:rFonts w:ascii="Arial" w:cs="Arial" w:eastAsia="Arial" w:hAnsi="Arial"/>
          <w:sz w:val="18"/>
          <w:szCs w:val="18"/>
          <w:color w:val="auto"/>
        </w:rPr>
        <w:t>By:  /s/ Brad D. Feller</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4592955</wp:posOffset>
            </wp:positionH>
            <wp:positionV relativeFrom="paragraph">
              <wp:posOffset>14605</wp:posOffset>
            </wp:positionV>
            <wp:extent cx="2658745" cy="889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extLst>
                    </a:blip>
                    <a:srcRect/>
                    <a:stretch>
                      <a:fillRect/>
                    </a:stretch>
                  </pic:blipFill>
                  <pic:spPr bwMode="auto">
                    <a:xfrm>
                      <a:off x="0" y="0"/>
                      <a:ext cx="2658745" cy="8890"/>
                    </a:xfrm>
                    <a:prstGeom prst="rect">
                      <a:avLst/>
                    </a:prstGeom>
                    <a:noFill/>
                  </pic:spPr>
                </pic:pic>
              </a:graphicData>
            </a:graphic>
          </wp:anchor>
        </w:drawing>
      </w:r>
    </w:p>
    <w:p>
      <w:pPr>
        <w:spacing w:after="0" w:line="16" w:lineRule="exact"/>
        <w:rPr>
          <w:sz w:val="20"/>
          <w:szCs w:val="20"/>
          <w:color w:val="auto"/>
        </w:rPr>
      </w:pPr>
    </w:p>
    <w:p>
      <w:pPr>
        <w:ind w:left="7240"/>
        <w:spacing w:after="0"/>
        <w:rPr>
          <w:sz w:val="20"/>
          <w:szCs w:val="20"/>
          <w:color w:val="auto"/>
        </w:rPr>
      </w:pPr>
      <w:r>
        <w:rPr>
          <w:rFonts w:ascii="Arial" w:cs="Arial" w:eastAsia="Arial" w:hAnsi="Arial"/>
          <w:sz w:val="18"/>
          <w:szCs w:val="18"/>
          <w:color w:val="auto"/>
        </w:rPr>
        <w:t>Brad D. Feller</w:t>
      </w:r>
    </w:p>
    <w:p>
      <w:pPr>
        <w:spacing w:after="0" w:line="23" w:lineRule="exact"/>
        <w:rPr>
          <w:sz w:val="20"/>
          <w:szCs w:val="20"/>
          <w:color w:val="auto"/>
        </w:rPr>
      </w:pPr>
    </w:p>
    <w:p>
      <w:pPr>
        <w:ind w:left="7240"/>
        <w:spacing w:after="0"/>
        <w:rPr>
          <w:sz w:val="20"/>
          <w:szCs w:val="20"/>
          <w:color w:val="auto"/>
        </w:rPr>
      </w:pPr>
      <w:r>
        <w:rPr>
          <w:rFonts w:ascii="Arial" w:cs="Arial" w:eastAsia="Arial" w:hAnsi="Arial"/>
          <w:sz w:val="18"/>
          <w:szCs w:val="18"/>
          <w:i w:val="1"/>
          <w:iCs w:val="1"/>
          <w:color w:val="auto"/>
        </w:rPr>
        <w:t>Interim Chief Financial Officer</w:t>
      </w:r>
    </w:p>
    <w:p>
      <w:pPr>
        <w:spacing w:after="0" w:line="143"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5</w:t>
      </w:r>
    </w:p>
    <w:p>
      <w:pPr>
        <w:sectPr>
          <w:pgSz w:w="11900" w:h="16838" w:orient="portrait"/>
          <w:cols w:equalWidth="0" w:num="1">
            <w:col w:w="11420"/>
          </w:cols>
          <w:pgMar w:left="240" w:top="270" w:right="239" w:bottom="1440" w:gutter="0" w:footer="0" w:header="0"/>
        </w:sectPr>
      </w:pPr>
    </w:p>
    <w:bookmarkStart w:id="5" w:name="page6"/>
    <w:bookmarkEnd w:id="5"/>
    <w:p>
      <w:pPr>
        <w:jc w:val="right"/>
        <w:ind w:right="3799"/>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extLst>
                        <a:ext uri="{28A0092B-C50C-407E-A947-70E740481C1C}"/>
                      </a:extLst>
                    </a:blip>
                    <a:srcRect/>
                    <a:stretch>
                      <a:fillRect/>
                    </a:stretch>
                  </pic:blipFill>
                  <pic:spPr bwMode="auto">
                    <a:xfrm>
                      <a:off x="0" y="0"/>
                      <a:ext cx="7289165" cy="38735"/>
                    </a:xfrm>
                    <a:prstGeom prst="rect">
                      <a:avLst/>
                    </a:prstGeom>
                    <a:noFill/>
                  </pic:spPr>
                </pic:pic>
              </a:graphicData>
            </a:graphic>
          </wp:anchor>
        </w:drawing>
        <w:t>EXHIBIT INDEX</w:t>
      </w:r>
    </w:p>
    <w:p>
      <w:pPr>
        <w:spacing w:after="0" w:line="251" w:lineRule="exact"/>
        <w:rPr>
          <w:sz w:val="20"/>
          <w:szCs w:val="20"/>
          <w:color w:val="auto"/>
        </w:rPr>
      </w:pPr>
    </w:p>
    <w:p>
      <w:pPr>
        <w:ind w:left="20"/>
        <w:spacing w:after="0"/>
        <w:rPr>
          <w:sz w:val="20"/>
          <w:szCs w:val="20"/>
          <w:color w:val="auto"/>
        </w:rPr>
      </w:pPr>
      <w:r>
        <w:rPr>
          <w:rFonts w:ascii="Arial" w:cs="Arial" w:eastAsia="Arial" w:hAnsi="Arial"/>
          <w:sz w:val="14"/>
          <w:szCs w:val="14"/>
          <w:color w:val="auto"/>
        </w:rPr>
        <w:t>Exhibit</w:t>
      </w:r>
    </w:p>
    <w:p>
      <w:pPr>
        <w:ind w:left="120"/>
        <w:spacing w:after="0"/>
        <w:tabs>
          <w:tab w:leader="none" w:pos="980" w:val="left"/>
        </w:tabs>
        <w:rPr>
          <w:sz w:val="20"/>
          <w:szCs w:val="20"/>
          <w:color w:val="auto"/>
        </w:rPr>
      </w:pPr>
      <w:r>
        <w:rPr>
          <w:rFonts w:ascii="Arial" w:cs="Arial" w:eastAsia="Arial" w:hAnsi="Arial"/>
          <w:sz w:val="14"/>
          <w:szCs w:val="14"/>
          <w:color w:val="auto"/>
        </w:rPr>
        <w:t>No.</w:t>
      </w:r>
      <w:r>
        <w:rPr>
          <w:sz w:val="20"/>
          <w:szCs w:val="20"/>
          <w:color w:val="auto"/>
        </w:rPr>
        <w:tab/>
      </w:r>
      <w:r>
        <w:rPr>
          <w:rFonts w:ascii="Arial" w:cs="Arial" w:eastAsia="Arial" w:hAnsi="Arial"/>
          <w:sz w:val="14"/>
          <w:szCs w:val="14"/>
          <w:color w:val="auto"/>
        </w:rPr>
        <w:t>Description</w:t>
      </w:r>
    </w:p>
    <w:p>
      <w:pPr>
        <w:spacing w:after="0" w:line="88" w:lineRule="exact"/>
        <w:rPr>
          <w:sz w:val="20"/>
          <w:szCs w:val="20"/>
          <w:color w:val="auto"/>
        </w:rPr>
      </w:pPr>
    </w:p>
    <w:p>
      <w:pPr>
        <w:spacing w:after="0"/>
        <w:tabs>
          <w:tab w:leader="none" w:pos="980" w:val="left"/>
        </w:tabs>
        <w:rPr>
          <w:sz w:val="20"/>
          <w:szCs w:val="20"/>
          <w:color w:val="auto"/>
        </w:rPr>
      </w:pPr>
      <w:r>
        <w:rPr>
          <w:rFonts w:ascii="Arial" w:cs="Arial" w:eastAsia="Arial" w:hAnsi="Arial"/>
          <w:sz w:val="18"/>
          <w:szCs w:val="18"/>
          <w:color w:val="auto"/>
        </w:rPr>
        <w:t>99.1</w:t>
      </w:r>
      <w:r>
        <w:rPr>
          <w:sz w:val="20"/>
          <w:szCs w:val="20"/>
          <w:color w:val="auto"/>
        </w:rPr>
        <w:tab/>
      </w:r>
      <w:r>
        <w:rPr>
          <w:rFonts w:ascii="Arial" w:cs="Arial" w:eastAsia="Arial" w:hAnsi="Arial"/>
          <w:sz w:val="15"/>
          <w:szCs w:val="15"/>
          <w:color w:val="auto"/>
        </w:rPr>
        <w:t>Press Release dated November 21, 2013</w:t>
      </w:r>
    </w:p>
    <w:p>
      <w:pPr>
        <w:sectPr>
          <w:pgSz w:w="11900" w:h="16838" w:orient="portrait"/>
          <w:cols w:equalWidth="0" w:num="1">
            <w:col w:w="10219"/>
          </w:cols>
          <w:pgMar w:left="240" w:top="270" w:right="1440" w:bottom="1440" w:gutter="0" w:footer="0" w:header="0"/>
        </w:sectPr>
      </w:pPr>
    </w:p>
    <w:bookmarkStart w:id="6" w:name="page7"/>
    <w:bookmarkEnd w:id="6"/>
    <w:p>
      <w:pPr>
        <w:jc w:val="right"/>
        <w:spacing w:after="0"/>
        <w:rPr>
          <w:sz w:val="20"/>
          <w:szCs w:val="20"/>
          <w:color w:val="auto"/>
        </w:rPr>
      </w:pPr>
      <w:r>
        <w:rPr>
          <w:rFonts w:ascii="Arial" w:cs="Arial" w:eastAsia="Arial" w:hAnsi="Arial"/>
          <w:sz w:val="18"/>
          <w:szCs w:val="18"/>
          <w:b w:val="1"/>
          <w:bCs w:val="1"/>
          <w:color w:val="auto"/>
        </w:rPr>
        <w:t>Exhibit 99.1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5013325</wp:posOffset>
            </wp:positionH>
            <wp:positionV relativeFrom="paragraph">
              <wp:posOffset>172085</wp:posOffset>
            </wp:positionV>
            <wp:extent cx="1878330" cy="14605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3">
                      <a:extLst>
                        <a:ext uri="{28A0092B-C50C-407E-A947-70E740481C1C}"/>
                      </a:extLst>
                    </a:blip>
                    <a:srcRect/>
                    <a:stretch>
                      <a:fillRect/>
                    </a:stretch>
                  </pic:blipFill>
                  <pic:spPr bwMode="auto">
                    <a:xfrm>
                      <a:off x="0" y="0"/>
                      <a:ext cx="1878330" cy="14605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18" w:lineRule="exact"/>
        <w:rPr>
          <w:sz w:val="20"/>
          <w:szCs w:val="20"/>
          <w:color w:val="auto"/>
        </w:rPr>
      </w:pPr>
    </w:p>
    <w:tbl>
      <w:tblPr>
        <w:tblLayout w:type="fixed"/>
        <w:tblInd w:w="0" w:type="dxa"/>
        <w:tblCellMar>
          <w:top w:w="0" w:type="dxa"/>
          <w:left w:w="0" w:type="dxa"/>
          <w:bottom w:w="0" w:type="dxa"/>
          <w:right w:w="0" w:type="dxa"/>
        </w:tblCellMar>
      </w:tblPr>
      <w:tr>
        <w:trPr>
          <w:trHeight w:val="220"/>
        </w:trPr>
        <w:tc>
          <w:tcPr>
            <w:tcW w:w="5240" w:type="dxa"/>
            <w:vAlign w:val="bottom"/>
            <w:gridSpan w:val="2"/>
          </w:tcPr>
          <w:p>
            <w:pPr>
              <w:spacing w:after="0"/>
              <w:rPr>
                <w:sz w:val="20"/>
                <w:szCs w:val="20"/>
                <w:color w:val="auto"/>
              </w:rPr>
            </w:pPr>
            <w:r>
              <w:rPr>
                <w:rFonts w:ascii="Arial" w:cs="Arial" w:eastAsia="Arial" w:hAnsi="Arial"/>
                <w:sz w:val="18"/>
                <w:szCs w:val="18"/>
                <w:b w:val="1"/>
                <w:bCs w:val="1"/>
                <w:color w:val="auto"/>
              </w:rPr>
              <w:t>For further information, contact:</w:t>
            </w:r>
          </w:p>
        </w:tc>
        <w:tc>
          <w:tcPr>
            <w:tcW w:w="2660" w:type="dxa"/>
            <w:vAlign w:val="bottom"/>
          </w:tcPr>
          <w:p>
            <w:pPr>
              <w:spacing w:after="0"/>
              <w:rPr>
                <w:sz w:val="19"/>
                <w:szCs w:val="19"/>
                <w:color w:val="auto"/>
              </w:rPr>
            </w:pPr>
          </w:p>
        </w:tc>
        <w:tc>
          <w:tcPr>
            <w:tcW w:w="1520" w:type="dxa"/>
            <w:vAlign w:val="bottom"/>
          </w:tcPr>
          <w:p>
            <w:pPr>
              <w:spacing w:after="0"/>
              <w:rPr>
                <w:sz w:val="19"/>
                <w:szCs w:val="19"/>
                <w:color w:val="auto"/>
              </w:rPr>
            </w:pPr>
          </w:p>
        </w:tc>
      </w:tr>
      <w:tr>
        <w:trPr>
          <w:trHeight w:val="216"/>
        </w:trPr>
        <w:tc>
          <w:tcPr>
            <w:tcW w:w="5240" w:type="dxa"/>
            <w:vAlign w:val="bottom"/>
            <w:gridSpan w:val="2"/>
          </w:tcPr>
          <w:p>
            <w:pPr>
              <w:spacing w:after="0"/>
              <w:rPr>
                <w:sz w:val="20"/>
                <w:szCs w:val="20"/>
                <w:color w:val="auto"/>
              </w:rPr>
            </w:pPr>
            <w:r>
              <w:rPr>
                <w:rFonts w:ascii="Arial" w:cs="Arial" w:eastAsia="Arial" w:hAnsi="Arial"/>
                <w:sz w:val="18"/>
                <w:szCs w:val="18"/>
                <w:color w:val="auto"/>
              </w:rPr>
              <w:t>Sukhi Nagesh</w:t>
            </w:r>
          </w:p>
        </w:tc>
        <w:tc>
          <w:tcPr>
            <w:tcW w:w="4180" w:type="dxa"/>
            <w:vAlign w:val="bottom"/>
            <w:gridSpan w:val="2"/>
          </w:tcPr>
          <w:p>
            <w:pPr>
              <w:ind w:left="2660"/>
              <w:spacing w:after="0"/>
              <w:rPr>
                <w:sz w:val="20"/>
                <w:szCs w:val="20"/>
                <w:color w:val="auto"/>
              </w:rPr>
            </w:pPr>
            <w:r>
              <w:rPr>
                <w:rFonts w:ascii="Arial" w:cs="Arial" w:eastAsia="Arial" w:hAnsi="Arial"/>
                <w:sz w:val="18"/>
                <w:szCs w:val="18"/>
                <w:color w:val="auto"/>
              </w:rPr>
              <w:t>Holly Zheng</w:t>
            </w:r>
          </w:p>
        </w:tc>
      </w:tr>
      <w:tr>
        <w:trPr>
          <w:trHeight w:val="216"/>
        </w:trPr>
        <w:tc>
          <w:tcPr>
            <w:tcW w:w="5240" w:type="dxa"/>
            <w:vAlign w:val="bottom"/>
            <w:gridSpan w:val="2"/>
          </w:tcPr>
          <w:p>
            <w:pPr>
              <w:spacing w:after="0"/>
              <w:rPr>
                <w:sz w:val="20"/>
                <w:szCs w:val="20"/>
                <w:color w:val="auto"/>
              </w:rPr>
            </w:pPr>
            <w:r>
              <w:rPr>
                <w:rFonts w:ascii="Arial" w:cs="Arial" w:eastAsia="Arial" w:hAnsi="Arial"/>
                <w:sz w:val="18"/>
                <w:szCs w:val="18"/>
                <w:color w:val="auto"/>
              </w:rPr>
              <w:t>Investor Relations</w:t>
            </w:r>
          </w:p>
        </w:tc>
        <w:tc>
          <w:tcPr>
            <w:tcW w:w="4180" w:type="dxa"/>
            <w:vAlign w:val="bottom"/>
            <w:gridSpan w:val="2"/>
          </w:tcPr>
          <w:p>
            <w:pPr>
              <w:ind w:left="2660"/>
              <w:spacing w:after="0"/>
              <w:rPr>
                <w:sz w:val="20"/>
                <w:szCs w:val="20"/>
                <w:color w:val="auto"/>
              </w:rPr>
            </w:pPr>
            <w:r>
              <w:rPr>
                <w:rFonts w:ascii="Arial" w:cs="Arial" w:eastAsia="Arial" w:hAnsi="Arial"/>
                <w:sz w:val="18"/>
                <w:szCs w:val="18"/>
                <w:color w:val="auto"/>
              </w:rPr>
              <w:t>Media Relations</w:t>
            </w:r>
          </w:p>
        </w:tc>
      </w:tr>
      <w:tr>
        <w:trPr>
          <w:trHeight w:val="216"/>
        </w:trPr>
        <w:tc>
          <w:tcPr>
            <w:tcW w:w="1460" w:type="dxa"/>
            <w:vAlign w:val="bottom"/>
          </w:tcPr>
          <w:p>
            <w:pPr>
              <w:spacing w:after="0"/>
              <w:rPr>
                <w:sz w:val="20"/>
                <w:szCs w:val="20"/>
                <w:color w:val="auto"/>
              </w:rPr>
            </w:pPr>
            <w:r>
              <w:rPr>
                <w:rFonts w:ascii="Arial" w:cs="Arial" w:eastAsia="Arial" w:hAnsi="Arial"/>
                <w:sz w:val="18"/>
                <w:szCs w:val="18"/>
                <w:color w:val="auto"/>
              </w:rPr>
              <w:t>408-222-8373</w:t>
            </w:r>
          </w:p>
        </w:tc>
        <w:tc>
          <w:tcPr>
            <w:tcW w:w="3780" w:type="dxa"/>
            <w:vAlign w:val="bottom"/>
          </w:tcPr>
          <w:p>
            <w:pPr>
              <w:spacing w:after="0"/>
              <w:rPr>
                <w:sz w:val="18"/>
                <w:szCs w:val="18"/>
                <w:color w:val="auto"/>
              </w:rPr>
            </w:pPr>
          </w:p>
        </w:tc>
        <w:tc>
          <w:tcPr>
            <w:tcW w:w="4180" w:type="dxa"/>
            <w:vAlign w:val="bottom"/>
            <w:gridSpan w:val="2"/>
          </w:tcPr>
          <w:p>
            <w:pPr>
              <w:ind w:left="2660"/>
              <w:spacing w:after="0"/>
              <w:rPr>
                <w:sz w:val="20"/>
                <w:szCs w:val="20"/>
                <w:color w:val="auto"/>
              </w:rPr>
            </w:pPr>
            <w:r>
              <w:rPr>
                <w:rFonts w:ascii="Arial" w:cs="Arial" w:eastAsia="Arial" w:hAnsi="Arial"/>
                <w:sz w:val="18"/>
                <w:szCs w:val="18"/>
                <w:color w:val="auto"/>
              </w:rPr>
              <w:t>408-222-9202</w:t>
            </w:r>
          </w:p>
        </w:tc>
      </w:tr>
      <w:tr>
        <w:trPr>
          <w:trHeight w:val="190"/>
        </w:trPr>
        <w:tc>
          <w:tcPr>
            <w:tcW w:w="5240" w:type="dxa"/>
            <w:vAlign w:val="bottom"/>
            <w:gridSpan w:val="2"/>
          </w:tcPr>
          <w:p>
            <w:pPr>
              <w:spacing w:after="0" w:line="190" w:lineRule="exact"/>
              <w:rPr>
                <w:sz w:val="20"/>
                <w:szCs w:val="20"/>
                <w:color w:val="auto"/>
              </w:rPr>
            </w:pPr>
            <w:r>
              <w:rPr>
                <w:rFonts w:ascii="Arial" w:cs="Arial" w:eastAsia="Arial" w:hAnsi="Arial"/>
                <w:sz w:val="18"/>
                <w:szCs w:val="18"/>
                <w:color w:val="auto"/>
              </w:rPr>
              <w:t>sukhi@marvell.com</w:t>
            </w:r>
          </w:p>
        </w:tc>
        <w:tc>
          <w:tcPr>
            <w:tcW w:w="4180" w:type="dxa"/>
            <w:vAlign w:val="bottom"/>
            <w:gridSpan w:val="2"/>
          </w:tcPr>
          <w:p>
            <w:pPr>
              <w:ind w:left="2660"/>
              <w:spacing w:after="0" w:line="190" w:lineRule="exact"/>
              <w:rPr>
                <w:sz w:val="20"/>
                <w:szCs w:val="20"/>
                <w:color w:val="auto"/>
              </w:rPr>
            </w:pPr>
            <w:r>
              <w:rPr>
                <w:rFonts w:ascii="Arial" w:cs="Arial" w:eastAsia="Arial" w:hAnsi="Arial"/>
                <w:sz w:val="18"/>
                <w:szCs w:val="18"/>
                <w:color w:val="auto"/>
                <w:w w:val="92"/>
              </w:rPr>
              <w:t>hollyz@marvell.com</w:t>
            </w:r>
          </w:p>
        </w:tc>
      </w:tr>
      <w:tr>
        <w:trPr>
          <w:trHeight w:val="20"/>
        </w:trPr>
        <w:tc>
          <w:tcPr>
            <w:tcW w:w="1460" w:type="dxa"/>
            <w:vAlign w:val="bottom"/>
            <w:shd w:val="clear" w:color="auto" w:fill="000000"/>
          </w:tcPr>
          <w:p>
            <w:pPr>
              <w:spacing w:after="0" w:line="20" w:lineRule="exact"/>
              <w:rPr>
                <w:sz w:val="1"/>
                <w:szCs w:val="1"/>
                <w:color w:val="auto"/>
              </w:rPr>
            </w:pPr>
          </w:p>
        </w:tc>
        <w:tc>
          <w:tcPr>
            <w:tcW w:w="3780" w:type="dxa"/>
            <w:vAlign w:val="bottom"/>
          </w:tcPr>
          <w:p>
            <w:pPr>
              <w:spacing w:after="0" w:line="20" w:lineRule="exact"/>
              <w:rPr>
                <w:sz w:val="1"/>
                <w:szCs w:val="1"/>
                <w:color w:val="auto"/>
              </w:rPr>
            </w:pPr>
          </w:p>
        </w:tc>
        <w:tc>
          <w:tcPr>
            <w:tcW w:w="2660" w:type="dxa"/>
            <w:vAlign w:val="bottom"/>
          </w:tcPr>
          <w:p>
            <w:pPr>
              <w:spacing w:after="0" w:line="20" w:lineRule="exact"/>
              <w:rPr>
                <w:sz w:val="1"/>
                <w:szCs w:val="1"/>
                <w:color w:val="auto"/>
              </w:rPr>
            </w:pPr>
          </w:p>
        </w:tc>
        <w:tc>
          <w:tcPr>
            <w:tcW w:w="1520" w:type="dxa"/>
            <w:vAlign w:val="bottom"/>
            <w:shd w:val="clear" w:color="auto" w:fill="000000"/>
          </w:tcPr>
          <w:p>
            <w:pPr>
              <w:spacing w:after="0" w:line="20" w:lineRule="exact"/>
              <w:rPr>
                <w:sz w:val="1"/>
                <w:szCs w:val="1"/>
                <w:color w:val="auto"/>
              </w:rPr>
            </w:pPr>
          </w:p>
        </w:tc>
      </w:tr>
    </w:tbl>
    <w:p>
      <w:pPr>
        <w:spacing w:after="0" w:line="225"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 Reports Third Quarter of Fiscal Year 2014 Financial Results</w:t>
      </w:r>
    </w:p>
    <w:p>
      <w:pPr>
        <w:spacing w:after="0" w:line="225" w:lineRule="exact"/>
        <w:rPr>
          <w:sz w:val="20"/>
          <w:szCs w:val="20"/>
          <w:color w:val="auto"/>
        </w:rPr>
      </w:pPr>
    </w:p>
    <w:p>
      <w:pPr>
        <w:ind w:right="80"/>
        <w:spacing w:after="0" w:line="282" w:lineRule="auto"/>
        <w:rPr>
          <w:sz w:val="20"/>
          <w:szCs w:val="20"/>
          <w:color w:val="auto"/>
        </w:rPr>
      </w:pPr>
      <w:r>
        <w:rPr>
          <w:rFonts w:ascii="Arial" w:cs="Arial" w:eastAsia="Arial" w:hAnsi="Arial"/>
          <w:sz w:val="18"/>
          <w:szCs w:val="18"/>
          <w:b w:val="1"/>
          <w:bCs w:val="1"/>
          <w:color w:val="auto"/>
        </w:rPr>
        <w:t xml:space="preserve">Santa Clara, Calif. (November 21, 2013) </w:t>
      </w:r>
      <w:r>
        <w:rPr>
          <w:rFonts w:ascii="Arial" w:cs="Arial" w:eastAsia="Arial" w:hAnsi="Arial"/>
          <w:sz w:val="18"/>
          <w:szCs w:val="18"/>
          <w:color w:val="auto"/>
        </w:rPr>
        <w:t>— Marvell (NASDAQ: MRVL), a global leader in integrated silicon solutions, today reported financial results for</w:t>
      </w:r>
      <w:r>
        <w:rPr>
          <w:rFonts w:ascii="Arial" w:cs="Arial" w:eastAsia="Arial" w:hAnsi="Arial"/>
          <w:sz w:val="18"/>
          <w:szCs w:val="18"/>
          <w:b w:val="1"/>
          <w:bCs w:val="1"/>
          <w:color w:val="auto"/>
        </w:rPr>
        <w:t xml:space="preserve"> </w:t>
      </w:r>
      <w:r>
        <w:rPr>
          <w:rFonts w:ascii="Arial" w:cs="Arial" w:eastAsia="Arial" w:hAnsi="Arial"/>
          <w:sz w:val="18"/>
          <w:szCs w:val="18"/>
          <w:color w:val="auto"/>
        </w:rPr>
        <w:t>the third quarter of fiscal year 2014, ended November 2, 2013.</w:t>
      </w:r>
    </w:p>
    <w:p>
      <w:pPr>
        <w:spacing w:after="0" w:line="27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Key 3Q FY2014 Financial Highlights</w:t>
      </w:r>
    </w:p>
    <w:p>
      <w:pPr>
        <w:spacing w:after="0" w:line="135" w:lineRule="exact"/>
        <w:rPr>
          <w:sz w:val="20"/>
          <w:szCs w:val="20"/>
          <w:color w:val="auto"/>
        </w:rPr>
      </w:pPr>
    </w:p>
    <w:p>
      <w:pPr>
        <w:ind w:left="900" w:hanging="325"/>
        <w:spacing w:after="0"/>
        <w:tabs>
          <w:tab w:leader="none" w:pos="900" w:val="left"/>
        </w:tabs>
        <w:numPr>
          <w:ilvl w:val="0"/>
          <w:numId w:val="7"/>
        </w:numPr>
        <w:rPr>
          <w:rFonts w:ascii="Arial" w:cs="Arial" w:eastAsia="Arial" w:hAnsi="Arial"/>
          <w:sz w:val="18"/>
          <w:szCs w:val="18"/>
          <w:color w:val="auto"/>
        </w:rPr>
      </w:pPr>
      <w:r>
        <w:rPr>
          <w:rFonts w:ascii="Arial" w:cs="Arial" w:eastAsia="Arial" w:hAnsi="Arial"/>
          <w:sz w:val="18"/>
          <w:szCs w:val="18"/>
          <w:color w:val="auto"/>
        </w:rPr>
        <w:t>Revenue: $931 Million</w:t>
      </w:r>
    </w:p>
    <w:p>
      <w:pPr>
        <w:spacing w:after="0" w:line="130" w:lineRule="exact"/>
        <w:rPr>
          <w:rFonts w:ascii="Arial" w:cs="Arial" w:eastAsia="Arial" w:hAnsi="Arial"/>
          <w:sz w:val="18"/>
          <w:szCs w:val="18"/>
          <w:color w:val="auto"/>
        </w:rPr>
      </w:pPr>
    </w:p>
    <w:p>
      <w:pPr>
        <w:ind w:left="900" w:hanging="325"/>
        <w:spacing w:after="0"/>
        <w:tabs>
          <w:tab w:leader="none" w:pos="900" w:val="left"/>
        </w:tabs>
        <w:numPr>
          <w:ilvl w:val="0"/>
          <w:numId w:val="7"/>
        </w:numPr>
        <w:rPr>
          <w:rFonts w:ascii="Arial" w:cs="Arial" w:eastAsia="Arial" w:hAnsi="Arial"/>
          <w:sz w:val="18"/>
          <w:szCs w:val="18"/>
          <w:color w:val="auto"/>
        </w:rPr>
      </w:pPr>
      <w:r>
        <w:rPr>
          <w:rFonts w:ascii="Arial" w:cs="Arial" w:eastAsia="Arial" w:hAnsi="Arial"/>
          <w:sz w:val="18"/>
          <w:szCs w:val="18"/>
          <w:color w:val="auto"/>
        </w:rPr>
        <w:t>GAAP Net Income: $103 Million</w:t>
      </w:r>
    </w:p>
    <w:p>
      <w:pPr>
        <w:spacing w:after="0" w:line="130" w:lineRule="exact"/>
        <w:rPr>
          <w:rFonts w:ascii="Arial" w:cs="Arial" w:eastAsia="Arial" w:hAnsi="Arial"/>
          <w:sz w:val="18"/>
          <w:szCs w:val="18"/>
          <w:color w:val="auto"/>
        </w:rPr>
      </w:pPr>
    </w:p>
    <w:p>
      <w:pPr>
        <w:ind w:left="900" w:hanging="325"/>
        <w:spacing w:after="0"/>
        <w:tabs>
          <w:tab w:leader="none" w:pos="900" w:val="left"/>
        </w:tabs>
        <w:numPr>
          <w:ilvl w:val="0"/>
          <w:numId w:val="7"/>
        </w:numPr>
        <w:rPr>
          <w:rFonts w:ascii="Arial" w:cs="Arial" w:eastAsia="Arial" w:hAnsi="Arial"/>
          <w:sz w:val="18"/>
          <w:szCs w:val="18"/>
          <w:color w:val="auto"/>
        </w:rPr>
      </w:pPr>
      <w:r>
        <w:rPr>
          <w:rFonts w:ascii="Arial" w:cs="Arial" w:eastAsia="Arial" w:hAnsi="Arial"/>
          <w:sz w:val="18"/>
          <w:szCs w:val="18"/>
          <w:color w:val="auto"/>
        </w:rPr>
        <w:t>GAAP EPS (diluted): $0.21</w:t>
      </w:r>
    </w:p>
    <w:p>
      <w:pPr>
        <w:spacing w:after="0" w:line="130" w:lineRule="exact"/>
        <w:rPr>
          <w:rFonts w:ascii="Arial" w:cs="Arial" w:eastAsia="Arial" w:hAnsi="Arial"/>
          <w:sz w:val="18"/>
          <w:szCs w:val="18"/>
          <w:color w:val="auto"/>
        </w:rPr>
      </w:pPr>
    </w:p>
    <w:p>
      <w:pPr>
        <w:ind w:left="900" w:hanging="325"/>
        <w:spacing w:after="0"/>
        <w:tabs>
          <w:tab w:leader="none" w:pos="900" w:val="left"/>
        </w:tabs>
        <w:numPr>
          <w:ilvl w:val="0"/>
          <w:numId w:val="7"/>
        </w:numPr>
        <w:rPr>
          <w:rFonts w:ascii="Arial" w:cs="Arial" w:eastAsia="Arial" w:hAnsi="Arial"/>
          <w:sz w:val="18"/>
          <w:szCs w:val="18"/>
          <w:color w:val="auto"/>
        </w:rPr>
      </w:pPr>
      <w:r>
        <w:rPr>
          <w:rFonts w:ascii="Arial" w:cs="Arial" w:eastAsia="Arial" w:hAnsi="Arial"/>
          <w:sz w:val="18"/>
          <w:szCs w:val="18"/>
          <w:color w:val="auto"/>
        </w:rPr>
        <w:t>Non-GAAP Net Income: $163 Million</w:t>
      </w:r>
    </w:p>
    <w:p>
      <w:pPr>
        <w:spacing w:after="0" w:line="130" w:lineRule="exact"/>
        <w:rPr>
          <w:rFonts w:ascii="Arial" w:cs="Arial" w:eastAsia="Arial" w:hAnsi="Arial"/>
          <w:sz w:val="18"/>
          <w:szCs w:val="18"/>
          <w:color w:val="auto"/>
        </w:rPr>
      </w:pPr>
    </w:p>
    <w:p>
      <w:pPr>
        <w:ind w:left="900" w:hanging="325"/>
        <w:spacing w:after="0"/>
        <w:tabs>
          <w:tab w:leader="none" w:pos="900" w:val="left"/>
        </w:tabs>
        <w:numPr>
          <w:ilvl w:val="0"/>
          <w:numId w:val="7"/>
        </w:numPr>
        <w:rPr>
          <w:rFonts w:ascii="Arial" w:cs="Arial" w:eastAsia="Arial" w:hAnsi="Arial"/>
          <w:sz w:val="18"/>
          <w:szCs w:val="18"/>
          <w:color w:val="auto"/>
        </w:rPr>
      </w:pPr>
      <w:r>
        <w:rPr>
          <w:rFonts w:ascii="Arial" w:cs="Arial" w:eastAsia="Arial" w:hAnsi="Arial"/>
          <w:sz w:val="18"/>
          <w:szCs w:val="18"/>
          <w:color w:val="auto"/>
        </w:rPr>
        <w:t>Non-GAAP EPS (diluted): $0.32</w:t>
      </w:r>
    </w:p>
    <w:p>
      <w:pPr>
        <w:spacing w:after="0" w:line="130" w:lineRule="exact"/>
        <w:rPr>
          <w:rFonts w:ascii="Arial" w:cs="Arial" w:eastAsia="Arial" w:hAnsi="Arial"/>
          <w:sz w:val="18"/>
          <w:szCs w:val="18"/>
          <w:color w:val="auto"/>
        </w:rPr>
      </w:pPr>
    </w:p>
    <w:p>
      <w:pPr>
        <w:ind w:left="900" w:hanging="325"/>
        <w:spacing w:after="0"/>
        <w:tabs>
          <w:tab w:leader="none" w:pos="900" w:val="left"/>
        </w:tabs>
        <w:numPr>
          <w:ilvl w:val="0"/>
          <w:numId w:val="7"/>
        </w:numPr>
        <w:rPr>
          <w:rFonts w:ascii="Arial" w:cs="Arial" w:eastAsia="Arial" w:hAnsi="Arial"/>
          <w:sz w:val="18"/>
          <w:szCs w:val="18"/>
          <w:color w:val="auto"/>
        </w:rPr>
      </w:pPr>
      <w:r>
        <w:rPr>
          <w:rFonts w:ascii="Arial" w:cs="Arial" w:eastAsia="Arial" w:hAnsi="Arial"/>
          <w:sz w:val="18"/>
          <w:szCs w:val="18"/>
          <w:color w:val="auto"/>
        </w:rPr>
        <w:t>Free Cash Flow: $157 Million</w:t>
      </w:r>
    </w:p>
    <w:p>
      <w:pPr>
        <w:spacing w:after="0" w:line="329"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4Q FY2014 Financial Outlook</w:t>
      </w:r>
    </w:p>
    <w:p>
      <w:pPr>
        <w:spacing w:after="0" w:line="121" w:lineRule="exact"/>
        <w:rPr>
          <w:sz w:val="20"/>
          <w:szCs w:val="20"/>
          <w:color w:val="auto"/>
        </w:rPr>
      </w:pPr>
    </w:p>
    <w:p>
      <w:pPr>
        <w:ind w:right="660"/>
        <w:spacing w:after="0" w:line="277" w:lineRule="auto"/>
        <w:rPr>
          <w:sz w:val="20"/>
          <w:szCs w:val="20"/>
          <w:color w:val="auto"/>
        </w:rPr>
      </w:pPr>
      <w:r>
        <w:rPr>
          <w:rFonts w:ascii="Arial" w:cs="Arial" w:eastAsia="Arial" w:hAnsi="Arial"/>
          <w:sz w:val="18"/>
          <w:szCs w:val="18"/>
          <w:color w:val="auto"/>
        </w:rPr>
        <w:t>Marvell’s financial outlook does not include the potential impact of future share repurchases, pending litigation matters, business combinations, asset acquisitions or other investments that may be completed after November 21, 2013.</w:t>
      </w:r>
    </w:p>
    <w:p>
      <w:pPr>
        <w:spacing w:after="0" w:line="76" w:lineRule="exact"/>
        <w:rPr>
          <w:sz w:val="20"/>
          <w:szCs w:val="20"/>
          <w:color w:val="auto"/>
        </w:rPr>
      </w:pPr>
    </w:p>
    <w:p>
      <w:pPr>
        <w:ind w:left="900" w:hanging="325"/>
        <w:spacing w:after="0"/>
        <w:tabs>
          <w:tab w:leader="none" w:pos="900" w:val="left"/>
        </w:tabs>
        <w:numPr>
          <w:ilvl w:val="0"/>
          <w:numId w:val="8"/>
        </w:numPr>
        <w:rPr>
          <w:rFonts w:ascii="Arial" w:cs="Arial" w:eastAsia="Arial" w:hAnsi="Arial"/>
          <w:sz w:val="18"/>
          <w:szCs w:val="18"/>
          <w:color w:val="auto"/>
        </w:rPr>
      </w:pPr>
      <w:r>
        <w:rPr>
          <w:rFonts w:ascii="Arial" w:cs="Arial" w:eastAsia="Arial" w:hAnsi="Arial"/>
          <w:sz w:val="18"/>
          <w:szCs w:val="18"/>
          <w:color w:val="auto"/>
        </w:rPr>
        <w:t>Revenue is expected to be in the range of $880 to $920 Million.</w:t>
      </w:r>
    </w:p>
    <w:p>
      <w:pPr>
        <w:spacing w:after="0" w:line="130" w:lineRule="exact"/>
        <w:rPr>
          <w:rFonts w:ascii="Arial" w:cs="Arial" w:eastAsia="Arial" w:hAnsi="Arial"/>
          <w:sz w:val="18"/>
          <w:szCs w:val="18"/>
          <w:color w:val="auto"/>
        </w:rPr>
      </w:pPr>
    </w:p>
    <w:p>
      <w:pPr>
        <w:ind w:left="900" w:hanging="325"/>
        <w:spacing w:after="0" w:line="277" w:lineRule="auto"/>
        <w:tabs>
          <w:tab w:leader="none" w:pos="900" w:val="left"/>
        </w:tabs>
        <w:numPr>
          <w:ilvl w:val="0"/>
          <w:numId w:val="8"/>
        </w:numPr>
        <w:rPr>
          <w:rFonts w:ascii="Arial" w:cs="Arial" w:eastAsia="Arial" w:hAnsi="Arial"/>
          <w:sz w:val="18"/>
          <w:szCs w:val="18"/>
          <w:color w:val="auto"/>
        </w:rPr>
      </w:pPr>
      <w:r>
        <w:rPr>
          <w:rFonts w:ascii="Arial" w:cs="Arial" w:eastAsia="Arial" w:hAnsi="Arial"/>
          <w:sz w:val="18"/>
          <w:szCs w:val="18"/>
          <w:color w:val="auto"/>
        </w:rPr>
        <w:t>GAAP Gross Margin is expected to be in the range of 49.7% +/- 100 bps. Non-GAAP Gross Margin is expected to be in the range of 50% +/- 100 bps.</w:t>
      </w:r>
    </w:p>
    <w:p>
      <w:pPr>
        <w:spacing w:after="0" w:line="75" w:lineRule="exact"/>
        <w:rPr>
          <w:rFonts w:ascii="Arial" w:cs="Arial" w:eastAsia="Arial" w:hAnsi="Arial"/>
          <w:sz w:val="18"/>
          <w:szCs w:val="18"/>
          <w:color w:val="auto"/>
        </w:rPr>
      </w:pPr>
    </w:p>
    <w:p>
      <w:pPr>
        <w:ind w:left="900" w:right="20" w:hanging="325"/>
        <w:spacing w:after="0" w:line="277" w:lineRule="auto"/>
        <w:tabs>
          <w:tab w:leader="none" w:pos="900" w:val="left"/>
        </w:tabs>
        <w:numPr>
          <w:ilvl w:val="0"/>
          <w:numId w:val="8"/>
        </w:numPr>
        <w:rPr>
          <w:rFonts w:ascii="Arial" w:cs="Arial" w:eastAsia="Arial" w:hAnsi="Arial"/>
          <w:sz w:val="18"/>
          <w:szCs w:val="18"/>
          <w:color w:val="auto"/>
        </w:rPr>
      </w:pPr>
      <w:r>
        <w:rPr>
          <w:rFonts w:ascii="Arial" w:cs="Arial" w:eastAsia="Arial" w:hAnsi="Arial"/>
          <w:sz w:val="18"/>
          <w:szCs w:val="18"/>
          <w:color w:val="auto"/>
        </w:rPr>
        <w:t>GAAP Operating Expenses are expected to be in the range of $360 Million +/- $10 Million. Non-GAAP Operating Expenses to be in the range of $315 Million +/- $10 Million.</w:t>
      </w:r>
    </w:p>
    <w:p>
      <w:pPr>
        <w:spacing w:after="0" w:line="75" w:lineRule="exact"/>
        <w:rPr>
          <w:rFonts w:ascii="Arial" w:cs="Arial" w:eastAsia="Arial" w:hAnsi="Arial"/>
          <w:sz w:val="18"/>
          <w:szCs w:val="18"/>
          <w:color w:val="auto"/>
        </w:rPr>
      </w:pPr>
    </w:p>
    <w:p>
      <w:pPr>
        <w:ind w:left="900" w:hanging="325"/>
        <w:spacing w:after="0"/>
        <w:tabs>
          <w:tab w:leader="none" w:pos="900" w:val="left"/>
        </w:tabs>
        <w:numPr>
          <w:ilvl w:val="0"/>
          <w:numId w:val="8"/>
        </w:numPr>
        <w:rPr>
          <w:rFonts w:ascii="Arial" w:cs="Arial" w:eastAsia="Arial" w:hAnsi="Arial"/>
          <w:sz w:val="16"/>
          <w:szCs w:val="16"/>
          <w:color w:val="auto"/>
        </w:rPr>
      </w:pPr>
      <w:r>
        <w:rPr>
          <w:rFonts w:ascii="Arial" w:cs="Arial" w:eastAsia="Arial" w:hAnsi="Arial"/>
          <w:sz w:val="16"/>
          <w:szCs w:val="16"/>
          <w:color w:val="auto"/>
        </w:rPr>
        <w:t>GAAP EPS (diluted) expected to be in the range of $0.16 +/- $0.02. Non-GAAP EPS (diluted) expected to be in the range of $0.25 +/- $0.02.</w:t>
      </w:r>
    </w:p>
    <w:p>
      <w:pPr>
        <w:sectPr>
          <w:pgSz w:w="11900" w:h="16838" w:orient="portrait"/>
          <w:cols w:equalWidth="0" w:num="1">
            <w:col w:w="11420"/>
          </w:cols>
          <w:pgMar w:left="240" w:top="121" w:right="239" w:bottom="1440" w:gutter="0" w:footer="0" w:header="0"/>
        </w:sectPr>
      </w:pPr>
    </w:p>
    <w:bookmarkStart w:id="7" w:name="page8"/>
    <w:bookmarkEnd w:id="7"/>
    <w:p>
      <w:pPr>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4">
                      <a:extLst>
                        <a:ext uri="{28A0092B-C50C-407E-A947-70E740481C1C}"/>
                      </a:extLst>
                    </a:blip>
                    <a:srcRect/>
                    <a:stretch>
                      <a:fillRect/>
                    </a:stretch>
                  </pic:blipFill>
                  <pic:spPr bwMode="auto">
                    <a:xfrm>
                      <a:off x="0" y="0"/>
                      <a:ext cx="7289165" cy="38735"/>
                    </a:xfrm>
                    <a:prstGeom prst="rect">
                      <a:avLst/>
                    </a:prstGeom>
                    <a:noFill/>
                  </pic:spPr>
                </pic:pic>
              </a:graphicData>
            </a:graphic>
          </wp:anchor>
        </w:drawing>
        <w:t>3Q FY2014 Summary</w:t>
      </w:r>
    </w:p>
    <w:p>
      <w:pPr>
        <w:spacing w:after="0" w:line="121" w:lineRule="exact"/>
        <w:rPr>
          <w:sz w:val="20"/>
          <w:szCs w:val="20"/>
          <w:color w:val="auto"/>
        </w:rPr>
      </w:pPr>
    </w:p>
    <w:p>
      <w:pPr>
        <w:ind w:right="140"/>
        <w:spacing w:after="0" w:line="308" w:lineRule="auto"/>
        <w:rPr>
          <w:sz w:val="20"/>
          <w:szCs w:val="20"/>
          <w:color w:val="auto"/>
        </w:rPr>
      </w:pPr>
      <w:r>
        <w:rPr>
          <w:rFonts w:ascii="Arial" w:cs="Arial" w:eastAsia="Arial" w:hAnsi="Arial"/>
          <w:sz w:val="17"/>
          <w:szCs w:val="17"/>
          <w:color w:val="auto"/>
        </w:rPr>
        <w:t>Revenue for the third quarter of fiscal 2014 was $931 million, a 15 percent sequential increase from $807 million in the second quarter of fiscal 2014, ended August 3, 2013, and a 19 percent increase from revenue of $781 million in the third quarter of fiscal 2013, ended October 27, 2012.</w:t>
      </w:r>
    </w:p>
    <w:p>
      <w:pPr>
        <w:spacing w:after="0" w:line="147" w:lineRule="exact"/>
        <w:rPr>
          <w:sz w:val="20"/>
          <w:szCs w:val="20"/>
          <w:color w:val="auto"/>
        </w:rPr>
      </w:pPr>
    </w:p>
    <w:p>
      <w:pPr>
        <w:ind w:right="380"/>
        <w:spacing w:after="0" w:line="308" w:lineRule="auto"/>
        <w:rPr>
          <w:sz w:val="20"/>
          <w:szCs w:val="20"/>
          <w:color w:val="auto"/>
        </w:rPr>
      </w:pPr>
      <w:r>
        <w:rPr>
          <w:rFonts w:ascii="Arial" w:cs="Arial" w:eastAsia="Arial" w:hAnsi="Arial"/>
          <w:sz w:val="17"/>
          <w:szCs w:val="17"/>
          <w:color w:val="auto"/>
        </w:rPr>
        <w:t>GAAP net income for the third quarter of fiscal 2014 was $103 million, or $0.21 per share (diluted), compared with GAAP net income of $62 million, or $0.12 per share (diluted), for the second quarter of fiscal 2014, and $69 million, or $0.12 per share (diluted), for the third quarter of fiscal 2013.</w:t>
      </w:r>
    </w:p>
    <w:p>
      <w:pPr>
        <w:spacing w:after="0" w:line="147" w:lineRule="exact"/>
        <w:rPr>
          <w:sz w:val="20"/>
          <w:szCs w:val="20"/>
          <w:color w:val="auto"/>
        </w:rPr>
      </w:pPr>
    </w:p>
    <w:p>
      <w:pPr>
        <w:ind w:right="180"/>
        <w:spacing w:after="0" w:line="342" w:lineRule="auto"/>
        <w:rPr>
          <w:sz w:val="20"/>
          <w:szCs w:val="20"/>
          <w:color w:val="auto"/>
        </w:rPr>
      </w:pPr>
      <w:r>
        <w:rPr>
          <w:rFonts w:ascii="Arial" w:cs="Arial" w:eastAsia="Arial" w:hAnsi="Arial"/>
          <w:sz w:val="16"/>
          <w:szCs w:val="16"/>
          <w:color w:val="auto"/>
        </w:rPr>
        <w:t>Non-GAAP net income was $163 million, or $0.32 per share (diluted), for the third quarter of fiscal 2014, compared with non-GAAP net income of $118 million, or $0.23 per share (diluted), for the second quarter of fiscal 2014, and $113 million, or $0.20 per share (diluted), for the third quarter of fiscal 2013.</w:t>
      </w:r>
    </w:p>
    <w:p>
      <w:pPr>
        <w:spacing w:after="0" w:line="124" w:lineRule="exact"/>
        <w:rPr>
          <w:sz w:val="20"/>
          <w:szCs w:val="20"/>
          <w:color w:val="auto"/>
        </w:rPr>
      </w:pPr>
    </w:p>
    <w:p>
      <w:pPr>
        <w:ind w:right="40"/>
        <w:spacing w:after="0" w:line="264" w:lineRule="auto"/>
        <w:rPr>
          <w:sz w:val="20"/>
          <w:szCs w:val="20"/>
          <w:color w:val="auto"/>
        </w:rPr>
      </w:pPr>
      <w:r>
        <w:rPr>
          <w:rFonts w:ascii="Arial" w:cs="Arial" w:eastAsia="Arial" w:hAnsi="Arial"/>
          <w:sz w:val="18"/>
          <w:szCs w:val="18"/>
          <w:color w:val="auto"/>
        </w:rPr>
        <w:t>“Our results in the third quarter were above the high-end of our guidance mainly due to better demand from our mobile, wireless and storage customers,” said Dr. Sehat Sutardja, Marvell’s Chairman and Chief Executive Officer. “We continue to make excellent progress in our end markets with new innovative products and remain committed to delivering above industry revenue and profit growth as we head into next year.”</w:t>
      </w:r>
    </w:p>
    <w:p>
      <w:pPr>
        <w:spacing w:after="0" w:line="181" w:lineRule="exact"/>
        <w:rPr>
          <w:sz w:val="20"/>
          <w:szCs w:val="20"/>
          <w:color w:val="auto"/>
        </w:rPr>
      </w:pPr>
    </w:p>
    <w:p>
      <w:pPr>
        <w:ind w:right="140"/>
        <w:spacing w:after="0" w:line="257" w:lineRule="auto"/>
        <w:rPr>
          <w:sz w:val="20"/>
          <w:szCs w:val="20"/>
          <w:color w:val="auto"/>
        </w:rPr>
      </w:pPr>
      <w:r>
        <w:rPr>
          <w:rFonts w:ascii="Arial" w:cs="Arial" w:eastAsia="Arial" w:hAnsi="Arial"/>
          <w:sz w:val="18"/>
          <w:szCs w:val="18"/>
          <w:color w:val="auto"/>
        </w:rPr>
        <w:t>Marvell reports net income, basic and diluted net income per share, in accordance with U.S. generally accepted accounting principles (GAAP) and on a non-GAAP basis as outlined below. Reconciliations of GAAP net income to non-GAAP net income for the three months ended November 2, 2013, August 3, 2013 and October 27, 2012 appear in the financial statements below. Non-GAAP net income, where applicable, excludes the effect of stock-based compensation, amortization of acquired intangible assets, acquisition-related costs, restructuring and other exit-related costs, and certain one-time expenses and benefits.</w:t>
      </w:r>
    </w:p>
    <w:p>
      <w:pPr>
        <w:spacing w:after="0" w:line="188" w:lineRule="exact"/>
        <w:rPr>
          <w:sz w:val="20"/>
          <w:szCs w:val="20"/>
          <w:color w:val="auto"/>
        </w:rPr>
      </w:pPr>
    </w:p>
    <w:p>
      <w:pPr>
        <w:ind w:right="260"/>
        <w:spacing w:after="0" w:line="277" w:lineRule="auto"/>
        <w:rPr>
          <w:sz w:val="20"/>
          <w:szCs w:val="20"/>
          <w:color w:val="auto"/>
        </w:rPr>
      </w:pPr>
      <w:r>
        <w:rPr>
          <w:rFonts w:ascii="Arial" w:cs="Arial" w:eastAsia="Arial" w:hAnsi="Arial"/>
          <w:sz w:val="18"/>
          <w:szCs w:val="18"/>
          <w:color w:val="auto"/>
        </w:rPr>
        <w:t>GAAP gross margin for the third quarter of fiscal 2014 was 50.1 percent, compared to 52.2 percent for the second quarter of fiscal 2014 and 52 percent for the third quarter of fiscal 2013.</w:t>
      </w:r>
    </w:p>
    <w:p>
      <w:pPr>
        <w:spacing w:after="0" w:line="170" w:lineRule="exact"/>
        <w:rPr>
          <w:sz w:val="20"/>
          <w:szCs w:val="20"/>
          <w:color w:val="auto"/>
        </w:rPr>
      </w:pPr>
    </w:p>
    <w:p>
      <w:pPr>
        <w:spacing w:after="0" w:line="277" w:lineRule="auto"/>
        <w:rPr>
          <w:sz w:val="20"/>
          <w:szCs w:val="20"/>
          <w:color w:val="auto"/>
        </w:rPr>
      </w:pPr>
      <w:r>
        <w:rPr>
          <w:rFonts w:ascii="Arial" w:cs="Arial" w:eastAsia="Arial" w:hAnsi="Arial"/>
          <w:sz w:val="18"/>
          <w:szCs w:val="18"/>
          <w:color w:val="auto"/>
        </w:rPr>
        <w:t>Non-GAAP gross margin for the third quarter of fiscal 2014 was 50.3 percent, compared to 53.0 percent for the second quarter of fiscal 2014 and 52.3 percent for the third quarter of fiscal 2013.</w:t>
      </w:r>
    </w:p>
    <w:p>
      <w:pPr>
        <w:spacing w:after="0" w:line="103"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w:t>
      </w:r>
    </w:p>
    <w:p>
      <w:pPr>
        <w:sectPr>
          <w:pgSz w:w="11900" w:h="16838" w:orient="portrait"/>
          <w:cols w:equalWidth="0" w:num="1">
            <w:col w:w="11420"/>
          </w:cols>
          <w:pgMar w:left="240" w:top="270" w:right="239" w:bottom="1440" w:gutter="0" w:footer="0" w:header="0"/>
        </w:sectPr>
      </w:pPr>
    </w:p>
    <w:bookmarkStart w:id="8" w:name="page9"/>
    <w:bookmarkEnd w:id="8"/>
    <w:p>
      <w:pPr>
        <w:ind w:right="40"/>
        <w:spacing w:after="0" w:line="257"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5">
                      <a:extLst>
                        <a:ext uri="{28A0092B-C50C-407E-A947-70E740481C1C}"/>
                      </a:extLst>
                    </a:blip>
                    <a:srcRect/>
                    <a:stretch>
                      <a:fillRect/>
                    </a:stretch>
                  </pic:blipFill>
                  <pic:spPr bwMode="auto">
                    <a:xfrm>
                      <a:off x="0" y="0"/>
                      <a:ext cx="7289165" cy="38735"/>
                    </a:xfrm>
                    <a:prstGeom prst="rect">
                      <a:avLst/>
                    </a:prstGeom>
                    <a:noFill/>
                  </pic:spPr>
                </pic:pic>
              </a:graphicData>
            </a:graphic>
          </wp:anchor>
        </w:drawing>
        <w:t>Shares used to compute GAAP net income per diluted share for the third quarter of fiscal 2014 were 501 million shares, compared with 501 million shares in the second quarter of fiscal 2014 and 559 million shares in the third quarter of fiscal 2013. Shares used to compute non-GAAP net income per diluted share for the third quarter of fiscal 2014 were 514 million shares, compared with 516 million shares for the second quarter of fiscal 2014 and 578 million shares for the third quarter of fiscal 2013. The decrease in shares used to compute both Marvell’s GAAP and non-GAAP net income per diluted share was primarily due to Marvell’s share repurchase program.</w:t>
      </w:r>
    </w:p>
    <w:p>
      <w:pPr>
        <w:spacing w:after="0" w:line="188" w:lineRule="exact"/>
        <w:rPr>
          <w:sz w:val="20"/>
          <w:szCs w:val="20"/>
          <w:color w:val="auto"/>
        </w:rPr>
      </w:pPr>
    </w:p>
    <w:p>
      <w:pPr>
        <w:ind w:right="40"/>
        <w:spacing w:after="0" w:line="257" w:lineRule="auto"/>
        <w:rPr>
          <w:sz w:val="20"/>
          <w:szCs w:val="20"/>
          <w:color w:val="auto"/>
        </w:rPr>
      </w:pPr>
      <w:r>
        <w:rPr>
          <w:rFonts w:ascii="Arial" w:cs="Arial" w:eastAsia="Arial" w:hAnsi="Arial"/>
          <w:sz w:val="18"/>
          <w:szCs w:val="18"/>
          <w:color w:val="auto"/>
        </w:rPr>
        <w:t>Cash flow from operations for the third quarter of fiscal 2014 was $177 million, compared to the $86 million reported in the second quarter of fiscal 2014 and the $137 million reported in the third quarter of fiscal 2013. Free cash flow for the third quarter of fiscal 2014 was $157 million, compared to the $65 million reported in the second quarter of fiscal 2014 and the $113 million reported in the third quarter of fiscal 2013. Free cash flow as presented above is defined as cash flow from operations, less capital expenditures and purchases of technology licenses reported under investing and financing activities in the consolidated statement of cash flows.</w:t>
      </w:r>
    </w:p>
    <w:p>
      <w:pPr>
        <w:spacing w:after="0" w:line="188" w:lineRule="exact"/>
        <w:rPr>
          <w:sz w:val="20"/>
          <w:szCs w:val="20"/>
          <w:color w:val="auto"/>
        </w:rPr>
      </w:pPr>
    </w:p>
    <w:p>
      <w:pPr>
        <w:ind w:right="120"/>
        <w:spacing w:after="0" w:line="308" w:lineRule="auto"/>
        <w:rPr>
          <w:sz w:val="20"/>
          <w:szCs w:val="20"/>
          <w:color w:val="auto"/>
        </w:rPr>
      </w:pPr>
      <w:r>
        <w:rPr>
          <w:rFonts w:ascii="Arial" w:cs="Arial" w:eastAsia="Arial" w:hAnsi="Arial"/>
          <w:sz w:val="17"/>
          <w:szCs w:val="17"/>
          <w:color w:val="auto"/>
        </w:rPr>
        <w:t>Under the share repurchase program, Marvell repurchased approximately 6.1 million shares for a total of $71 million in the third quarter of fiscal 2014. Over the past 13 quarters, Marvell has repurchased and retired approximately 217 million shares, or about 31 percent of its outstanding shares.</w:t>
      </w:r>
    </w:p>
    <w:p>
      <w:pPr>
        <w:spacing w:after="0" w:line="147" w:lineRule="exact"/>
        <w:rPr>
          <w:sz w:val="20"/>
          <w:szCs w:val="20"/>
          <w:color w:val="auto"/>
        </w:rPr>
      </w:pPr>
    </w:p>
    <w:p>
      <w:pPr>
        <w:spacing w:after="0" w:line="279" w:lineRule="auto"/>
        <w:rPr>
          <w:sz w:val="20"/>
          <w:szCs w:val="20"/>
          <w:color w:val="auto"/>
        </w:rPr>
      </w:pPr>
      <w:r>
        <w:rPr>
          <w:rFonts w:ascii="Arial" w:cs="Arial" w:eastAsia="Arial" w:hAnsi="Arial"/>
          <w:sz w:val="17"/>
          <w:szCs w:val="17"/>
          <w:color w:val="auto"/>
        </w:rPr>
        <w:t>Marvell also paid a quarterly dividend of $0.06 per share on October 3, 2013 to all shareholders of record as of September 12, 2013. Marvell intends to pay its next quarterly dividend of $0.06 per share on December 23, 2013 to all shareholders of record as of December 12, 2013. Developments in on-going litigation could affect Marvell’s ability to pay the dividend on December 23, 2013 under Bermuda law, where Marvell is incorporated. In such an event, the dividend payment could be delayed until such time as Marvell can meet statutory requirements under Bermuda law.</w:t>
      </w:r>
    </w:p>
    <w:p>
      <w:pPr>
        <w:spacing w:after="0" w:line="171" w:lineRule="exact"/>
        <w:rPr>
          <w:sz w:val="20"/>
          <w:szCs w:val="20"/>
          <w:color w:val="auto"/>
        </w:rPr>
      </w:pPr>
    </w:p>
    <w:p>
      <w:pPr>
        <w:jc w:val="both"/>
        <w:ind w:right="40"/>
        <w:spacing w:after="0" w:line="264" w:lineRule="auto"/>
        <w:rPr>
          <w:sz w:val="20"/>
          <w:szCs w:val="20"/>
          <w:color w:val="auto"/>
        </w:rPr>
      </w:pPr>
      <w:r>
        <w:rPr>
          <w:rFonts w:ascii="Arial" w:cs="Arial" w:eastAsia="Arial" w:hAnsi="Arial"/>
          <w:sz w:val="18"/>
          <w:szCs w:val="18"/>
          <w:color w:val="auto"/>
        </w:rPr>
        <w:t>The payment of future quarterly cash dividends on Marvell’s common shares is subject to, among other things, the best interests of its shareholders, its results of operations, cash balances and future cash requirements, financial condition, statutory requirements under Bermuda law, and other factors that the board of directors may deem relevant.</w:t>
      </w:r>
    </w:p>
    <w:p>
      <w:pPr>
        <w:spacing w:after="0" w:line="114"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w:t>
      </w:r>
    </w:p>
    <w:p>
      <w:pPr>
        <w:sectPr>
          <w:pgSz w:w="11900" w:h="16838" w:orient="portrait"/>
          <w:cols w:equalWidth="0" w:num="1">
            <w:col w:w="11420"/>
          </w:cols>
          <w:pgMar w:left="240" w:top="274" w:right="239" w:bottom="1440" w:gutter="0" w:footer="0" w:header="0"/>
        </w:sectPr>
      </w:pPr>
    </w:p>
    <w:bookmarkStart w:id="9" w:name="page10"/>
    <w:bookmarkEnd w:id="9"/>
    <w:p>
      <w:pPr>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6">
                      <a:extLst>
                        <a:ext uri="{28A0092B-C50C-407E-A947-70E740481C1C}"/>
                      </a:extLst>
                    </a:blip>
                    <a:srcRect/>
                    <a:stretch>
                      <a:fillRect/>
                    </a:stretch>
                  </pic:blipFill>
                  <pic:spPr bwMode="auto">
                    <a:xfrm>
                      <a:off x="0" y="0"/>
                      <a:ext cx="7289165" cy="38735"/>
                    </a:xfrm>
                    <a:prstGeom prst="rect">
                      <a:avLst/>
                    </a:prstGeom>
                    <a:noFill/>
                  </pic:spPr>
                </pic:pic>
              </a:graphicData>
            </a:graphic>
          </wp:anchor>
        </w:drawing>
        <w:t>Conference Call</w:t>
      </w:r>
    </w:p>
    <w:p>
      <w:pPr>
        <w:spacing w:after="0" w:line="121" w:lineRule="exact"/>
        <w:rPr>
          <w:sz w:val="20"/>
          <w:szCs w:val="20"/>
          <w:color w:val="auto"/>
        </w:rPr>
      </w:pPr>
    </w:p>
    <w:p>
      <w:pPr>
        <w:ind w:right="60"/>
        <w:spacing w:after="0" w:line="259" w:lineRule="auto"/>
        <w:rPr>
          <w:sz w:val="20"/>
          <w:szCs w:val="20"/>
          <w:color w:val="auto"/>
        </w:rPr>
      </w:pPr>
      <w:r>
        <w:rPr>
          <w:rFonts w:ascii="Arial" w:cs="Arial" w:eastAsia="Arial" w:hAnsi="Arial"/>
          <w:sz w:val="18"/>
          <w:szCs w:val="18"/>
          <w:color w:val="auto"/>
        </w:rPr>
        <w:t xml:space="preserve">Marvell will be conducting a conference call on Thursday, November 21, 2013 at 1:45 p.m. Pacific Time to discuss results for the third quarter of fiscal 2014. Interested parties may join the conference call by dialing </w:t>
      </w:r>
      <w:r>
        <w:rPr>
          <w:rFonts w:ascii="Arial" w:cs="Arial" w:eastAsia="Arial" w:hAnsi="Arial"/>
          <w:sz w:val="18"/>
          <w:szCs w:val="18"/>
          <w:b w:val="1"/>
          <w:bCs w:val="1"/>
          <w:color w:val="auto"/>
        </w:rPr>
        <w:t>1-866-515-2912</w:t>
      </w:r>
      <w:r>
        <w:rPr>
          <w:rFonts w:ascii="Arial" w:cs="Arial" w:eastAsia="Arial" w:hAnsi="Arial"/>
          <w:sz w:val="18"/>
          <w:szCs w:val="18"/>
          <w:color w:val="auto"/>
        </w:rPr>
        <w:t xml:space="preserve"> or </w:t>
      </w:r>
      <w:r>
        <w:rPr>
          <w:rFonts w:ascii="Arial" w:cs="Arial" w:eastAsia="Arial" w:hAnsi="Arial"/>
          <w:sz w:val="18"/>
          <w:szCs w:val="18"/>
          <w:b w:val="1"/>
          <w:bCs w:val="1"/>
          <w:color w:val="auto"/>
        </w:rPr>
        <w:t>1-617-399-5126</w:t>
      </w:r>
      <w:r>
        <w:rPr>
          <w:rFonts w:ascii="Arial" w:cs="Arial" w:eastAsia="Arial" w:hAnsi="Arial"/>
          <w:sz w:val="18"/>
          <w:szCs w:val="18"/>
          <w:color w:val="auto"/>
        </w:rPr>
        <w:t xml:space="preserve">, pass-code </w:t>
      </w:r>
      <w:r>
        <w:rPr>
          <w:rFonts w:ascii="Arial" w:cs="Arial" w:eastAsia="Arial" w:hAnsi="Arial"/>
          <w:sz w:val="18"/>
          <w:szCs w:val="18"/>
          <w:b w:val="1"/>
          <w:bCs w:val="1"/>
          <w:color w:val="auto"/>
        </w:rPr>
        <w:t>84616401</w:t>
      </w:r>
      <w:r>
        <w:rPr>
          <w:rFonts w:ascii="Arial" w:cs="Arial" w:eastAsia="Arial" w:hAnsi="Arial"/>
          <w:sz w:val="18"/>
          <w:szCs w:val="18"/>
          <w:color w:val="auto"/>
        </w:rPr>
        <w:t>. The call will be webcast by Thomson Reuters and can be accessed at the Marvell Investor Relations website at http://investor.marvell.com/ with a replay available following the call until December 19, 2013.</w:t>
      </w:r>
    </w:p>
    <w:p>
      <w:pPr>
        <w:spacing w:after="0" w:line="29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Discussion of Non-GAAP Financial Measures</w:t>
      </w:r>
    </w:p>
    <w:p>
      <w:pPr>
        <w:spacing w:after="0" w:line="121" w:lineRule="exact"/>
        <w:rPr>
          <w:sz w:val="20"/>
          <w:szCs w:val="20"/>
          <w:color w:val="auto"/>
        </w:rPr>
      </w:pPr>
    </w:p>
    <w:p>
      <w:pPr>
        <w:spacing w:after="0" w:line="291" w:lineRule="auto"/>
        <w:rPr>
          <w:sz w:val="20"/>
          <w:szCs w:val="20"/>
          <w:color w:val="auto"/>
        </w:rPr>
      </w:pPr>
      <w:r>
        <w:rPr>
          <w:rFonts w:ascii="Arial" w:cs="Arial" w:eastAsia="Arial" w:hAnsi="Arial"/>
          <w:sz w:val="16"/>
          <w:szCs w:val="16"/>
          <w:color w:val="auto"/>
        </w:rPr>
        <w:t>Non-GAAP financial measures exclude the effect of stock-based compensation expense, amortization of acquired intangible assets, acquisition-related costs, restructuring and other exit-related costs, and certain one-time expenses and benefits that are driven primarily by discrete events that management does not consider to be directly related to Marvell’s core operating performance. Non-GAAP net income per share is calculated by dividing non-GAAP net income by non-GAAP weighted average shares outstanding (diluted). For purposes of calculating non-GAAP net income per share, the GAAP weighted average shares outstanding (diluted) is adjusted to exclude the potential benefits of stock-based compensation expected to be incurred in future periods but not yet recognized in the financial statements. The expected compensation costs are treated as proceeds assumed to be used to repurchase shares under the GAAP treasury stock method and also include the dilutive/anti-dilutive effects of common stock options and restricted stock units.</w:t>
      </w:r>
    </w:p>
    <w:p>
      <w:pPr>
        <w:spacing w:after="0" w:line="167" w:lineRule="exact"/>
        <w:rPr>
          <w:sz w:val="20"/>
          <w:szCs w:val="20"/>
          <w:color w:val="auto"/>
        </w:rPr>
      </w:pPr>
    </w:p>
    <w:p>
      <w:pPr>
        <w:ind w:right="20"/>
        <w:spacing w:after="0" w:line="289" w:lineRule="auto"/>
        <w:rPr>
          <w:sz w:val="20"/>
          <w:szCs w:val="20"/>
          <w:color w:val="auto"/>
        </w:rPr>
      </w:pPr>
      <w:r>
        <w:rPr>
          <w:rFonts w:ascii="Arial" w:cs="Arial" w:eastAsia="Arial" w:hAnsi="Arial"/>
          <w:sz w:val="16"/>
          <w:szCs w:val="16"/>
          <w:color w:val="auto"/>
        </w:rPr>
        <w:t>Marvell believes that the presentation of non-GAAP financial measures provide important supplemental information to management and investors regarding financial and business trends relating to Marvell’s financial condition and results of operations. While Marvell uses non-GAAP financial measures as a tool to enhance its understanding of certain aspects of its financial performance, Marvell does not consider these measures to be a substitute for, or superior to, the information provided by GAAP financial measures. Consistent with this approach, Marvell believes that disclosing non-GAAP financial measures to the readers of its financial statements provides such readers with useful supplemental data that, while not a substitute for GAAP financial measures, allows for greater transparency in the review of its financial and operational performance. For further information regarding why Marvell believes that these non-GAAP measures provide useful information to investors, the specific manner in which management uses these measures, and some of the limitations associated with the use of these measures, please refer to Marvell’s Current Report on Form 8-K filed today with the SEC. The Form 8-K is available on the SEC’s website at www.sec.gov as well as on the Marvell website in the Investor Relations section at www.marvell.com.</w:t>
      </w:r>
    </w:p>
    <w:p>
      <w:pPr>
        <w:spacing w:after="0" w:line="99"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w:t>
      </w:r>
    </w:p>
    <w:p>
      <w:pPr>
        <w:sectPr>
          <w:pgSz w:w="11900" w:h="16838" w:orient="portrait"/>
          <w:cols w:equalWidth="0" w:num="1">
            <w:col w:w="11420"/>
          </w:cols>
          <w:pgMar w:left="240" w:top="270" w:right="239" w:bottom="1440" w:gutter="0" w:footer="0" w:header="0"/>
        </w:sectPr>
      </w:pPr>
    </w:p>
    <w:bookmarkStart w:id="10" w:name="page11"/>
    <w:bookmarkEnd w:id="10"/>
    <w:p>
      <w:pPr>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7">
                      <a:extLst>
                        <a:ext uri="{28A0092B-C50C-407E-A947-70E740481C1C}"/>
                      </a:extLst>
                    </a:blip>
                    <a:srcRect/>
                    <a:stretch>
                      <a:fillRect/>
                    </a:stretch>
                  </pic:blipFill>
                  <pic:spPr bwMode="auto">
                    <a:xfrm>
                      <a:off x="0" y="0"/>
                      <a:ext cx="7289165" cy="38735"/>
                    </a:xfrm>
                    <a:prstGeom prst="rect">
                      <a:avLst/>
                    </a:prstGeom>
                    <a:noFill/>
                  </pic:spPr>
                </pic:pic>
              </a:graphicData>
            </a:graphic>
          </wp:anchor>
        </w:drawing>
        <w:t>Forward-Looking Statements under the Private Securities Litigation Reform Act of 1995</w:t>
      </w:r>
    </w:p>
    <w:p>
      <w:pPr>
        <w:spacing w:after="0" w:line="121" w:lineRule="exact"/>
        <w:rPr>
          <w:sz w:val="20"/>
          <w:szCs w:val="20"/>
          <w:color w:val="auto"/>
        </w:rPr>
      </w:pPr>
    </w:p>
    <w:p>
      <w:pPr>
        <w:spacing w:after="0" w:line="286" w:lineRule="auto"/>
        <w:rPr>
          <w:sz w:val="20"/>
          <w:szCs w:val="20"/>
          <w:color w:val="auto"/>
        </w:rPr>
      </w:pPr>
      <w:r>
        <w:rPr>
          <w:rFonts w:ascii="Arial" w:cs="Arial" w:eastAsia="Arial" w:hAnsi="Arial"/>
          <w:sz w:val="16"/>
          <w:szCs w:val="16"/>
          <w:color w:val="auto"/>
        </w:rPr>
        <w:t>This press release contains forward-looking statements that involve risks and uncertainties, including Marvell’s expectations and statements regarding: its financial outlook for the fourth quarter of fiscal 2014; its innovative products and ability to deliver above industry revenue and profit growth as Marvell head’s into the new year; its dividend program including the declaration of, timing of, funding of, payment of and quarterly amount of dividends; and its use of non-GAAP financial measures as important supplemental information. These statements are not guarantees of results and should not be considered as an indication of future activity or future performance. Actual events or results may differ materially from those described in this press release due to a number of risks and uncertainties, including, among others, Marvell’s reliance on a few customers for a significant portion of its revenue; costs and liabilities relating to current and future litigation; Marvell’s ability to develop and introduce new and enhanced products in a timely and cost effective manner and the adoption of those products in the market; seasonality in sales of consumer devices in which our products are incorporated; Marvell’s ability to compete in products and prices in an intensely competitive industry; uncertainty in the worldwide economic conditions; Marvell’s ability to recruit and retain skilled personnel; Marvell’s ability to generate cash flows; and other risks detailed in Marvell’s SEC filings from time to time. When Marvell files its Quarterly Report on Form 10-Q for the quarter ended November 2, 2013, the financial statements may differ from the results disclosed in this press release because judgments and estimates that management used in preparing the financial results reported in this press release may need to be updated to the date of the filing. For other factors that could cause Marvell’s results to vary from expectations, please see the risk factors identified in the Marvell’s latest Quarterly Report on Form 10-Q for the quarter ended August 3, 2013 as filed with the SEC, and other factors detailed from time to time in Marvell’s filings with the SEC. Marvell undertakes no obligation to revise or update publicly any forward-looking statements.</w:t>
      </w:r>
    </w:p>
    <w:p>
      <w:pPr>
        <w:spacing w:after="0" w:line="273"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About Marvell</w:t>
      </w:r>
    </w:p>
    <w:p>
      <w:pPr>
        <w:spacing w:after="0" w:line="121" w:lineRule="exact"/>
        <w:rPr>
          <w:sz w:val="20"/>
          <w:szCs w:val="20"/>
          <w:color w:val="auto"/>
        </w:rPr>
      </w:pPr>
    </w:p>
    <w:p>
      <w:pPr>
        <w:ind w:right="40"/>
        <w:spacing w:after="0" w:line="286" w:lineRule="auto"/>
        <w:rPr>
          <w:sz w:val="20"/>
          <w:szCs w:val="20"/>
          <w:color w:val="auto"/>
        </w:rPr>
      </w:pPr>
      <w:r>
        <w:rPr>
          <w:rFonts w:ascii="Arial" w:cs="Arial" w:eastAsia="Arial" w:hAnsi="Arial"/>
          <w:sz w:val="17"/>
          <w:szCs w:val="17"/>
          <w:color w:val="auto"/>
        </w:rPr>
        <w:t>Marvell is a global leader in providing complete silicon solutions enabling the digital connected lifestyle. From mobile communications to storage, cloud infrastructure, digital entertainment and in-home content delivery, Marvell’s diverse product portfolio aligns complete platform designs with industry-leading performance, security, reliability and efficiency. At the core of the world’s most powerful consumer, network and enterprise</w:t>
      </w:r>
    </w:p>
    <w:p>
      <w:pPr>
        <w:spacing w:after="0" w:line="98"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5</w:t>
      </w:r>
    </w:p>
    <w:p>
      <w:pPr>
        <w:sectPr>
          <w:pgSz w:w="11900" w:h="16838" w:orient="portrait"/>
          <w:cols w:equalWidth="0" w:num="1">
            <w:col w:w="11380"/>
          </w:cols>
          <w:pgMar w:left="240" w:top="270" w:right="279" w:bottom="1440" w:gutter="0" w:footer="0" w:header="0"/>
        </w:sectPr>
      </w:pPr>
    </w:p>
    <w:bookmarkStart w:id="11" w:name="page12"/>
    <w:bookmarkEnd w:id="11"/>
    <w:p>
      <w:pPr>
        <w:ind w:right="220"/>
        <w:spacing w:after="0" w:line="264"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8">
                      <a:extLst>
                        <a:ext uri="{28A0092B-C50C-407E-A947-70E740481C1C}"/>
                      </a:extLst>
                    </a:blip>
                    <a:srcRect/>
                    <a:stretch>
                      <a:fillRect/>
                    </a:stretch>
                  </pic:blipFill>
                  <pic:spPr bwMode="auto">
                    <a:xfrm>
                      <a:off x="0" y="0"/>
                      <a:ext cx="7289165" cy="38735"/>
                    </a:xfrm>
                    <a:prstGeom prst="rect">
                      <a:avLst/>
                    </a:prstGeom>
                    <a:noFill/>
                  </pic:spPr>
                </pic:pic>
              </a:graphicData>
            </a:graphic>
          </wp:anchor>
        </w:drawing>
        <w:t>systems, Marvell empowers partners and their customers to always stand at the forefront of innovation, performance and mass appeal. By providing people around the world with mobility and ease of access to services adding value to their social, private and work lives, Marvell is committed to enhancing the human experience.</w:t>
      </w:r>
    </w:p>
    <w:p>
      <w:pPr>
        <w:spacing w:after="0" w:line="181" w:lineRule="exact"/>
        <w:rPr>
          <w:sz w:val="20"/>
          <w:szCs w:val="20"/>
          <w:color w:val="auto"/>
        </w:rPr>
      </w:pPr>
    </w:p>
    <w:p>
      <w:pPr>
        <w:spacing w:after="0"/>
        <w:rPr>
          <w:sz w:val="20"/>
          <w:szCs w:val="20"/>
          <w:color w:val="auto"/>
        </w:rPr>
      </w:pPr>
      <w:r>
        <w:rPr>
          <w:rFonts w:ascii="Arial" w:cs="Arial" w:eastAsia="Arial" w:hAnsi="Arial"/>
          <w:sz w:val="16"/>
          <w:szCs w:val="16"/>
          <w:color w:val="auto"/>
        </w:rPr>
        <w:t xml:space="preserve">As used in this release, the term “Marvell” refers to Marvell Technology Group Ltd. and its subsidiaries. For more information please visit </w:t>
      </w:r>
      <w:r>
        <w:rPr>
          <w:rFonts w:ascii="Arial" w:cs="Arial" w:eastAsia="Arial" w:hAnsi="Arial"/>
          <w:sz w:val="16"/>
          <w:szCs w:val="16"/>
          <w:u w:val="single" w:color="auto"/>
          <w:color w:val="auto"/>
        </w:rPr>
        <w:t>www.marvell.com</w:t>
      </w:r>
      <w:r>
        <w:rPr>
          <w:rFonts w:ascii="Arial" w:cs="Arial" w:eastAsia="Arial" w:hAnsi="Arial"/>
          <w:sz w:val="16"/>
          <w:szCs w:val="16"/>
          <w:color w:val="auto"/>
        </w:rPr>
        <w:t>.</w:t>
      </w:r>
    </w:p>
    <w:p>
      <w:pPr>
        <w:spacing w:after="0" w:line="248" w:lineRule="exact"/>
        <w:rPr>
          <w:sz w:val="20"/>
          <w:szCs w:val="20"/>
          <w:color w:val="auto"/>
        </w:rPr>
      </w:pPr>
    </w:p>
    <w:p>
      <w:pPr>
        <w:spacing w:after="0"/>
        <w:rPr>
          <w:sz w:val="20"/>
          <w:szCs w:val="20"/>
          <w:color w:val="auto"/>
        </w:rPr>
      </w:pPr>
      <w:r>
        <w:rPr>
          <w:rFonts w:ascii="Arial" w:cs="Arial" w:eastAsia="Arial" w:hAnsi="Arial"/>
          <w:sz w:val="18"/>
          <w:szCs w:val="18"/>
          <w:i w:val="1"/>
          <w:iCs w:val="1"/>
          <w:color w:val="auto"/>
        </w:rPr>
        <w:t>Marvell® and the Marvell logo are registered trademarks of Marvell and/or its affiliates.</w:t>
      </w:r>
    </w:p>
    <w:p>
      <w:pPr>
        <w:spacing w:after="0" w:line="158" w:lineRule="exact"/>
        <w:rPr>
          <w:sz w:val="20"/>
          <w:szCs w:val="20"/>
          <w:color w:val="auto"/>
        </w:rPr>
      </w:pPr>
    </w:p>
    <w:p>
      <w:pPr>
        <w:ind w:left="5660"/>
        <w:spacing w:after="0"/>
        <w:rPr>
          <w:sz w:val="20"/>
          <w:szCs w:val="20"/>
          <w:color w:val="auto"/>
        </w:rPr>
      </w:pPr>
      <w:r>
        <w:rPr>
          <w:rFonts w:ascii="Arial" w:cs="Arial" w:eastAsia="Arial" w:hAnsi="Arial"/>
          <w:sz w:val="18"/>
          <w:szCs w:val="18"/>
          <w:color w:val="auto"/>
        </w:rPr>
        <w:t>6</w:t>
      </w:r>
    </w:p>
    <w:p>
      <w:pPr>
        <w:sectPr>
          <w:pgSz w:w="11900" w:h="16838" w:orient="portrait"/>
          <w:cols w:equalWidth="0" w:num="1">
            <w:col w:w="11400"/>
          </w:cols>
          <w:pgMar w:left="240" w:top="274" w:right="259" w:bottom="1440" w:gutter="0" w:footer="0" w:header="0"/>
        </w:sectPr>
      </w:pPr>
    </w:p>
    <w:bookmarkStart w:id="12" w:name="page13"/>
    <w:bookmarkEnd w:id="12"/>
    <w:p>
      <w:pPr>
        <w:jc w:val="center"/>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9">
                      <a:extLst>
                        <a:ext uri="{28A0092B-C50C-407E-A947-70E740481C1C}"/>
                      </a:extLst>
                    </a:blip>
                    <a:srcRect/>
                    <a:stretch>
                      <a:fillRect/>
                    </a:stretch>
                  </pic:blipFill>
                  <pic:spPr bwMode="auto">
                    <a:xfrm>
                      <a:off x="0" y="0"/>
                      <a:ext cx="7289165" cy="38735"/>
                    </a:xfrm>
                    <a:prstGeom prst="rect">
                      <a:avLst/>
                    </a:prstGeom>
                    <a:noFill/>
                  </pic:spPr>
                </pic:pic>
              </a:graphicData>
            </a:graphic>
          </wp:anchor>
        </w:drawing>
        <w:t>Marvell Technology Group Ltd.</w:t>
      </w:r>
    </w:p>
    <w:p>
      <w:pPr>
        <w:spacing w:after="0" w:line="2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Condensed Consolidated Statements of Operations</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(Unaudited)</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(In thousands, except per share amounts)</w:t>
      </w:r>
    </w:p>
    <w:p>
      <w:pPr>
        <w:spacing w:after="0" w:line="229" w:lineRule="exact"/>
        <w:rPr>
          <w:sz w:val="20"/>
          <w:szCs w:val="20"/>
          <w:color w:val="auto"/>
        </w:rPr>
      </w:pPr>
    </w:p>
    <w:tbl>
      <w:tblPr>
        <w:tblLayout w:type="fixed"/>
        <w:tblInd w:w="0" w:type="dxa"/>
        <w:tblCellMar>
          <w:top w:w="0" w:type="dxa"/>
          <w:left w:w="0" w:type="dxa"/>
          <w:bottom w:w="0" w:type="dxa"/>
          <w:right w:w="0" w:type="dxa"/>
        </w:tblCellMar>
      </w:tblPr>
      <w:tr>
        <w:trPr>
          <w:trHeight w:val="171"/>
        </w:trPr>
        <w:tc>
          <w:tcPr>
            <w:tcW w:w="20" w:type="dxa"/>
            <w:vAlign w:val="bottom"/>
          </w:tcPr>
          <w:p>
            <w:pPr>
              <w:spacing w:after="0"/>
              <w:rPr>
                <w:sz w:val="14"/>
                <w:szCs w:val="14"/>
                <w:color w:val="auto"/>
              </w:rPr>
            </w:pPr>
          </w:p>
        </w:tc>
        <w:tc>
          <w:tcPr>
            <w:tcW w:w="5020" w:type="dxa"/>
            <w:vAlign w:val="bottom"/>
          </w:tcPr>
          <w:p>
            <w:pPr>
              <w:spacing w:after="0"/>
              <w:rPr>
                <w:sz w:val="14"/>
                <w:szCs w:val="14"/>
                <w:color w:val="auto"/>
              </w:rPr>
            </w:pPr>
          </w:p>
        </w:tc>
        <w:tc>
          <w:tcPr>
            <w:tcW w:w="162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1840" w:type="dxa"/>
            <w:vAlign w:val="bottom"/>
            <w:gridSpan w:val="6"/>
          </w:tcPr>
          <w:p>
            <w:pPr>
              <w:ind w:left="500"/>
              <w:spacing w:after="0"/>
              <w:rPr>
                <w:sz w:val="20"/>
                <w:szCs w:val="20"/>
                <w:color w:val="auto"/>
              </w:rPr>
            </w:pPr>
            <w:r>
              <w:rPr>
                <w:rFonts w:ascii="Arial" w:cs="Arial" w:eastAsia="Arial" w:hAnsi="Arial"/>
                <w:sz w:val="14"/>
                <w:szCs w:val="14"/>
                <w:b w:val="1"/>
                <w:bCs w:val="1"/>
                <w:color w:val="auto"/>
                <w:w w:val="95"/>
              </w:rPr>
              <w:t>Three Months Ended</w:t>
            </w:r>
          </w:p>
        </w:tc>
        <w:tc>
          <w:tcPr>
            <w:tcW w:w="6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840" w:type="dxa"/>
            <w:vAlign w:val="bottom"/>
            <w:gridSpan w:val="6"/>
          </w:tcPr>
          <w:p>
            <w:pPr>
              <w:jc w:val="right"/>
              <w:ind w:right="400"/>
              <w:spacing w:after="0"/>
              <w:rPr>
                <w:sz w:val="20"/>
                <w:szCs w:val="20"/>
                <w:color w:val="auto"/>
              </w:rPr>
            </w:pPr>
            <w:r>
              <w:rPr>
                <w:rFonts w:ascii="Arial" w:cs="Arial" w:eastAsia="Arial" w:hAnsi="Arial"/>
                <w:sz w:val="14"/>
                <w:szCs w:val="14"/>
                <w:b w:val="1"/>
                <w:bCs w:val="1"/>
                <w:color w:val="auto"/>
              </w:rPr>
              <w:t>Nine Months Ended</w:t>
            </w:r>
          </w:p>
        </w:tc>
        <w:tc>
          <w:tcPr>
            <w:tcW w:w="0" w:type="dxa"/>
            <w:vAlign w:val="bottom"/>
          </w:tcPr>
          <w:p>
            <w:pPr>
              <w:spacing w:after="0"/>
              <w:rPr>
                <w:sz w:val="1"/>
                <w:szCs w:val="1"/>
                <w:color w:val="auto"/>
              </w:rPr>
            </w:pPr>
          </w:p>
        </w:tc>
      </w:tr>
      <w:tr>
        <w:trPr>
          <w:trHeight w:val="119"/>
        </w:trPr>
        <w:tc>
          <w:tcPr>
            <w:tcW w:w="20" w:type="dxa"/>
            <w:vAlign w:val="bottom"/>
          </w:tcPr>
          <w:p>
            <w:pPr>
              <w:spacing w:after="0"/>
              <w:rPr>
                <w:sz w:val="10"/>
                <w:szCs w:val="10"/>
                <w:color w:val="auto"/>
              </w:rPr>
            </w:pPr>
          </w:p>
        </w:tc>
        <w:tc>
          <w:tcPr>
            <w:tcW w:w="5020" w:type="dxa"/>
            <w:vAlign w:val="bottom"/>
          </w:tcPr>
          <w:p>
            <w:pPr>
              <w:spacing w:after="0"/>
              <w:rPr>
                <w:sz w:val="10"/>
                <w:szCs w:val="10"/>
                <w:color w:val="auto"/>
              </w:rPr>
            </w:pPr>
          </w:p>
        </w:tc>
        <w:tc>
          <w:tcPr>
            <w:tcW w:w="1620" w:type="dxa"/>
            <w:vAlign w:val="bottom"/>
          </w:tcPr>
          <w:p>
            <w:pPr>
              <w:spacing w:after="0"/>
              <w:rPr>
                <w:sz w:val="10"/>
                <w:szCs w:val="10"/>
                <w:color w:val="auto"/>
              </w:rPr>
            </w:pPr>
          </w:p>
        </w:tc>
        <w:tc>
          <w:tcPr>
            <w:tcW w:w="1000" w:type="dxa"/>
            <w:vAlign w:val="bottom"/>
            <w:tcBorders>
              <w:top w:val="single" w:sz="8" w:color="auto"/>
            </w:tcBorders>
            <w:gridSpan w:val="3"/>
          </w:tcPr>
          <w:p>
            <w:pPr>
              <w:spacing w:after="0" w:line="119" w:lineRule="exact"/>
              <w:rPr>
                <w:sz w:val="20"/>
                <w:szCs w:val="20"/>
                <w:color w:val="auto"/>
              </w:rPr>
            </w:pPr>
            <w:r>
              <w:rPr>
                <w:rFonts w:ascii="Arial" w:cs="Arial" w:eastAsia="Arial" w:hAnsi="Arial"/>
                <w:sz w:val="13"/>
                <w:szCs w:val="13"/>
                <w:b w:val="1"/>
                <w:bCs w:val="1"/>
                <w:color w:val="auto"/>
              </w:rPr>
              <w:t>November 2,</w:t>
            </w:r>
          </w:p>
        </w:tc>
        <w:tc>
          <w:tcPr>
            <w:tcW w:w="880" w:type="dxa"/>
            <w:vAlign w:val="bottom"/>
            <w:tcBorders>
              <w:top w:val="single" w:sz="8" w:color="auto"/>
            </w:tcBorders>
            <w:gridSpan w:val="3"/>
          </w:tcPr>
          <w:p>
            <w:pPr>
              <w:jc w:val="right"/>
              <w:ind w:right="260"/>
              <w:spacing w:after="0" w:line="119" w:lineRule="exact"/>
              <w:rPr>
                <w:sz w:val="20"/>
                <w:szCs w:val="20"/>
                <w:color w:val="auto"/>
              </w:rPr>
            </w:pPr>
            <w:r>
              <w:rPr>
                <w:rFonts w:ascii="Arial" w:cs="Arial" w:eastAsia="Arial" w:hAnsi="Arial"/>
                <w:sz w:val="13"/>
                <w:szCs w:val="13"/>
                <w:b w:val="1"/>
                <w:bCs w:val="1"/>
                <w:color w:val="auto"/>
              </w:rPr>
              <w:t>August 3,</w:t>
            </w:r>
          </w:p>
        </w:tc>
        <w:tc>
          <w:tcPr>
            <w:tcW w:w="740" w:type="dxa"/>
            <w:vAlign w:val="bottom"/>
            <w:tcBorders>
              <w:top w:val="single" w:sz="8" w:color="auto"/>
            </w:tcBorders>
            <w:gridSpan w:val="2"/>
          </w:tcPr>
          <w:p>
            <w:pPr>
              <w:spacing w:after="0" w:line="119" w:lineRule="exact"/>
              <w:rPr>
                <w:sz w:val="20"/>
                <w:szCs w:val="20"/>
                <w:color w:val="auto"/>
              </w:rPr>
            </w:pPr>
            <w:r>
              <w:rPr>
                <w:rFonts w:ascii="Arial" w:cs="Arial" w:eastAsia="Arial" w:hAnsi="Arial"/>
                <w:sz w:val="13"/>
                <w:szCs w:val="13"/>
                <w:b w:val="1"/>
                <w:bCs w:val="1"/>
                <w:color w:val="auto"/>
              </w:rPr>
              <w:t>October 27,</w:t>
            </w:r>
          </w:p>
        </w:tc>
        <w:tc>
          <w:tcPr>
            <w:tcW w:w="100" w:type="dxa"/>
            <w:vAlign w:val="bottom"/>
          </w:tcPr>
          <w:p>
            <w:pPr>
              <w:spacing w:after="0"/>
              <w:rPr>
                <w:sz w:val="10"/>
                <w:szCs w:val="10"/>
                <w:color w:val="auto"/>
              </w:rPr>
            </w:pPr>
          </w:p>
        </w:tc>
        <w:tc>
          <w:tcPr>
            <w:tcW w:w="100" w:type="dxa"/>
            <w:vAlign w:val="bottom"/>
          </w:tcPr>
          <w:p>
            <w:pPr>
              <w:spacing w:after="0"/>
              <w:rPr>
                <w:sz w:val="10"/>
                <w:szCs w:val="10"/>
                <w:color w:val="auto"/>
              </w:rPr>
            </w:pPr>
          </w:p>
        </w:tc>
        <w:tc>
          <w:tcPr>
            <w:tcW w:w="960" w:type="dxa"/>
            <w:vAlign w:val="bottom"/>
            <w:tcBorders>
              <w:top w:val="single" w:sz="8" w:color="auto"/>
            </w:tcBorders>
            <w:gridSpan w:val="3"/>
          </w:tcPr>
          <w:p>
            <w:pPr>
              <w:jc w:val="right"/>
              <w:ind w:right="160"/>
              <w:spacing w:after="0" w:line="119" w:lineRule="exact"/>
              <w:rPr>
                <w:sz w:val="20"/>
                <w:szCs w:val="20"/>
                <w:color w:val="auto"/>
              </w:rPr>
            </w:pPr>
            <w:r>
              <w:rPr>
                <w:rFonts w:ascii="Arial" w:cs="Arial" w:eastAsia="Arial" w:hAnsi="Arial"/>
                <w:sz w:val="13"/>
                <w:szCs w:val="13"/>
                <w:b w:val="1"/>
                <w:bCs w:val="1"/>
                <w:color w:val="auto"/>
                <w:w w:val="99"/>
              </w:rPr>
              <w:t>November 2,</w:t>
            </w:r>
          </w:p>
        </w:tc>
        <w:tc>
          <w:tcPr>
            <w:tcW w:w="60" w:type="dxa"/>
            <w:vAlign w:val="bottom"/>
            <w:tcBorders>
              <w:top w:val="single" w:sz="8" w:color="auto"/>
            </w:tcBorders>
          </w:tcPr>
          <w:p>
            <w:pPr>
              <w:spacing w:after="0"/>
              <w:rPr>
                <w:sz w:val="10"/>
                <w:szCs w:val="10"/>
                <w:color w:val="auto"/>
              </w:rPr>
            </w:pPr>
          </w:p>
        </w:tc>
        <w:tc>
          <w:tcPr>
            <w:tcW w:w="820" w:type="dxa"/>
            <w:vAlign w:val="bottom"/>
            <w:tcBorders>
              <w:top w:val="single" w:sz="8" w:color="auto"/>
            </w:tcBorders>
            <w:gridSpan w:val="2"/>
          </w:tcPr>
          <w:p>
            <w:pPr>
              <w:jc w:val="right"/>
              <w:spacing w:after="0" w:line="119" w:lineRule="exact"/>
              <w:rPr>
                <w:sz w:val="20"/>
                <w:szCs w:val="20"/>
                <w:color w:val="auto"/>
              </w:rPr>
            </w:pPr>
            <w:r>
              <w:rPr>
                <w:rFonts w:ascii="Arial" w:cs="Arial" w:eastAsia="Arial" w:hAnsi="Arial"/>
                <w:sz w:val="13"/>
                <w:szCs w:val="13"/>
                <w:b w:val="1"/>
                <w:bCs w:val="1"/>
                <w:color w:val="auto"/>
              </w:rPr>
              <w:t>October 27,</w:t>
            </w:r>
          </w:p>
        </w:tc>
        <w:tc>
          <w:tcPr>
            <w:tcW w:w="10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71"/>
        </w:trPr>
        <w:tc>
          <w:tcPr>
            <w:tcW w:w="20" w:type="dxa"/>
            <w:vAlign w:val="bottom"/>
          </w:tcPr>
          <w:p>
            <w:pPr>
              <w:spacing w:after="0"/>
              <w:rPr>
                <w:sz w:val="14"/>
                <w:szCs w:val="14"/>
                <w:color w:val="auto"/>
              </w:rPr>
            </w:pPr>
          </w:p>
        </w:tc>
        <w:tc>
          <w:tcPr>
            <w:tcW w:w="5020" w:type="dxa"/>
            <w:vAlign w:val="bottom"/>
            <w:tcBorders>
              <w:bottom w:val="single" w:sz="8" w:color="CCEEFF"/>
            </w:tcBorders>
          </w:tcPr>
          <w:p>
            <w:pPr>
              <w:spacing w:after="0"/>
              <w:rPr>
                <w:sz w:val="14"/>
                <w:szCs w:val="14"/>
                <w:color w:val="auto"/>
              </w:rPr>
            </w:pPr>
          </w:p>
        </w:tc>
        <w:tc>
          <w:tcPr>
            <w:tcW w:w="1620" w:type="dxa"/>
            <w:vAlign w:val="bottom"/>
            <w:tcBorders>
              <w:bottom w:val="single" w:sz="8" w:color="CCEEFF"/>
            </w:tcBorders>
          </w:tcPr>
          <w:p>
            <w:pPr>
              <w:spacing w:after="0"/>
              <w:rPr>
                <w:sz w:val="14"/>
                <w:szCs w:val="14"/>
                <w:color w:val="auto"/>
              </w:rPr>
            </w:pPr>
          </w:p>
        </w:tc>
        <w:tc>
          <w:tcPr>
            <w:tcW w:w="160" w:type="dxa"/>
            <w:vAlign w:val="bottom"/>
            <w:tcBorders>
              <w:bottom w:val="single" w:sz="8" w:color="auto"/>
            </w:tcBorders>
          </w:tcPr>
          <w:p>
            <w:pPr>
              <w:spacing w:after="0"/>
              <w:rPr>
                <w:sz w:val="14"/>
                <w:szCs w:val="14"/>
                <w:color w:val="auto"/>
              </w:rPr>
            </w:pPr>
          </w:p>
        </w:tc>
        <w:tc>
          <w:tcPr>
            <w:tcW w:w="620" w:type="dxa"/>
            <w:vAlign w:val="bottom"/>
            <w:tcBorders>
              <w:bottom w:val="single" w:sz="8" w:color="auto"/>
            </w:tcBorders>
          </w:tcPr>
          <w:p>
            <w:pPr>
              <w:jc w:val="right"/>
              <w:ind w:right="152"/>
              <w:spacing w:after="0"/>
              <w:rPr>
                <w:sz w:val="20"/>
                <w:szCs w:val="20"/>
                <w:color w:val="auto"/>
              </w:rPr>
            </w:pPr>
            <w:r>
              <w:rPr>
                <w:rFonts w:ascii="Arial" w:cs="Arial" w:eastAsia="Arial" w:hAnsi="Arial"/>
                <w:sz w:val="14"/>
                <w:szCs w:val="14"/>
                <w:b w:val="1"/>
                <w:bCs w:val="1"/>
                <w:color w:val="auto"/>
              </w:rPr>
              <w:t>2013</w:t>
            </w:r>
          </w:p>
        </w:tc>
        <w:tc>
          <w:tcPr>
            <w:tcW w:w="220" w:type="dxa"/>
            <w:vAlign w:val="bottom"/>
            <w:tcBorders>
              <w:bottom w:val="single" w:sz="8" w:color="CCEEFF"/>
            </w:tcBorders>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600" w:type="dxa"/>
            <w:vAlign w:val="bottom"/>
            <w:tcBorders>
              <w:bottom w:val="single" w:sz="8" w:color="auto"/>
            </w:tcBorders>
          </w:tcPr>
          <w:p>
            <w:pPr>
              <w:jc w:val="right"/>
              <w:ind w:right="111"/>
              <w:spacing w:after="0"/>
              <w:rPr>
                <w:sz w:val="20"/>
                <w:szCs w:val="20"/>
                <w:color w:val="auto"/>
              </w:rPr>
            </w:pPr>
            <w:r>
              <w:rPr>
                <w:rFonts w:ascii="Arial" w:cs="Arial" w:eastAsia="Arial" w:hAnsi="Arial"/>
                <w:sz w:val="14"/>
                <w:szCs w:val="14"/>
                <w:b w:val="1"/>
                <w:bCs w:val="1"/>
                <w:color w:val="auto"/>
              </w:rPr>
              <w:t>2013</w:t>
            </w:r>
          </w:p>
        </w:tc>
        <w:tc>
          <w:tcPr>
            <w:tcW w:w="200" w:type="dxa"/>
            <w:vAlign w:val="bottom"/>
            <w:tcBorders>
              <w:bottom w:val="single" w:sz="8" w:color="CCEEFF"/>
            </w:tcBorders>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620" w:type="dxa"/>
            <w:vAlign w:val="bottom"/>
            <w:tcBorders>
              <w:bottom w:val="single" w:sz="8" w:color="auto"/>
            </w:tcBorders>
          </w:tcPr>
          <w:p>
            <w:pPr>
              <w:jc w:val="right"/>
              <w:ind w:right="131"/>
              <w:spacing w:after="0"/>
              <w:rPr>
                <w:sz w:val="20"/>
                <w:szCs w:val="20"/>
                <w:color w:val="auto"/>
              </w:rPr>
            </w:pPr>
            <w:r>
              <w:rPr>
                <w:rFonts w:ascii="Arial" w:cs="Arial" w:eastAsia="Arial" w:hAnsi="Arial"/>
                <w:sz w:val="14"/>
                <w:szCs w:val="14"/>
                <w:b w:val="1"/>
                <w:bCs w:val="1"/>
                <w:color w:val="auto"/>
              </w:rPr>
              <w:t>2012</w:t>
            </w:r>
          </w:p>
        </w:tc>
        <w:tc>
          <w:tcPr>
            <w:tcW w:w="100" w:type="dxa"/>
            <w:vAlign w:val="bottom"/>
            <w:tcBorders>
              <w:bottom w:val="single" w:sz="8" w:color="CCEEFF"/>
            </w:tcBorders>
          </w:tcPr>
          <w:p>
            <w:pPr>
              <w:spacing w:after="0"/>
              <w:rPr>
                <w:sz w:val="14"/>
                <w:szCs w:val="14"/>
                <w:color w:val="auto"/>
              </w:rPr>
            </w:pPr>
          </w:p>
        </w:tc>
        <w:tc>
          <w:tcPr>
            <w:tcW w:w="100" w:type="dxa"/>
            <w:vAlign w:val="bottom"/>
            <w:tcBorders>
              <w:bottom w:val="single" w:sz="8" w:color="CCEEFF"/>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720" w:type="dxa"/>
            <w:vAlign w:val="bottom"/>
            <w:tcBorders>
              <w:bottom w:val="single" w:sz="8" w:color="auto"/>
            </w:tcBorders>
          </w:tcPr>
          <w:p>
            <w:pPr>
              <w:jc w:val="right"/>
              <w:ind w:right="172"/>
              <w:spacing w:after="0"/>
              <w:rPr>
                <w:sz w:val="20"/>
                <w:szCs w:val="20"/>
                <w:color w:val="auto"/>
              </w:rPr>
            </w:pPr>
            <w:r>
              <w:rPr>
                <w:rFonts w:ascii="Arial" w:cs="Arial" w:eastAsia="Arial" w:hAnsi="Arial"/>
                <w:sz w:val="14"/>
                <w:szCs w:val="14"/>
                <w:b w:val="1"/>
                <w:bCs w:val="1"/>
                <w:color w:val="auto"/>
              </w:rPr>
              <w:t>2013</w:t>
            </w:r>
          </w:p>
        </w:tc>
        <w:tc>
          <w:tcPr>
            <w:tcW w:w="140" w:type="dxa"/>
            <w:vAlign w:val="bottom"/>
            <w:tcBorders>
              <w:bottom w:val="single" w:sz="8" w:color="CCEEFF"/>
            </w:tcBorders>
          </w:tcPr>
          <w:p>
            <w:pPr>
              <w:spacing w:after="0"/>
              <w:rPr>
                <w:sz w:val="14"/>
                <w:szCs w:val="14"/>
                <w:color w:val="auto"/>
              </w:rPr>
            </w:pPr>
          </w:p>
        </w:tc>
        <w:tc>
          <w:tcPr>
            <w:tcW w:w="60" w:type="dxa"/>
            <w:vAlign w:val="bottom"/>
            <w:tcBorders>
              <w:bottom w:val="single" w:sz="8" w:color="CCEEFF"/>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720" w:type="dxa"/>
            <w:vAlign w:val="bottom"/>
            <w:tcBorders>
              <w:bottom w:val="single" w:sz="8" w:color="auto"/>
            </w:tcBorders>
          </w:tcPr>
          <w:p>
            <w:pPr>
              <w:jc w:val="right"/>
              <w:ind w:right="171"/>
              <w:spacing w:after="0"/>
              <w:rPr>
                <w:sz w:val="20"/>
                <w:szCs w:val="20"/>
                <w:color w:val="auto"/>
              </w:rPr>
            </w:pPr>
            <w:r>
              <w:rPr>
                <w:rFonts w:ascii="Arial" w:cs="Arial" w:eastAsia="Arial" w:hAnsi="Arial"/>
                <w:sz w:val="14"/>
                <w:szCs w:val="14"/>
                <w:b w:val="1"/>
                <w:bCs w:val="1"/>
                <w:color w:val="auto"/>
              </w:rPr>
              <w:t>2012</w:t>
            </w:r>
          </w:p>
        </w:tc>
        <w:tc>
          <w:tcPr>
            <w:tcW w:w="100" w:type="dxa"/>
            <w:vAlign w:val="bottom"/>
            <w:tcBorders>
              <w:bottom w:val="single" w:sz="8" w:color="CCEEFF"/>
            </w:tcBorders>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5020" w:type="dxa"/>
            <w:vAlign w:val="bottom"/>
            <w:shd w:val="clear" w:color="auto" w:fill="CCEEFF"/>
          </w:tcPr>
          <w:p>
            <w:pPr>
              <w:spacing w:after="0"/>
              <w:rPr>
                <w:sz w:val="20"/>
                <w:szCs w:val="20"/>
                <w:color w:val="auto"/>
              </w:rPr>
            </w:pPr>
            <w:r>
              <w:rPr>
                <w:rFonts w:ascii="Arial" w:cs="Arial" w:eastAsia="Arial" w:hAnsi="Arial"/>
                <w:sz w:val="18"/>
                <w:szCs w:val="18"/>
                <w:color w:val="auto"/>
              </w:rPr>
              <w:t>Net revenue</w:t>
            </w:r>
          </w:p>
        </w:tc>
        <w:tc>
          <w:tcPr>
            <w:tcW w:w="162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6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2"/>
              </w:rPr>
              <w:t>931,226</w:t>
            </w:r>
          </w:p>
        </w:tc>
        <w:tc>
          <w:tcPr>
            <w:tcW w:w="220" w:type="dxa"/>
            <w:vAlign w:val="bottom"/>
            <w:shd w:val="clear" w:color="auto" w:fill="CCEEFF"/>
          </w:tcPr>
          <w:p>
            <w:pPr>
              <w:spacing w:after="0"/>
              <w:rPr>
                <w:sz w:val="18"/>
                <w:szCs w:val="18"/>
                <w:color w:val="auto"/>
              </w:rPr>
            </w:pPr>
          </w:p>
        </w:tc>
        <w:tc>
          <w:tcPr>
            <w:tcW w:w="8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6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9"/>
              </w:rPr>
              <w:t>807,056</w:t>
            </w:r>
          </w:p>
        </w:tc>
        <w:tc>
          <w:tcPr>
            <w:tcW w:w="2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20"/>
                <w:szCs w:val="20"/>
                <w:color w:val="auto"/>
              </w:rPr>
            </w:pPr>
            <w:r>
              <w:rPr>
                <w:rFonts w:ascii="Arial" w:cs="Arial" w:eastAsia="Arial" w:hAnsi="Arial"/>
                <w:sz w:val="18"/>
                <w:szCs w:val="18"/>
                <w:color w:val="auto"/>
                <w:w w:val="99"/>
              </w:rPr>
              <w:t>$</w:t>
            </w:r>
          </w:p>
        </w:tc>
        <w:tc>
          <w:tcPr>
            <w:tcW w:w="6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2"/>
              </w:rPr>
              <w:t>780,881</w:t>
            </w:r>
          </w:p>
        </w:tc>
        <w:tc>
          <w:tcPr>
            <w:tcW w:w="1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7"/>
              </w:rPr>
              <w:t>2,472,651</w:t>
            </w:r>
          </w:p>
        </w:tc>
        <w:tc>
          <w:tcPr>
            <w:tcW w:w="14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1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7"/>
              </w:rPr>
              <w:t>2,393,336</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020" w:type="dxa"/>
            <w:vAlign w:val="bottom"/>
          </w:tcPr>
          <w:p>
            <w:pPr>
              <w:spacing w:after="0"/>
              <w:rPr>
                <w:sz w:val="20"/>
                <w:szCs w:val="20"/>
                <w:color w:val="auto"/>
              </w:rPr>
            </w:pPr>
            <w:r>
              <w:rPr>
                <w:rFonts w:ascii="Arial" w:cs="Arial" w:eastAsia="Arial" w:hAnsi="Arial"/>
                <w:sz w:val="18"/>
                <w:szCs w:val="18"/>
                <w:color w:val="auto"/>
              </w:rPr>
              <w:t>Cost of goods sold</w:t>
            </w:r>
          </w:p>
        </w:tc>
        <w:tc>
          <w:tcPr>
            <w:tcW w:w="162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620" w:type="dxa"/>
            <w:vAlign w:val="bottom"/>
          </w:tcPr>
          <w:p>
            <w:pPr>
              <w:jc w:val="right"/>
              <w:spacing w:after="0"/>
              <w:rPr>
                <w:sz w:val="20"/>
                <w:szCs w:val="20"/>
                <w:color w:val="auto"/>
              </w:rPr>
            </w:pPr>
            <w:r>
              <w:rPr>
                <w:rFonts w:ascii="Arial" w:cs="Arial" w:eastAsia="Arial" w:hAnsi="Arial"/>
                <w:sz w:val="18"/>
                <w:szCs w:val="18"/>
                <w:color w:val="auto"/>
                <w:w w:val="92"/>
              </w:rPr>
              <w:t>464,981</w:t>
            </w:r>
          </w:p>
        </w:tc>
        <w:tc>
          <w:tcPr>
            <w:tcW w:w="2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800" w:type="dxa"/>
            <w:vAlign w:val="bottom"/>
            <w:gridSpan w:val="2"/>
          </w:tcPr>
          <w:p>
            <w:pPr>
              <w:jc w:val="right"/>
              <w:ind w:right="200"/>
              <w:spacing w:after="0"/>
              <w:rPr>
                <w:sz w:val="20"/>
                <w:szCs w:val="20"/>
                <w:color w:val="auto"/>
              </w:rPr>
            </w:pPr>
            <w:r>
              <w:rPr>
                <w:rFonts w:ascii="Arial" w:cs="Arial" w:eastAsia="Arial" w:hAnsi="Arial"/>
                <w:sz w:val="18"/>
                <w:szCs w:val="18"/>
                <w:color w:val="auto"/>
                <w:w w:val="89"/>
              </w:rPr>
              <w:t>386,059</w:t>
            </w:r>
          </w:p>
        </w:tc>
        <w:tc>
          <w:tcPr>
            <w:tcW w:w="120" w:type="dxa"/>
            <w:vAlign w:val="bottom"/>
          </w:tcPr>
          <w:p>
            <w:pPr>
              <w:spacing w:after="0"/>
              <w:rPr>
                <w:sz w:val="18"/>
                <w:szCs w:val="18"/>
                <w:color w:val="auto"/>
              </w:rPr>
            </w:pPr>
          </w:p>
        </w:tc>
        <w:tc>
          <w:tcPr>
            <w:tcW w:w="620" w:type="dxa"/>
            <w:vAlign w:val="bottom"/>
          </w:tcPr>
          <w:p>
            <w:pPr>
              <w:jc w:val="right"/>
              <w:spacing w:after="0"/>
              <w:rPr>
                <w:sz w:val="20"/>
                <w:szCs w:val="20"/>
                <w:color w:val="auto"/>
              </w:rPr>
            </w:pPr>
            <w:r>
              <w:rPr>
                <w:rFonts w:ascii="Arial" w:cs="Arial" w:eastAsia="Arial" w:hAnsi="Arial"/>
                <w:sz w:val="18"/>
                <w:szCs w:val="18"/>
                <w:color w:val="auto"/>
                <w:w w:val="92"/>
              </w:rPr>
              <w:t>374,503</w:t>
            </w:r>
          </w:p>
        </w:tc>
        <w:tc>
          <w:tcPr>
            <w:tcW w:w="1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w w:val="87"/>
              </w:rPr>
              <w:t>1,186,478</w:t>
            </w:r>
          </w:p>
        </w:tc>
        <w:tc>
          <w:tcPr>
            <w:tcW w:w="14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w w:val="87"/>
              </w:rPr>
              <w:t>1,122,664</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7"/>
        </w:trPr>
        <w:tc>
          <w:tcPr>
            <w:tcW w:w="20" w:type="dxa"/>
            <w:vAlign w:val="bottom"/>
            <w:vMerge w:val="restart"/>
          </w:tcPr>
          <w:p>
            <w:pPr>
              <w:spacing w:after="0"/>
              <w:rPr>
                <w:sz w:val="2"/>
                <w:szCs w:val="2"/>
                <w:color w:val="auto"/>
              </w:rPr>
            </w:pPr>
          </w:p>
        </w:tc>
        <w:tc>
          <w:tcPr>
            <w:tcW w:w="5020" w:type="dxa"/>
            <w:vAlign w:val="bottom"/>
          </w:tcPr>
          <w:p>
            <w:pPr>
              <w:spacing w:after="0"/>
              <w:rPr>
                <w:sz w:val="2"/>
                <w:szCs w:val="2"/>
                <w:color w:val="auto"/>
              </w:rPr>
            </w:pPr>
          </w:p>
        </w:tc>
        <w:tc>
          <w:tcPr>
            <w:tcW w:w="1620" w:type="dxa"/>
            <w:vAlign w:val="bottom"/>
          </w:tcPr>
          <w:p>
            <w:pPr>
              <w:spacing w:after="0"/>
              <w:rPr>
                <w:sz w:val="2"/>
                <w:szCs w:val="2"/>
                <w:color w:val="auto"/>
              </w:rPr>
            </w:pPr>
          </w:p>
        </w:tc>
        <w:tc>
          <w:tcPr>
            <w:tcW w:w="160" w:type="dxa"/>
            <w:vAlign w:val="bottom"/>
            <w:shd w:val="clear" w:color="auto" w:fill="000000"/>
          </w:tcPr>
          <w:p>
            <w:pPr>
              <w:spacing w:after="0"/>
              <w:rPr>
                <w:sz w:val="2"/>
                <w:szCs w:val="2"/>
                <w:color w:val="auto"/>
              </w:rPr>
            </w:pPr>
          </w:p>
        </w:tc>
        <w:tc>
          <w:tcPr>
            <w:tcW w:w="620" w:type="dxa"/>
            <w:vAlign w:val="bottom"/>
            <w:shd w:val="clear" w:color="auto" w:fill="000000"/>
          </w:tcPr>
          <w:p>
            <w:pPr>
              <w:spacing w:after="0"/>
              <w:rPr>
                <w:sz w:val="2"/>
                <w:szCs w:val="2"/>
                <w:color w:val="auto"/>
              </w:rPr>
            </w:pPr>
          </w:p>
        </w:tc>
        <w:tc>
          <w:tcPr>
            <w:tcW w:w="22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600" w:type="dxa"/>
            <w:vAlign w:val="bottom"/>
            <w:shd w:val="clear" w:color="auto" w:fill="000000"/>
          </w:tcPr>
          <w:p>
            <w:pPr>
              <w:spacing w:after="0"/>
              <w:rPr>
                <w:sz w:val="2"/>
                <w:szCs w:val="2"/>
                <w:color w:val="auto"/>
              </w:rPr>
            </w:pPr>
          </w:p>
        </w:tc>
        <w:tc>
          <w:tcPr>
            <w:tcW w:w="200" w:type="dxa"/>
            <w:vAlign w:val="bottom"/>
          </w:tcPr>
          <w:p>
            <w:pPr>
              <w:spacing w:after="0"/>
              <w:rPr>
                <w:sz w:val="2"/>
                <w:szCs w:val="2"/>
                <w:color w:val="auto"/>
              </w:rPr>
            </w:pPr>
          </w:p>
        </w:tc>
        <w:tc>
          <w:tcPr>
            <w:tcW w:w="120" w:type="dxa"/>
            <w:vAlign w:val="bottom"/>
            <w:shd w:val="clear" w:color="auto" w:fill="000000"/>
          </w:tcPr>
          <w:p>
            <w:pPr>
              <w:spacing w:after="0"/>
              <w:rPr>
                <w:sz w:val="2"/>
                <w:szCs w:val="2"/>
                <w:color w:val="auto"/>
              </w:rPr>
            </w:pPr>
          </w:p>
        </w:tc>
        <w:tc>
          <w:tcPr>
            <w:tcW w:w="62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c>
          <w:tcPr>
            <w:tcW w:w="10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720" w:type="dxa"/>
            <w:vAlign w:val="bottom"/>
            <w:shd w:val="clear" w:color="auto" w:fill="000000"/>
          </w:tcPr>
          <w:p>
            <w:pPr>
              <w:spacing w:after="0"/>
              <w:rPr>
                <w:sz w:val="2"/>
                <w:szCs w:val="2"/>
                <w:color w:val="auto"/>
              </w:rPr>
            </w:pPr>
          </w:p>
        </w:tc>
        <w:tc>
          <w:tcPr>
            <w:tcW w:w="140" w:type="dxa"/>
            <w:vAlign w:val="bottom"/>
          </w:tcPr>
          <w:p>
            <w:pPr>
              <w:spacing w:after="0"/>
              <w:rPr>
                <w:sz w:val="2"/>
                <w:szCs w:val="2"/>
                <w:color w:val="auto"/>
              </w:rPr>
            </w:pPr>
          </w:p>
        </w:tc>
        <w:tc>
          <w:tcPr>
            <w:tcW w:w="6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72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5020" w:type="dxa"/>
            <w:vAlign w:val="bottom"/>
            <w:shd w:val="clear" w:color="auto" w:fill="CCEEFF"/>
          </w:tcPr>
          <w:p>
            <w:pPr>
              <w:spacing w:after="0"/>
              <w:rPr>
                <w:sz w:val="20"/>
                <w:szCs w:val="20"/>
                <w:color w:val="auto"/>
              </w:rPr>
            </w:pPr>
            <w:r>
              <w:rPr>
                <w:rFonts w:ascii="Arial" w:cs="Arial" w:eastAsia="Arial" w:hAnsi="Arial"/>
                <w:sz w:val="18"/>
                <w:szCs w:val="18"/>
                <w:color w:val="auto"/>
              </w:rPr>
              <w:t>Gross profit</w:t>
            </w:r>
          </w:p>
        </w:tc>
        <w:tc>
          <w:tcPr>
            <w:tcW w:w="162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6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2"/>
              </w:rPr>
              <w:t>466,245</w:t>
            </w:r>
          </w:p>
        </w:tc>
        <w:tc>
          <w:tcPr>
            <w:tcW w:w="2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80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w w:val="89"/>
              </w:rPr>
              <w:t>420,997</w:t>
            </w:r>
          </w:p>
        </w:tc>
        <w:tc>
          <w:tcPr>
            <w:tcW w:w="120" w:type="dxa"/>
            <w:vAlign w:val="bottom"/>
            <w:shd w:val="clear" w:color="auto" w:fill="CCEEFF"/>
          </w:tcPr>
          <w:p>
            <w:pPr>
              <w:spacing w:after="0"/>
              <w:rPr>
                <w:sz w:val="18"/>
                <w:szCs w:val="18"/>
                <w:color w:val="auto"/>
              </w:rPr>
            </w:pPr>
          </w:p>
        </w:tc>
        <w:tc>
          <w:tcPr>
            <w:tcW w:w="6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2"/>
              </w:rPr>
              <w:t>406,378</w:t>
            </w:r>
          </w:p>
        </w:tc>
        <w:tc>
          <w:tcPr>
            <w:tcW w:w="1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7"/>
              </w:rPr>
              <w:t>1,286,173</w:t>
            </w:r>
          </w:p>
        </w:tc>
        <w:tc>
          <w:tcPr>
            <w:tcW w:w="14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7"/>
              </w:rPr>
              <w:t>1,270,672</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020" w:type="dxa"/>
            <w:vAlign w:val="bottom"/>
          </w:tcPr>
          <w:p>
            <w:pPr>
              <w:spacing w:after="0"/>
              <w:rPr>
                <w:sz w:val="20"/>
                <w:szCs w:val="20"/>
                <w:color w:val="auto"/>
              </w:rPr>
            </w:pPr>
            <w:r>
              <w:rPr>
                <w:rFonts w:ascii="Arial" w:cs="Arial" w:eastAsia="Arial" w:hAnsi="Arial"/>
                <w:sz w:val="18"/>
                <w:szCs w:val="18"/>
                <w:color w:val="auto"/>
              </w:rPr>
              <w:t>Operating expenses:</w:t>
            </w:r>
          </w:p>
        </w:tc>
        <w:tc>
          <w:tcPr>
            <w:tcW w:w="162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60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020" w:type="dxa"/>
            <w:vAlign w:val="bottom"/>
            <w:shd w:val="clear" w:color="auto" w:fill="CCEEFF"/>
          </w:tcPr>
          <w:p>
            <w:pPr>
              <w:ind w:left="340"/>
              <w:spacing w:after="0"/>
              <w:rPr>
                <w:sz w:val="20"/>
                <w:szCs w:val="20"/>
                <w:color w:val="auto"/>
              </w:rPr>
            </w:pPr>
            <w:r>
              <w:rPr>
                <w:rFonts w:ascii="Arial" w:cs="Arial" w:eastAsia="Arial" w:hAnsi="Arial"/>
                <w:sz w:val="18"/>
                <w:szCs w:val="18"/>
                <w:color w:val="auto"/>
              </w:rPr>
              <w:t>Research and development</w:t>
            </w:r>
          </w:p>
        </w:tc>
        <w:tc>
          <w:tcPr>
            <w:tcW w:w="162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6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2"/>
              </w:rPr>
              <w:t>296,291</w:t>
            </w:r>
          </w:p>
        </w:tc>
        <w:tc>
          <w:tcPr>
            <w:tcW w:w="2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80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w w:val="89"/>
              </w:rPr>
              <w:t>292,642</w:t>
            </w:r>
          </w:p>
        </w:tc>
        <w:tc>
          <w:tcPr>
            <w:tcW w:w="120" w:type="dxa"/>
            <w:vAlign w:val="bottom"/>
            <w:shd w:val="clear" w:color="auto" w:fill="CCEEFF"/>
          </w:tcPr>
          <w:p>
            <w:pPr>
              <w:spacing w:after="0"/>
              <w:rPr>
                <w:sz w:val="18"/>
                <w:szCs w:val="18"/>
                <w:color w:val="auto"/>
              </w:rPr>
            </w:pPr>
          </w:p>
        </w:tc>
        <w:tc>
          <w:tcPr>
            <w:tcW w:w="6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2"/>
              </w:rPr>
              <w:t>263,615</w:t>
            </w:r>
          </w:p>
        </w:tc>
        <w:tc>
          <w:tcPr>
            <w:tcW w:w="1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867,985</w:t>
            </w:r>
          </w:p>
        </w:tc>
        <w:tc>
          <w:tcPr>
            <w:tcW w:w="14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783,760</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020" w:type="dxa"/>
            <w:vAlign w:val="bottom"/>
          </w:tcPr>
          <w:p>
            <w:pPr>
              <w:ind w:left="340"/>
              <w:spacing w:after="0"/>
              <w:rPr>
                <w:sz w:val="20"/>
                <w:szCs w:val="20"/>
                <w:color w:val="auto"/>
              </w:rPr>
            </w:pPr>
            <w:r>
              <w:rPr>
                <w:rFonts w:ascii="Arial" w:cs="Arial" w:eastAsia="Arial" w:hAnsi="Arial"/>
                <w:sz w:val="18"/>
                <w:szCs w:val="18"/>
                <w:color w:val="auto"/>
              </w:rPr>
              <w:t>Selling and marketing</w:t>
            </w:r>
          </w:p>
        </w:tc>
        <w:tc>
          <w:tcPr>
            <w:tcW w:w="162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840" w:type="dxa"/>
            <w:vAlign w:val="bottom"/>
            <w:gridSpan w:val="2"/>
          </w:tcPr>
          <w:p>
            <w:pPr>
              <w:jc w:val="right"/>
              <w:ind w:right="220"/>
              <w:spacing w:after="0"/>
              <w:rPr>
                <w:sz w:val="20"/>
                <w:szCs w:val="20"/>
                <w:color w:val="auto"/>
              </w:rPr>
            </w:pPr>
            <w:r>
              <w:rPr>
                <w:rFonts w:ascii="Arial" w:cs="Arial" w:eastAsia="Arial" w:hAnsi="Arial"/>
                <w:sz w:val="18"/>
                <w:szCs w:val="18"/>
                <w:color w:val="auto"/>
              </w:rPr>
              <w:t>37,496</w:t>
            </w:r>
          </w:p>
        </w:tc>
        <w:tc>
          <w:tcPr>
            <w:tcW w:w="80" w:type="dxa"/>
            <w:vAlign w:val="bottom"/>
          </w:tcPr>
          <w:p>
            <w:pPr>
              <w:spacing w:after="0"/>
              <w:rPr>
                <w:sz w:val="18"/>
                <w:szCs w:val="18"/>
                <w:color w:val="auto"/>
              </w:rPr>
            </w:pPr>
          </w:p>
        </w:tc>
        <w:tc>
          <w:tcPr>
            <w:tcW w:w="800" w:type="dxa"/>
            <w:vAlign w:val="bottom"/>
            <w:gridSpan w:val="2"/>
          </w:tcPr>
          <w:p>
            <w:pPr>
              <w:jc w:val="right"/>
              <w:ind w:right="200"/>
              <w:spacing w:after="0"/>
              <w:rPr>
                <w:sz w:val="20"/>
                <w:szCs w:val="20"/>
                <w:color w:val="auto"/>
              </w:rPr>
            </w:pPr>
            <w:r>
              <w:rPr>
                <w:rFonts w:ascii="Arial" w:cs="Arial" w:eastAsia="Arial" w:hAnsi="Arial"/>
                <w:sz w:val="18"/>
                <w:szCs w:val="18"/>
                <w:color w:val="auto"/>
              </w:rPr>
              <w:t>38,548</w:t>
            </w:r>
          </w:p>
        </w:tc>
        <w:tc>
          <w:tcPr>
            <w:tcW w:w="120" w:type="dxa"/>
            <w:vAlign w:val="bottom"/>
          </w:tcPr>
          <w:p>
            <w:pPr>
              <w:spacing w:after="0"/>
              <w:rPr>
                <w:sz w:val="18"/>
                <w:szCs w:val="18"/>
                <w:color w:val="auto"/>
              </w:rPr>
            </w:pPr>
          </w:p>
        </w:tc>
        <w:tc>
          <w:tcPr>
            <w:tcW w:w="720" w:type="dxa"/>
            <w:vAlign w:val="bottom"/>
            <w:gridSpan w:val="2"/>
          </w:tcPr>
          <w:p>
            <w:pPr>
              <w:jc w:val="right"/>
              <w:ind w:right="100"/>
              <w:spacing w:after="0"/>
              <w:rPr>
                <w:sz w:val="20"/>
                <w:szCs w:val="20"/>
                <w:color w:val="auto"/>
              </w:rPr>
            </w:pPr>
            <w:r>
              <w:rPr>
                <w:rFonts w:ascii="Arial" w:cs="Arial" w:eastAsia="Arial" w:hAnsi="Arial"/>
                <w:sz w:val="18"/>
                <w:szCs w:val="18"/>
                <w:color w:val="auto"/>
              </w:rPr>
              <w:t>38,398</w:t>
            </w:r>
          </w:p>
        </w:tc>
        <w:tc>
          <w:tcPr>
            <w:tcW w:w="1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60" w:type="dxa"/>
            <w:vAlign w:val="bottom"/>
            <w:gridSpan w:val="2"/>
          </w:tcPr>
          <w:p>
            <w:pPr>
              <w:jc w:val="right"/>
              <w:ind w:right="140"/>
              <w:spacing w:after="0"/>
              <w:rPr>
                <w:sz w:val="20"/>
                <w:szCs w:val="20"/>
                <w:color w:val="auto"/>
              </w:rPr>
            </w:pPr>
            <w:r>
              <w:rPr>
                <w:rFonts w:ascii="Arial" w:cs="Arial" w:eastAsia="Arial" w:hAnsi="Arial"/>
                <w:sz w:val="18"/>
                <w:szCs w:val="18"/>
                <w:color w:val="auto"/>
              </w:rPr>
              <w:t>116,033</w:t>
            </w:r>
          </w:p>
        </w:tc>
        <w:tc>
          <w:tcPr>
            <w:tcW w:w="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rPr>
              <w:t>119,498</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020" w:type="dxa"/>
            <w:vAlign w:val="bottom"/>
            <w:shd w:val="clear" w:color="auto" w:fill="CCEEFF"/>
          </w:tcPr>
          <w:p>
            <w:pPr>
              <w:ind w:left="340"/>
              <w:spacing w:after="0"/>
              <w:rPr>
                <w:sz w:val="20"/>
                <w:szCs w:val="20"/>
                <w:color w:val="auto"/>
              </w:rPr>
            </w:pPr>
            <w:r>
              <w:rPr>
                <w:rFonts w:ascii="Arial" w:cs="Arial" w:eastAsia="Arial" w:hAnsi="Arial"/>
                <w:sz w:val="18"/>
                <w:szCs w:val="18"/>
                <w:color w:val="auto"/>
              </w:rPr>
              <w:t>General and administrative</w:t>
            </w:r>
          </w:p>
        </w:tc>
        <w:tc>
          <w:tcPr>
            <w:tcW w:w="162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84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26,589</w:t>
            </w:r>
          </w:p>
        </w:tc>
        <w:tc>
          <w:tcPr>
            <w:tcW w:w="80" w:type="dxa"/>
            <w:vAlign w:val="bottom"/>
            <w:shd w:val="clear" w:color="auto" w:fill="CCEEFF"/>
          </w:tcPr>
          <w:p>
            <w:pPr>
              <w:spacing w:after="0"/>
              <w:rPr>
                <w:sz w:val="18"/>
                <w:szCs w:val="18"/>
                <w:color w:val="auto"/>
              </w:rPr>
            </w:pPr>
          </w:p>
        </w:tc>
        <w:tc>
          <w:tcPr>
            <w:tcW w:w="80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27,192</w:t>
            </w:r>
          </w:p>
        </w:tc>
        <w:tc>
          <w:tcPr>
            <w:tcW w:w="120" w:type="dxa"/>
            <w:vAlign w:val="bottom"/>
            <w:shd w:val="clear" w:color="auto" w:fill="CCEEFF"/>
          </w:tcPr>
          <w:p>
            <w:pPr>
              <w:spacing w:after="0"/>
              <w:rPr>
                <w:sz w:val="18"/>
                <w:szCs w:val="18"/>
                <w:color w:val="auto"/>
              </w:rPr>
            </w:pPr>
          </w:p>
        </w:tc>
        <w:tc>
          <w:tcPr>
            <w:tcW w:w="7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24,514</w:t>
            </w:r>
          </w:p>
        </w:tc>
        <w:tc>
          <w:tcPr>
            <w:tcW w:w="1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6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80,104</w:t>
            </w:r>
          </w:p>
        </w:tc>
        <w:tc>
          <w:tcPr>
            <w:tcW w:w="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75,937</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020" w:type="dxa"/>
            <w:vAlign w:val="bottom"/>
          </w:tcPr>
          <w:p>
            <w:pPr>
              <w:ind w:left="340"/>
              <w:spacing w:after="0"/>
              <w:rPr>
                <w:sz w:val="20"/>
                <w:szCs w:val="20"/>
                <w:color w:val="auto"/>
              </w:rPr>
            </w:pPr>
            <w:r>
              <w:rPr>
                <w:rFonts w:ascii="Arial" w:cs="Arial" w:eastAsia="Arial" w:hAnsi="Arial"/>
                <w:sz w:val="18"/>
                <w:szCs w:val="18"/>
                <w:color w:val="auto"/>
              </w:rPr>
              <w:t>Amortization and write-off of acquired intangible assets</w:t>
            </w:r>
          </w:p>
        </w:tc>
        <w:tc>
          <w:tcPr>
            <w:tcW w:w="162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840" w:type="dxa"/>
            <w:vAlign w:val="bottom"/>
            <w:gridSpan w:val="2"/>
          </w:tcPr>
          <w:p>
            <w:pPr>
              <w:jc w:val="right"/>
              <w:ind w:right="220"/>
              <w:spacing w:after="0"/>
              <w:rPr>
                <w:sz w:val="20"/>
                <w:szCs w:val="20"/>
                <w:color w:val="auto"/>
              </w:rPr>
            </w:pPr>
            <w:r>
              <w:rPr>
                <w:rFonts w:ascii="Arial" w:cs="Arial" w:eastAsia="Arial" w:hAnsi="Arial"/>
                <w:sz w:val="18"/>
                <w:szCs w:val="18"/>
                <w:color w:val="auto"/>
              </w:rPr>
              <w:t>10,645</w:t>
            </w:r>
          </w:p>
        </w:tc>
        <w:tc>
          <w:tcPr>
            <w:tcW w:w="80" w:type="dxa"/>
            <w:vAlign w:val="bottom"/>
          </w:tcPr>
          <w:p>
            <w:pPr>
              <w:spacing w:after="0"/>
              <w:rPr>
                <w:sz w:val="18"/>
                <w:szCs w:val="18"/>
                <w:color w:val="auto"/>
              </w:rPr>
            </w:pPr>
          </w:p>
        </w:tc>
        <w:tc>
          <w:tcPr>
            <w:tcW w:w="800" w:type="dxa"/>
            <w:vAlign w:val="bottom"/>
            <w:gridSpan w:val="2"/>
          </w:tcPr>
          <w:p>
            <w:pPr>
              <w:jc w:val="right"/>
              <w:ind w:right="200"/>
              <w:spacing w:after="0"/>
              <w:rPr>
                <w:sz w:val="20"/>
                <w:szCs w:val="20"/>
                <w:color w:val="auto"/>
              </w:rPr>
            </w:pPr>
            <w:r>
              <w:rPr>
                <w:rFonts w:ascii="Arial" w:cs="Arial" w:eastAsia="Arial" w:hAnsi="Arial"/>
                <w:sz w:val="18"/>
                <w:szCs w:val="18"/>
                <w:color w:val="auto"/>
              </w:rPr>
              <w:t>10,638</w:t>
            </w:r>
          </w:p>
        </w:tc>
        <w:tc>
          <w:tcPr>
            <w:tcW w:w="120" w:type="dxa"/>
            <w:vAlign w:val="bottom"/>
          </w:tcPr>
          <w:p>
            <w:pPr>
              <w:spacing w:after="0"/>
              <w:rPr>
                <w:sz w:val="18"/>
                <w:szCs w:val="18"/>
                <w:color w:val="auto"/>
              </w:rPr>
            </w:pPr>
          </w:p>
        </w:tc>
        <w:tc>
          <w:tcPr>
            <w:tcW w:w="720" w:type="dxa"/>
            <w:vAlign w:val="bottom"/>
            <w:gridSpan w:val="2"/>
          </w:tcPr>
          <w:p>
            <w:pPr>
              <w:jc w:val="right"/>
              <w:ind w:right="100"/>
              <w:spacing w:after="0"/>
              <w:rPr>
                <w:sz w:val="20"/>
                <w:szCs w:val="20"/>
                <w:color w:val="auto"/>
              </w:rPr>
            </w:pPr>
            <w:r>
              <w:rPr>
                <w:rFonts w:ascii="Arial" w:cs="Arial" w:eastAsia="Arial" w:hAnsi="Arial"/>
                <w:sz w:val="18"/>
                <w:szCs w:val="18"/>
                <w:color w:val="auto"/>
              </w:rPr>
              <w:t>13,054</w:t>
            </w:r>
          </w:p>
        </w:tc>
        <w:tc>
          <w:tcPr>
            <w:tcW w:w="1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60" w:type="dxa"/>
            <w:vAlign w:val="bottom"/>
            <w:gridSpan w:val="2"/>
          </w:tcPr>
          <w:p>
            <w:pPr>
              <w:jc w:val="right"/>
              <w:ind w:right="140"/>
              <w:spacing w:after="0"/>
              <w:rPr>
                <w:sz w:val="20"/>
                <w:szCs w:val="20"/>
                <w:color w:val="auto"/>
              </w:rPr>
            </w:pPr>
            <w:r>
              <w:rPr>
                <w:rFonts w:ascii="Arial" w:cs="Arial" w:eastAsia="Arial" w:hAnsi="Arial"/>
                <w:sz w:val="18"/>
                <w:szCs w:val="18"/>
                <w:color w:val="auto"/>
              </w:rPr>
              <w:t>31,969</w:t>
            </w:r>
          </w:p>
        </w:tc>
        <w:tc>
          <w:tcPr>
            <w:tcW w:w="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rPr>
              <w:t>40,432</w:t>
            </w:r>
          </w:p>
        </w:tc>
        <w:tc>
          <w:tcPr>
            <w:tcW w:w="0" w:type="dxa"/>
            <w:vAlign w:val="bottom"/>
          </w:tcPr>
          <w:p>
            <w:pPr>
              <w:spacing w:after="0"/>
              <w:rPr>
                <w:sz w:val="1"/>
                <w:szCs w:val="1"/>
                <w:color w:val="auto"/>
              </w:rPr>
            </w:pPr>
          </w:p>
        </w:tc>
      </w:tr>
      <w:tr>
        <w:trPr>
          <w:trHeight w:val="27"/>
        </w:trPr>
        <w:tc>
          <w:tcPr>
            <w:tcW w:w="20" w:type="dxa"/>
            <w:vAlign w:val="bottom"/>
          </w:tcPr>
          <w:p>
            <w:pPr>
              <w:spacing w:after="0"/>
              <w:rPr>
                <w:sz w:val="2"/>
                <w:szCs w:val="2"/>
                <w:color w:val="auto"/>
              </w:rPr>
            </w:pPr>
          </w:p>
        </w:tc>
        <w:tc>
          <w:tcPr>
            <w:tcW w:w="5020" w:type="dxa"/>
            <w:vAlign w:val="bottom"/>
          </w:tcPr>
          <w:p>
            <w:pPr>
              <w:spacing w:after="0"/>
              <w:rPr>
                <w:sz w:val="2"/>
                <w:szCs w:val="2"/>
                <w:color w:val="auto"/>
              </w:rPr>
            </w:pPr>
          </w:p>
        </w:tc>
        <w:tc>
          <w:tcPr>
            <w:tcW w:w="1620" w:type="dxa"/>
            <w:vAlign w:val="bottom"/>
          </w:tcPr>
          <w:p>
            <w:pPr>
              <w:spacing w:after="0"/>
              <w:rPr>
                <w:sz w:val="2"/>
                <w:szCs w:val="2"/>
                <w:color w:val="auto"/>
              </w:rPr>
            </w:pPr>
          </w:p>
        </w:tc>
        <w:tc>
          <w:tcPr>
            <w:tcW w:w="160" w:type="dxa"/>
            <w:vAlign w:val="bottom"/>
            <w:shd w:val="clear" w:color="auto" w:fill="000000"/>
          </w:tcPr>
          <w:p>
            <w:pPr>
              <w:spacing w:after="0"/>
              <w:rPr>
                <w:sz w:val="2"/>
                <w:szCs w:val="2"/>
                <w:color w:val="auto"/>
              </w:rPr>
            </w:pPr>
          </w:p>
        </w:tc>
        <w:tc>
          <w:tcPr>
            <w:tcW w:w="620" w:type="dxa"/>
            <w:vAlign w:val="bottom"/>
            <w:shd w:val="clear" w:color="auto" w:fill="000000"/>
          </w:tcPr>
          <w:p>
            <w:pPr>
              <w:spacing w:after="0"/>
              <w:rPr>
                <w:sz w:val="2"/>
                <w:szCs w:val="2"/>
                <w:color w:val="auto"/>
              </w:rPr>
            </w:pPr>
          </w:p>
        </w:tc>
        <w:tc>
          <w:tcPr>
            <w:tcW w:w="22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600" w:type="dxa"/>
            <w:vAlign w:val="bottom"/>
            <w:shd w:val="clear" w:color="auto" w:fill="000000"/>
          </w:tcPr>
          <w:p>
            <w:pPr>
              <w:spacing w:after="0"/>
              <w:rPr>
                <w:sz w:val="2"/>
                <w:szCs w:val="2"/>
                <w:color w:val="auto"/>
              </w:rPr>
            </w:pPr>
          </w:p>
        </w:tc>
        <w:tc>
          <w:tcPr>
            <w:tcW w:w="200" w:type="dxa"/>
            <w:vAlign w:val="bottom"/>
          </w:tcPr>
          <w:p>
            <w:pPr>
              <w:spacing w:after="0"/>
              <w:rPr>
                <w:sz w:val="2"/>
                <w:szCs w:val="2"/>
                <w:color w:val="auto"/>
              </w:rPr>
            </w:pPr>
          </w:p>
        </w:tc>
        <w:tc>
          <w:tcPr>
            <w:tcW w:w="120" w:type="dxa"/>
            <w:vAlign w:val="bottom"/>
            <w:shd w:val="clear" w:color="auto" w:fill="000000"/>
          </w:tcPr>
          <w:p>
            <w:pPr>
              <w:spacing w:after="0"/>
              <w:rPr>
                <w:sz w:val="2"/>
                <w:szCs w:val="2"/>
                <w:color w:val="auto"/>
              </w:rPr>
            </w:pPr>
          </w:p>
        </w:tc>
        <w:tc>
          <w:tcPr>
            <w:tcW w:w="62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c>
          <w:tcPr>
            <w:tcW w:w="10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720" w:type="dxa"/>
            <w:vAlign w:val="bottom"/>
            <w:shd w:val="clear" w:color="auto" w:fill="000000"/>
          </w:tcPr>
          <w:p>
            <w:pPr>
              <w:spacing w:after="0"/>
              <w:rPr>
                <w:sz w:val="2"/>
                <w:szCs w:val="2"/>
                <w:color w:val="auto"/>
              </w:rPr>
            </w:pPr>
          </w:p>
        </w:tc>
        <w:tc>
          <w:tcPr>
            <w:tcW w:w="140" w:type="dxa"/>
            <w:vAlign w:val="bottom"/>
          </w:tcPr>
          <w:p>
            <w:pPr>
              <w:spacing w:after="0"/>
              <w:rPr>
                <w:sz w:val="2"/>
                <w:szCs w:val="2"/>
                <w:color w:val="auto"/>
              </w:rPr>
            </w:pPr>
          </w:p>
        </w:tc>
        <w:tc>
          <w:tcPr>
            <w:tcW w:w="6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72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tcPr>
          <w:p>
            <w:pPr>
              <w:spacing w:after="0"/>
              <w:rPr>
                <w:sz w:val="18"/>
                <w:szCs w:val="18"/>
                <w:color w:val="auto"/>
              </w:rPr>
            </w:pPr>
          </w:p>
        </w:tc>
        <w:tc>
          <w:tcPr>
            <w:tcW w:w="5020" w:type="dxa"/>
            <w:vAlign w:val="bottom"/>
            <w:shd w:val="clear" w:color="auto" w:fill="CCEEFF"/>
          </w:tcPr>
          <w:p>
            <w:pPr>
              <w:ind w:left="700"/>
              <w:spacing w:after="0"/>
              <w:rPr>
                <w:sz w:val="20"/>
                <w:szCs w:val="20"/>
                <w:color w:val="auto"/>
              </w:rPr>
            </w:pPr>
            <w:r>
              <w:rPr>
                <w:rFonts w:ascii="Arial" w:cs="Arial" w:eastAsia="Arial" w:hAnsi="Arial"/>
                <w:sz w:val="18"/>
                <w:szCs w:val="18"/>
                <w:color w:val="auto"/>
              </w:rPr>
              <w:t>Total operating expenses</w:t>
            </w:r>
          </w:p>
        </w:tc>
        <w:tc>
          <w:tcPr>
            <w:tcW w:w="162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6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2"/>
              </w:rPr>
              <w:t>371,021</w:t>
            </w:r>
          </w:p>
        </w:tc>
        <w:tc>
          <w:tcPr>
            <w:tcW w:w="2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80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w w:val="89"/>
              </w:rPr>
              <w:t>369,020</w:t>
            </w:r>
          </w:p>
        </w:tc>
        <w:tc>
          <w:tcPr>
            <w:tcW w:w="120" w:type="dxa"/>
            <w:vAlign w:val="bottom"/>
            <w:shd w:val="clear" w:color="auto" w:fill="CCEEFF"/>
          </w:tcPr>
          <w:p>
            <w:pPr>
              <w:spacing w:after="0"/>
              <w:rPr>
                <w:sz w:val="18"/>
                <w:szCs w:val="18"/>
                <w:color w:val="auto"/>
              </w:rPr>
            </w:pPr>
          </w:p>
        </w:tc>
        <w:tc>
          <w:tcPr>
            <w:tcW w:w="6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2"/>
              </w:rPr>
              <w:t>339,581</w:t>
            </w:r>
          </w:p>
        </w:tc>
        <w:tc>
          <w:tcPr>
            <w:tcW w:w="1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7"/>
              </w:rPr>
              <w:t>1,096,091</w:t>
            </w:r>
          </w:p>
        </w:tc>
        <w:tc>
          <w:tcPr>
            <w:tcW w:w="14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7"/>
              </w:rPr>
              <w:t>1,019,627</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3"/>
        </w:trPr>
        <w:tc>
          <w:tcPr>
            <w:tcW w:w="5040" w:type="dxa"/>
            <w:vAlign w:val="bottom"/>
            <w:gridSpan w:val="2"/>
          </w:tcPr>
          <w:p>
            <w:pPr>
              <w:spacing w:after="0"/>
              <w:rPr>
                <w:sz w:val="20"/>
                <w:szCs w:val="20"/>
                <w:color w:val="auto"/>
              </w:rPr>
            </w:pPr>
            <w:r>
              <w:rPr>
                <w:rFonts w:ascii="Arial" w:cs="Arial" w:eastAsia="Arial" w:hAnsi="Arial"/>
                <w:sz w:val="18"/>
                <w:szCs w:val="18"/>
                <w:color w:val="auto"/>
              </w:rPr>
              <w:t>Operating income</w:t>
            </w:r>
          </w:p>
        </w:tc>
        <w:tc>
          <w:tcPr>
            <w:tcW w:w="1620" w:type="dxa"/>
            <w:vAlign w:val="bottom"/>
          </w:tcPr>
          <w:p>
            <w:pPr>
              <w:spacing w:after="0"/>
              <w:rPr>
                <w:sz w:val="19"/>
                <w:szCs w:val="19"/>
                <w:color w:val="auto"/>
              </w:rPr>
            </w:pPr>
          </w:p>
        </w:tc>
        <w:tc>
          <w:tcPr>
            <w:tcW w:w="160" w:type="dxa"/>
            <w:vAlign w:val="bottom"/>
            <w:tcBorders>
              <w:top w:val="single" w:sz="8" w:color="auto"/>
            </w:tcBorders>
          </w:tcPr>
          <w:p>
            <w:pPr>
              <w:spacing w:after="0"/>
              <w:rPr>
                <w:sz w:val="19"/>
                <w:szCs w:val="19"/>
                <w:color w:val="auto"/>
              </w:rPr>
            </w:pPr>
          </w:p>
        </w:tc>
        <w:tc>
          <w:tcPr>
            <w:tcW w:w="62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95,224</w:t>
            </w:r>
          </w:p>
        </w:tc>
        <w:tc>
          <w:tcPr>
            <w:tcW w:w="220" w:type="dxa"/>
            <w:vAlign w:val="bottom"/>
          </w:tcPr>
          <w:p>
            <w:pPr>
              <w:spacing w:after="0"/>
              <w:rPr>
                <w:sz w:val="19"/>
                <w:szCs w:val="19"/>
                <w:color w:val="auto"/>
              </w:rPr>
            </w:pPr>
          </w:p>
        </w:tc>
        <w:tc>
          <w:tcPr>
            <w:tcW w:w="80" w:type="dxa"/>
            <w:vAlign w:val="bottom"/>
            <w:tcBorders>
              <w:top w:val="single" w:sz="8" w:color="auto"/>
            </w:tcBorders>
          </w:tcPr>
          <w:p>
            <w:pPr>
              <w:spacing w:after="0"/>
              <w:rPr>
                <w:sz w:val="19"/>
                <w:szCs w:val="19"/>
                <w:color w:val="auto"/>
              </w:rPr>
            </w:pPr>
          </w:p>
        </w:tc>
        <w:tc>
          <w:tcPr>
            <w:tcW w:w="60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51,977</w:t>
            </w:r>
          </w:p>
        </w:tc>
        <w:tc>
          <w:tcPr>
            <w:tcW w:w="200" w:type="dxa"/>
            <w:vAlign w:val="bottom"/>
          </w:tcPr>
          <w:p>
            <w:pPr>
              <w:spacing w:after="0"/>
              <w:rPr>
                <w:sz w:val="19"/>
                <w:szCs w:val="19"/>
                <w:color w:val="auto"/>
              </w:rPr>
            </w:pPr>
          </w:p>
        </w:tc>
        <w:tc>
          <w:tcPr>
            <w:tcW w:w="120" w:type="dxa"/>
            <w:vAlign w:val="bottom"/>
            <w:tcBorders>
              <w:top w:val="single" w:sz="8" w:color="auto"/>
            </w:tcBorders>
          </w:tcPr>
          <w:p>
            <w:pPr>
              <w:spacing w:after="0"/>
              <w:rPr>
                <w:sz w:val="19"/>
                <w:szCs w:val="19"/>
                <w:color w:val="auto"/>
              </w:rPr>
            </w:pPr>
          </w:p>
        </w:tc>
        <w:tc>
          <w:tcPr>
            <w:tcW w:w="62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66,797</w:t>
            </w:r>
          </w:p>
        </w:tc>
        <w:tc>
          <w:tcPr>
            <w:tcW w:w="10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100" w:type="dxa"/>
            <w:vAlign w:val="bottom"/>
            <w:tcBorders>
              <w:top w:val="single" w:sz="8" w:color="auto"/>
            </w:tcBorders>
          </w:tcPr>
          <w:p>
            <w:pPr>
              <w:spacing w:after="0"/>
              <w:rPr>
                <w:sz w:val="19"/>
                <w:szCs w:val="19"/>
                <w:color w:val="auto"/>
              </w:rPr>
            </w:pPr>
          </w:p>
        </w:tc>
        <w:tc>
          <w:tcPr>
            <w:tcW w:w="72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190,082</w:t>
            </w:r>
          </w:p>
        </w:tc>
        <w:tc>
          <w:tcPr>
            <w:tcW w:w="140" w:type="dxa"/>
            <w:vAlign w:val="bottom"/>
          </w:tcPr>
          <w:p>
            <w:pPr>
              <w:spacing w:after="0"/>
              <w:rPr>
                <w:sz w:val="19"/>
                <w:szCs w:val="19"/>
                <w:color w:val="auto"/>
              </w:rPr>
            </w:pPr>
          </w:p>
        </w:tc>
        <w:tc>
          <w:tcPr>
            <w:tcW w:w="60" w:type="dxa"/>
            <w:vAlign w:val="bottom"/>
          </w:tcPr>
          <w:p>
            <w:pPr>
              <w:spacing w:after="0"/>
              <w:rPr>
                <w:sz w:val="19"/>
                <w:szCs w:val="19"/>
                <w:color w:val="auto"/>
              </w:rPr>
            </w:pPr>
          </w:p>
        </w:tc>
        <w:tc>
          <w:tcPr>
            <w:tcW w:w="100" w:type="dxa"/>
            <w:vAlign w:val="bottom"/>
            <w:tcBorders>
              <w:top w:val="single" w:sz="8" w:color="auto"/>
            </w:tcBorders>
          </w:tcPr>
          <w:p>
            <w:pPr>
              <w:spacing w:after="0"/>
              <w:rPr>
                <w:sz w:val="19"/>
                <w:szCs w:val="19"/>
                <w:color w:val="auto"/>
              </w:rPr>
            </w:pPr>
          </w:p>
        </w:tc>
        <w:tc>
          <w:tcPr>
            <w:tcW w:w="72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251,045</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020" w:type="dxa"/>
            <w:vAlign w:val="bottom"/>
            <w:shd w:val="clear" w:color="auto" w:fill="CCEEFF"/>
          </w:tcPr>
          <w:p>
            <w:pPr>
              <w:spacing w:after="0"/>
              <w:rPr>
                <w:sz w:val="20"/>
                <w:szCs w:val="20"/>
                <w:color w:val="auto"/>
              </w:rPr>
            </w:pPr>
            <w:r>
              <w:rPr>
                <w:rFonts w:ascii="Arial" w:cs="Arial" w:eastAsia="Arial" w:hAnsi="Arial"/>
                <w:sz w:val="18"/>
                <w:szCs w:val="18"/>
                <w:color w:val="auto"/>
              </w:rPr>
              <w:t>Interest and other income, net</w:t>
            </w:r>
          </w:p>
        </w:tc>
        <w:tc>
          <w:tcPr>
            <w:tcW w:w="162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6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1,536</w:t>
            </w:r>
          </w:p>
        </w:tc>
        <w:tc>
          <w:tcPr>
            <w:tcW w:w="2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80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8,253</w:t>
            </w:r>
          </w:p>
        </w:tc>
        <w:tc>
          <w:tcPr>
            <w:tcW w:w="120" w:type="dxa"/>
            <w:vAlign w:val="bottom"/>
            <w:shd w:val="clear" w:color="auto" w:fill="CCEEFF"/>
          </w:tcPr>
          <w:p>
            <w:pPr>
              <w:spacing w:after="0"/>
              <w:rPr>
                <w:sz w:val="18"/>
                <w:szCs w:val="18"/>
                <w:color w:val="auto"/>
              </w:rPr>
            </w:pPr>
          </w:p>
        </w:tc>
        <w:tc>
          <w:tcPr>
            <w:tcW w:w="6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2,387</w:t>
            </w:r>
          </w:p>
        </w:tc>
        <w:tc>
          <w:tcPr>
            <w:tcW w:w="1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6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12,949</w:t>
            </w:r>
          </w:p>
        </w:tc>
        <w:tc>
          <w:tcPr>
            <w:tcW w:w="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9,308</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3"/>
        </w:trPr>
        <w:tc>
          <w:tcPr>
            <w:tcW w:w="5040" w:type="dxa"/>
            <w:vAlign w:val="bottom"/>
            <w:gridSpan w:val="2"/>
          </w:tcPr>
          <w:p>
            <w:pPr>
              <w:spacing w:after="0"/>
              <w:rPr>
                <w:sz w:val="20"/>
                <w:szCs w:val="20"/>
                <w:color w:val="auto"/>
              </w:rPr>
            </w:pPr>
            <w:r>
              <w:rPr>
                <w:rFonts w:ascii="Arial" w:cs="Arial" w:eastAsia="Arial" w:hAnsi="Arial"/>
                <w:sz w:val="18"/>
                <w:szCs w:val="18"/>
                <w:color w:val="auto"/>
              </w:rPr>
              <w:t>Income before income taxes</w:t>
            </w:r>
          </w:p>
        </w:tc>
        <w:tc>
          <w:tcPr>
            <w:tcW w:w="1620" w:type="dxa"/>
            <w:vAlign w:val="bottom"/>
          </w:tcPr>
          <w:p>
            <w:pPr>
              <w:spacing w:after="0"/>
              <w:rPr>
                <w:sz w:val="19"/>
                <w:szCs w:val="19"/>
                <w:color w:val="auto"/>
              </w:rPr>
            </w:pPr>
          </w:p>
        </w:tc>
        <w:tc>
          <w:tcPr>
            <w:tcW w:w="160" w:type="dxa"/>
            <w:vAlign w:val="bottom"/>
            <w:tcBorders>
              <w:top w:val="single" w:sz="8" w:color="auto"/>
            </w:tcBorders>
          </w:tcPr>
          <w:p>
            <w:pPr>
              <w:spacing w:after="0"/>
              <w:rPr>
                <w:sz w:val="19"/>
                <w:szCs w:val="19"/>
                <w:color w:val="auto"/>
              </w:rPr>
            </w:pPr>
          </w:p>
        </w:tc>
        <w:tc>
          <w:tcPr>
            <w:tcW w:w="62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96,760</w:t>
            </w:r>
          </w:p>
        </w:tc>
        <w:tc>
          <w:tcPr>
            <w:tcW w:w="220" w:type="dxa"/>
            <w:vAlign w:val="bottom"/>
          </w:tcPr>
          <w:p>
            <w:pPr>
              <w:spacing w:after="0"/>
              <w:rPr>
                <w:sz w:val="19"/>
                <w:szCs w:val="19"/>
                <w:color w:val="auto"/>
              </w:rPr>
            </w:pPr>
          </w:p>
        </w:tc>
        <w:tc>
          <w:tcPr>
            <w:tcW w:w="80" w:type="dxa"/>
            <w:vAlign w:val="bottom"/>
            <w:tcBorders>
              <w:top w:val="single" w:sz="8" w:color="auto"/>
            </w:tcBorders>
          </w:tcPr>
          <w:p>
            <w:pPr>
              <w:spacing w:after="0"/>
              <w:rPr>
                <w:sz w:val="19"/>
                <w:szCs w:val="19"/>
                <w:color w:val="auto"/>
              </w:rPr>
            </w:pPr>
          </w:p>
        </w:tc>
        <w:tc>
          <w:tcPr>
            <w:tcW w:w="60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60,230</w:t>
            </w:r>
          </w:p>
        </w:tc>
        <w:tc>
          <w:tcPr>
            <w:tcW w:w="200" w:type="dxa"/>
            <w:vAlign w:val="bottom"/>
          </w:tcPr>
          <w:p>
            <w:pPr>
              <w:spacing w:after="0"/>
              <w:rPr>
                <w:sz w:val="19"/>
                <w:szCs w:val="19"/>
                <w:color w:val="auto"/>
              </w:rPr>
            </w:pPr>
          </w:p>
        </w:tc>
        <w:tc>
          <w:tcPr>
            <w:tcW w:w="120" w:type="dxa"/>
            <w:vAlign w:val="bottom"/>
            <w:tcBorders>
              <w:top w:val="single" w:sz="8" w:color="auto"/>
            </w:tcBorders>
          </w:tcPr>
          <w:p>
            <w:pPr>
              <w:spacing w:after="0"/>
              <w:rPr>
                <w:sz w:val="19"/>
                <w:szCs w:val="19"/>
                <w:color w:val="auto"/>
              </w:rPr>
            </w:pPr>
          </w:p>
        </w:tc>
        <w:tc>
          <w:tcPr>
            <w:tcW w:w="62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69,184</w:t>
            </w:r>
          </w:p>
        </w:tc>
        <w:tc>
          <w:tcPr>
            <w:tcW w:w="10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100" w:type="dxa"/>
            <w:vAlign w:val="bottom"/>
            <w:tcBorders>
              <w:top w:val="single" w:sz="8" w:color="auto"/>
            </w:tcBorders>
          </w:tcPr>
          <w:p>
            <w:pPr>
              <w:spacing w:after="0"/>
              <w:rPr>
                <w:sz w:val="19"/>
                <w:szCs w:val="19"/>
                <w:color w:val="auto"/>
              </w:rPr>
            </w:pPr>
          </w:p>
        </w:tc>
        <w:tc>
          <w:tcPr>
            <w:tcW w:w="72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203,031</w:t>
            </w:r>
          </w:p>
        </w:tc>
        <w:tc>
          <w:tcPr>
            <w:tcW w:w="140" w:type="dxa"/>
            <w:vAlign w:val="bottom"/>
          </w:tcPr>
          <w:p>
            <w:pPr>
              <w:spacing w:after="0"/>
              <w:rPr>
                <w:sz w:val="19"/>
                <w:szCs w:val="19"/>
                <w:color w:val="auto"/>
              </w:rPr>
            </w:pPr>
          </w:p>
        </w:tc>
        <w:tc>
          <w:tcPr>
            <w:tcW w:w="60" w:type="dxa"/>
            <w:vAlign w:val="bottom"/>
          </w:tcPr>
          <w:p>
            <w:pPr>
              <w:spacing w:after="0"/>
              <w:rPr>
                <w:sz w:val="19"/>
                <w:szCs w:val="19"/>
                <w:color w:val="auto"/>
              </w:rPr>
            </w:pPr>
          </w:p>
        </w:tc>
        <w:tc>
          <w:tcPr>
            <w:tcW w:w="100" w:type="dxa"/>
            <w:vAlign w:val="bottom"/>
            <w:tcBorders>
              <w:top w:val="single" w:sz="8" w:color="auto"/>
            </w:tcBorders>
          </w:tcPr>
          <w:p>
            <w:pPr>
              <w:spacing w:after="0"/>
              <w:rPr>
                <w:sz w:val="19"/>
                <w:szCs w:val="19"/>
                <w:color w:val="auto"/>
              </w:rPr>
            </w:pPr>
          </w:p>
        </w:tc>
        <w:tc>
          <w:tcPr>
            <w:tcW w:w="72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260,353</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020" w:type="dxa"/>
            <w:vAlign w:val="bottom"/>
            <w:shd w:val="clear" w:color="auto" w:fill="CCEEFF"/>
          </w:tcPr>
          <w:p>
            <w:pPr>
              <w:spacing w:after="0"/>
              <w:rPr>
                <w:sz w:val="20"/>
                <w:szCs w:val="20"/>
                <w:color w:val="auto"/>
              </w:rPr>
            </w:pPr>
            <w:r>
              <w:rPr>
                <w:rFonts w:ascii="Arial" w:cs="Arial" w:eastAsia="Arial" w:hAnsi="Arial"/>
                <w:sz w:val="18"/>
                <w:szCs w:val="18"/>
                <w:color w:val="auto"/>
              </w:rPr>
              <w:t>(Benefit) provision for income taxes</w:t>
            </w:r>
          </w:p>
        </w:tc>
        <w:tc>
          <w:tcPr>
            <w:tcW w:w="162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84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(6,396)</w:t>
            </w:r>
          </w:p>
        </w:tc>
        <w:tc>
          <w:tcPr>
            <w:tcW w:w="80" w:type="dxa"/>
            <w:vAlign w:val="bottom"/>
            <w:shd w:val="clear" w:color="auto" w:fill="CCEEFF"/>
          </w:tcPr>
          <w:p>
            <w:pPr>
              <w:spacing w:after="0"/>
              <w:rPr>
                <w:sz w:val="18"/>
                <w:szCs w:val="18"/>
                <w:color w:val="auto"/>
              </w:rPr>
            </w:pPr>
          </w:p>
        </w:tc>
        <w:tc>
          <w:tcPr>
            <w:tcW w:w="80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(1,596)</w:t>
            </w:r>
          </w:p>
        </w:tc>
        <w:tc>
          <w:tcPr>
            <w:tcW w:w="120" w:type="dxa"/>
            <w:vAlign w:val="bottom"/>
            <w:shd w:val="clear" w:color="auto" w:fill="CCEEFF"/>
          </w:tcPr>
          <w:p>
            <w:pPr>
              <w:spacing w:after="0"/>
              <w:rPr>
                <w:sz w:val="18"/>
                <w:szCs w:val="18"/>
                <w:color w:val="auto"/>
              </w:rPr>
            </w:pPr>
          </w:p>
        </w:tc>
        <w:tc>
          <w:tcPr>
            <w:tcW w:w="7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368</w:t>
            </w:r>
          </w:p>
        </w:tc>
        <w:tc>
          <w:tcPr>
            <w:tcW w:w="1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60" w:type="dxa"/>
            <w:vAlign w:val="bottom"/>
            <w:gridSpan w:val="2"/>
            <w:shd w:val="clear" w:color="auto" w:fill="CCEEFF"/>
          </w:tcPr>
          <w:p>
            <w:pPr>
              <w:jc w:val="right"/>
              <w:ind w:right="80"/>
              <w:spacing w:after="0"/>
              <w:rPr>
                <w:sz w:val="20"/>
                <w:szCs w:val="20"/>
                <w:color w:val="auto"/>
              </w:rPr>
            </w:pPr>
            <w:r>
              <w:rPr>
                <w:rFonts w:ascii="Arial" w:cs="Arial" w:eastAsia="Arial" w:hAnsi="Arial"/>
                <w:sz w:val="18"/>
                <w:szCs w:val="18"/>
                <w:color w:val="auto"/>
              </w:rPr>
              <w:t>(15,160)</w:t>
            </w:r>
          </w:p>
        </w:tc>
        <w:tc>
          <w:tcPr>
            <w:tcW w:w="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3,920</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3"/>
        </w:trPr>
        <w:tc>
          <w:tcPr>
            <w:tcW w:w="5040" w:type="dxa"/>
            <w:vAlign w:val="bottom"/>
            <w:gridSpan w:val="2"/>
          </w:tcPr>
          <w:p>
            <w:pPr>
              <w:spacing w:after="0"/>
              <w:rPr>
                <w:sz w:val="20"/>
                <w:szCs w:val="20"/>
                <w:color w:val="auto"/>
              </w:rPr>
            </w:pPr>
            <w:r>
              <w:rPr>
                <w:rFonts w:ascii="Arial" w:cs="Arial" w:eastAsia="Arial" w:hAnsi="Arial"/>
                <w:sz w:val="18"/>
                <w:szCs w:val="18"/>
                <w:color w:val="auto"/>
              </w:rPr>
              <w:t>Net income</w:t>
            </w:r>
          </w:p>
        </w:tc>
        <w:tc>
          <w:tcPr>
            <w:tcW w:w="1620" w:type="dxa"/>
            <w:vAlign w:val="bottom"/>
          </w:tcPr>
          <w:p>
            <w:pPr>
              <w:spacing w:after="0"/>
              <w:rPr>
                <w:sz w:val="19"/>
                <w:szCs w:val="19"/>
                <w:color w:val="auto"/>
              </w:rPr>
            </w:pPr>
          </w:p>
        </w:tc>
        <w:tc>
          <w:tcPr>
            <w:tcW w:w="160" w:type="dxa"/>
            <w:vAlign w:val="bottom"/>
            <w:tcBorders>
              <w:top w:val="single" w:sz="8" w:color="auto"/>
              <w:bottom w:val="single" w:sz="8" w:color="auto"/>
            </w:tcBorders>
          </w:tcPr>
          <w:p>
            <w:pPr>
              <w:spacing w:after="0"/>
              <w:rPr>
                <w:sz w:val="20"/>
                <w:szCs w:val="20"/>
                <w:color w:val="auto"/>
              </w:rPr>
            </w:pPr>
            <w:r>
              <w:rPr>
                <w:rFonts w:ascii="Arial" w:cs="Arial" w:eastAsia="Arial" w:hAnsi="Arial"/>
                <w:sz w:val="18"/>
                <w:szCs w:val="18"/>
                <w:color w:val="auto"/>
              </w:rPr>
              <w:t>$</w:t>
            </w:r>
          </w:p>
        </w:tc>
        <w:tc>
          <w:tcPr>
            <w:tcW w:w="6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92"/>
              </w:rPr>
              <w:t>103,156</w:t>
            </w:r>
          </w:p>
        </w:tc>
        <w:tc>
          <w:tcPr>
            <w:tcW w:w="220" w:type="dxa"/>
            <w:vAlign w:val="bottom"/>
          </w:tcPr>
          <w:p>
            <w:pPr>
              <w:spacing w:after="0"/>
              <w:rPr>
                <w:sz w:val="19"/>
                <w:szCs w:val="19"/>
                <w:color w:val="auto"/>
              </w:rPr>
            </w:pPr>
          </w:p>
        </w:tc>
        <w:tc>
          <w:tcPr>
            <w:tcW w:w="8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5"/>
                <w:szCs w:val="15"/>
                <w:color w:val="auto"/>
                <w:w w:val="71"/>
              </w:rPr>
              <w:t>$</w:t>
            </w:r>
          </w:p>
        </w:tc>
        <w:tc>
          <w:tcPr>
            <w:tcW w:w="6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61,826</w:t>
            </w:r>
          </w:p>
        </w:tc>
        <w:tc>
          <w:tcPr>
            <w:tcW w:w="200" w:type="dxa"/>
            <w:vAlign w:val="bottom"/>
          </w:tcPr>
          <w:p>
            <w:pPr>
              <w:spacing w:after="0"/>
              <w:rPr>
                <w:sz w:val="19"/>
                <w:szCs w:val="19"/>
                <w:color w:val="auto"/>
              </w:rPr>
            </w:pPr>
          </w:p>
        </w:tc>
        <w:tc>
          <w:tcPr>
            <w:tcW w:w="120" w:type="dxa"/>
            <w:vAlign w:val="bottom"/>
            <w:tcBorders>
              <w:top w:val="single" w:sz="8" w:color="auto"/>
              <w:bottom w:val="single" w:sz="8" w:color="auto"/>
            </w:tcBorders>
          </w:tcPr>
          <w:p>
            <w:pPr>
              <w:spacing w:after="0"/>
              <w:rPr>
                <w:sz w:val="20"/>
                <w:szCs w:val="20"/>
                <w:color w:val="auto"/>
              </w:rPr>
            </w:pPr>
            <w:r>
              <w:rPr>
                <w:rFonts w:ascii="Arial" w:cs="Arial" w:eastAsia="Arial" w:hAnsi="Arial"/>
                <w:sz w:val="18"/>
                <w:szCs w:val="18"/>
                <w:color w:val="auto"/>
                <w:w w:val="99"/>
              </w:rPr>
              <w:t>$</w:t>
            </w:r>
          </w:p>
        </w:tc>
        <w:tc>
          <w:tcPr>
            <w:tcW w:w="6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68,816</w:t>
            </w:r>
          </w:p>
        </w:tc>
        <w:tc>
          <w:tcPr>
            <w:tcW w:w="10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1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5"/>
                <w:szCs w:val="15"/>
                <w:color w:val="auto"/>
                <w:w w:val="71"/>
              </w:rPr>
              <w:t>$</w:t>
            </w:r>
          </w:p>
        </w:tc>
        <w:tc>
          <w:tcPr>
            <w:tcW w:w="7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218,191</w:t>
            </w:r>
          </w:p>
        </w:tc>
        <w:tc>
          <w:tcPr>
            <w:tcW w:w="140" w:type="dxa"/>
            <w:vAlign w:val="bottom"/>
          </w:tcPr>
          <w:p>
            <w:pPr>
              <w:spacing w:after="0"/>
              <w:rPr>
                <w:sz w:val="19"/>
                <w:szCs w:val="19"/>
                <w:color w:val="auto"/>
              </w:rPr>
            </w:pPr>
          </w:p>
        </w:tc>
        <w:tc>
          <w:tcPr>
            <w:tcW w:w="60" w:type="dxa"/>
            <w:vAlign w:val="bottom"/>
          </w:tcPr>
          <w:p>
            <w:pPr>
              <w:spacing w:after="0"/>
              <w:rPr>
                <w:sz w:val="19"/>
                <w:szCs w:val="19"/>
                <w:color w:val="auto"/>
              </w:rPr>
            </w:pPr>
          </w:p>
        </w:tc>
        <w:tc>
          <w:tcPr>
            <w:tcW w:w="1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79"/>
              </w:rPr>
              <w:t>$</w:t>
            </w:r>
          </w:p>
        </w:tc>
        <w:tc>
          <w:tcPr>
            <w:tcW w:w="7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256,433</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5020" w:type="dxa"/>
            <w:vAlign w:val="bottom"/>
          </w:tcPr>
          <w:p>
            <w:pPr>
              <w:spacing w:after="0" w:line="20" w:lineRule="exact"/>
              <w:rPr>
                <w:sz w:val="1"/>
                <w:szCs w:val="1"/>
                <w:color w:val="auto"/>
              </w:rPr>
            </w:pPr>
          </w:p>
        </w:tc>
        <w:tc>
          <w:tcPr>
            <w:tcW w:w="1620" w:type="dxa"/>
            <w:vAlign w:val="bottom"/>
          </w:tcPr>
          <w:p>
            <w:pPr>
              <w:spacing w:after="0" w:line="20" w:lineRule="exact"/>
              <w:rPr>
                <w:sz w:val="1"/>
                <w:szCs w:val="1"/>
                <w:color w:val="auto"/>
              </w:rPr>
            </w:pPr>
          </w:p>
        </w:tc>
        <w:tc>
          <w:tcPr>
            <w:tcW w:w="160" w:type="dxa"/>
            <w:vAlign w:val="bottom"/>
            <w:tcBorders>
              <w:bottom w:val="single" w:sz="8" w:color="auto"/>
            </w:tcBorders>
          </w:tcPr>
          <w:p>
            <w:pPr>
              <w:spacing w:after="0" w:line="20" w:lineRule="exact"/>
              <w:rPr>
                <w:sz w:val="1"/>
                <w:szCs w:val="1"/>
                <w:color w:val="auto"/>
              </w:rPr>
            </w:pPr>
          </w:p>
        </w:tc>
        <w:tc>
          <w:tcPr>
            <w:tcW w:w="620" w:type="dxa"/>
            <w:vAlign w:val="bottom"/>
            <w:tcBorders>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80" w:type="dxa"/>
            <w:vAlign w:val="bottom"/>
            <w:tcBorders>
              <w:bottom w:val="single" w:sz="8" w:color="auto"/>
            </w:tcBorders>
          </w:tcPr>
          <w:p>
            <w:pPr>
              <w:spacing w:after="0" w:line="20" w:lineRule="exact"/>
              <w:rPr>
                <w:sz w:val="1"/>
                <w:szCs w:val="1"/>
                <w:color w:val="auto"/>
              </w:rPr>
            </w:pPr>
          </w:p>
        </w:tc>
        <w:tc>
          <w:tcPr>
            <w:tcW w:w="600" w:type="dxa"/>
            <w:vAlign w:val="bottom"/>
            <w:tcBorders>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20" w:type="dxa"/>
            <w:vAlign w:val="bottom"/>
            <w:tcBorders>
              <w:bottom w:val="single" w:sz="8" w:color="auto"/>
            </w:tcBorders>
          </w:tcPr>
          <w:p>
            <w:pPr>
              <w:spacing w:after="0" w:line="20" w:lineRule="exact"/>
              <w:rPr>
                <w:sz w:val="1"/>
                <w:szCs w:val="1"/>
                <w:color w:val="auto"/>
              </w:rPr>
            </w:pPr>
          </w:p>
        </w:tc>
        <w:tc>
          <w:tcPr>
            <w:tcW w:w="62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720" w:type="dxa"/>
            <w:vAlign w:val="bottom"/>
            <w:tcBorders>
              <w:bottom w:val="single" w:sz="8" w:color="auto"/>
            </w:tcBorders>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72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0"/>
        </w:trPr>
        <w:tc>
          <w:tcPr>
            <w:tcW w:w="20" w:type="dxa"/>
            <w:vAlign w:val="bottom"/>
          </w:tcPr>
          <w:p>
            <w:pPr>
              <w:spacing w:after="0"/>
              <w:rPr>
                <w:sz w:val="18"/>
                <w:szCs w:val="18"/>
                <w:color w:val="auto"/>
              </w:rPr>
            </w:pPr>
          </w:p>
        </w:tc>
        <w:tc>
          <w:tcPr>
            <w:tcW w:w="5020" w:type="dxa"/>
            <w:vAlign w:val="bottom"/>
            <w:shd w:val="clear" w:color="auto" w:fill="CCEEFF"/>
          </w:tcPr>
          <w:p>
            <w:pPr>
              <w:spacing w:after="0"/>
              <w:rPr>
                <w:sz w:val="20"/>
                <w:szCs w:val="20"/>
                <w:color w:val="auto"/>
              </w:rPr>
            </w:pPr>
            <w:r>
              <w:rPr>
                <w:rFonts w:ascii="Arial" w:cs="Arial" w:eastAsia="Arial" w:hAnsi="Arial"/>
                <w:sz w:val="18"/>
                <w:szCs w:val="18"/>
                <w:color w:val="auto"/>
              </w:rPr>
              <w:t>Basic net income per share</w:t>
            </w:r>
          </w:p>
        </w:tc>
        <w:tc>
          <w:tcPr>
            <w:tcW w:w="162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84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0.21</w:t>
            </w:r>
          </w:p>
        </w:tc>
        <w:tc>
          <w:tcPr>
            <w:tcW w:w="8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80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0.13</w:t>
            </w:r>
          </w:p>
        </w:tc>
        <w:tc>
          <w:tcPr>
            <w:tcW w:w="120" w:type="dxa"/>
            <w:vAlign w:val="bottom"/>
            <w:shd w:val="clear" w:color="auto" w:fill="CCEEFF"/>
          </w:tcPr>
          <w:p>
            <w:pPr>
              <w:spacing w:after="0"/>
              <w:rPr>
                <w:sz w:val="20"/>
                <w:szCs w:val="20"/>
                <w:color w:val="auto"/>
              </w:rPr>
            </w:pPr>
            <w:r>
              <w:rPr>
                <w:rFonts w:ascii="Arial" w:cs="Arial" w:eastAsia="Arial" w:hAnsi="Arial"/>
                <w:sz w:val="18"/>
                <w:szCs w:val="18"/>
                <w:color w:val="auto"/>
                <w:w w:val="99"/>
              </w:rPr>
              <w:t>$</w:t>
            </w:r>
          </w:p>
        </w:tc>
        <w:tc>
          <w:tcPr>
            <w:tcW w:w="7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0.12</w:t>
            </w:r>
          </w:p>
        </w:tc>
        <w:tc>
          <w:tcPr>
            <w:tcW w:w="2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86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0.44</w:t>
            </w:r>
          </w:p>
        </w:tc>
        <w:tc>
          <w:tcPr>
            <w:tcW w:w="1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0.45</w:t>
            </w:r>
          </w:p>
        </w:tc>
        <w:tc>
          <w:tcPr>
            <w:tcW w:w="0" w:type="dxa"/>
            <w:vAlign w:val="bottom"/>
          </w:tcPr>
          <w:p>
            <w:pPr>
              <w:spacing w:after="0"/>
              <w:rPr>
                <w:sz w:val="1"/>
                <w:szCs w:val="1"/>
                <w:color w:val="auto"/>
              </w:rPr>
            </w:pPr>
          </w:p>
        </w:tc>
      </w:tr>
      <w:tr>
        <w:trPr>
          <w:trHeight w:val="20"/>
        </w:trPr>
        <w:tc>
          <w:tcPr>
            <w:tcW w:w="5040" w:type="dxa"/>
            <w:vAlign w:val="bottom"/>
            <w:gridSpan w:val="2"/>
            <w:vMerge w:val="restart"/>
          </w:tcPr>
          <w:p>
            <w:pPr>
              <w:spacing w:after="0"/>
              <w:rPr>
                <w:sz w:val="20"/>
                <w:szCs w:val="20"/>
                <w:color w:val="auto"/>
              </w:rPr>
            </w:pPr>
            <w:r>
              <w:rPr>
                <w:rFonts w:ascii="Arial" w:cs="Arial" w:eastAsia="Arial" w:hAnsi="Arial"/>
                <w:sz w:val="18"/>
                <w:szCs w:val="18"/>
                <w:color w:val="auto"/>
              </w:rPr>
              <w:t>Diluted net income per share</w:t>
            </w:r>
          </w:p>
        </w:tc>
        <w:tc>
          <w:tcPr>
            <w:tcW w:w="1620" w:type="dxa"/>
            <w:vAlign w:val="bottom"/>
          </w:tcPr>
          <w:p>
            <w:pPr>
              <w:spacing w:after="0" w:line="20" w:lineRule="exact"/>
              <w:rPr>
                <w:sz w:val="1"/>
                <w:szCs w:val="1"/>
                <w:color w:val="auto"/>
              </w:rPr>
            </w:pPr>
          </w:p>
        </w:tc>
        <w:tc>
          <w:tcPr>
            <w:tcW w:w="160" w:type="dxa"/>
            <w:vAlign w:val="bottom"/>
            <w:tcBorders>
              <w:top w:val="single" w:sz="8" w:color="auto"/>
              <w:bottom w:val="single" w:sz="8" w:color="auto"/>
            </w:tcBorders>
          </w:tcPr>
          <w:p>
            <w:pPr>
              <w:spacing w:after="0" w:line="20" w:lineRule="exact"/>
              <w:rPr>
                <w:sz w:val="1"/>
                <w:szCs w:val="1"/>
                <w:color w:val="auto"/>
              </w:rPr>
            </w:pPr>
          </w:p>
        </w:tc>
        <w:tc>
          <w:tcPr>
            <w:tcW w:w="62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60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62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0"/>
        </w:trPr>
        <w:tc>
          <w:tcPr>
            <w:tcW w:w="5040" w:type="dxa"/>
            <w:vAlign w:val="bottom"/>
            <w:gridSpan w:val="2"/>
            <w:vMerge w:val="continue"/>
          </w:tcPr>
          <w:p>
            <w:pPr>
              <w:spacing w:after="0"/>
              <w:rPr>
                <w:sz w:val="18"/>
                <w:szCs w:val="18"/>
                <w:color w:val="auto"/>
              </w:rPr>
            </w:pPr>
          </w:p>
        </w:tc>
        <w:tc>
          <w:tcPr>
            <w:tcW w:w="1620" w:type="dxa"/>
            <w:vAlign w:val="bottom"/>
          </w:tcPr>
          <w:p>
            <w:pPr>
              <w:spacing w:after="0"/>
              <w:rPr>
                <w:sz w:val="18"/>
                <w:szCs w:val="18"/>
                <w:color w:val="auto"/>
              </w:rPr>
            </w:pPr>
          </w:p>
        </w:tc>
        <w:tc>
          <w:tcPr>
            <w:tcW w:w="160" w:type="dxa"/>
            <w:vAlign w:val="bottom"/>
            <w:tcBorders>
              <w:bottom w:val="single" w:sz="8" w:color="auto"/>
            </w:tcBorders>
          </w:tcPr>
          <w:p>
            <w:pPr>
              <w:spacing w:after="0"/>
              <w:rPr>
                <w:sz w:val="20"/>
                <w:szCs w:val="20"/>
                <w:color w:val="auto"/>
              </w:rPr>
            </w:pPr>
            <w:r>
              <w:rPr>
                <w:rFonts w:ascii="Arial" w:cs="Arial" w:eastAsia="Arial" w:hAnsi="Arial"/>
                <w:sz w:val="18"/>
                <w:szCs w:val="18"/>
                <w:color w:val="auto"/>
              </w:rPr>
              <w:t>$</w:t>
            </w:r>
          </w:p>
        </w:tc>
        <w:tc>
          <w:tcPr>
            <w:tcW w:w="6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0.21</w:t>
            </w:r>
          </w:p>
        </w:tc>
        <w:tc>
          <w:tcPr>
            <w:tcW w:w="220" w:type="dxa"/>
            <w:vAlign w:val="bottom"/>
          </w:tcPr>
          <w:p>
            <w:pPr>
              <w:spacing w:after="0"/>
              <w:rPr>
                <w:sz w:val="18"/>
                <w:szCs w:val="18"/>
                <w:color w:val="auto"/>
              </w:rPr>
            </w:pPr>
          </w:p>
        </w:tc>
        <w:tc>
          <w:tcPr>
            <w:tcW w:w="80" w:type="dxa"/>
            <w:vAlign w:val="bottom"/>
            <w:tcBorders>
              <w:bottom w:val="single" w:sz="8" w:color="auto"/>
            </w:tcBorders>
          </w:tcPr>
          <w:p>
            <w:pPr>
              <w:jc w:val="right"/>
              <w:spacing w:after="0"/>
              <w:rPr>
                <w:sz w:val="20"/>
                <w:szCs w:val="20"/>
                <w:color w:val="auto"/>
              </w:rPr>
            </w:pPr>
            <w:r>
              <w:rPr>
                <w:rFonts w:ascii="Arial" w:cs="Arial" w:eastAsia="Arial" w:hAnsi="Arial"/>
                <w:sz w:val="15"/>
                <w:szCs w:val="15"/>
                <w:color w:val="auto"/>
                <w:w w:val="71"/>
              </w:rPr>
              <w:t>$</w:t>
            </w:r>
          </w:p>
        </w:tc>
        <w:tc>
          <w:tcPr>
            <w:tcW w:w="6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0.12</w:t>
            </w:r>
          </w:p>
        </w:tc>
        <w:tc>
          <w:tcPr>
            <w:tcW w:w="200" w:type="dxa"/>
            <w:vAlign w:val="bottom"/>
          </w:tcPr>
          <w:p>
            <w:pPr>
              <w:spacing w:after="0"/>
              <w:rPr>
                <w:sz w:val="18"/>
                <w:szCs w:val="18"/>
                <w:color w:val="auto"/>
              </w:rPr>
            </w:pPr>
          </w:p>
        </w:tc>
        <w:tc>
          <w:tcPr>
            <w:tcW w:w="120" w:type="dxa"/>
            <w:vAlign w:val="bottom"/>
            <w:tcBorders>
              <w:bottom w:val="single" w:sz="8" w:color="auto"/>
            </w:tcBorders>
          </w:tcPr>
          <w:p>
            <w:pPr>
              <w:spacing w:after="0"/>
              <w:rPr>
                <w:sz w:val="20"/>
                <w:szCs w:val="20"/>
                <w:color w:val="auto"/>
              </w:rPr>
            </w:pPr>
            <w:r>
              <w:rPr>
                <w:rFonts w:ascii="Arial" w:cs="Arial" w:eastAsia="Arial" w:hAnsi="Arial"/>
                <w:sz w:val="18"/>
                <w:szCs w:val="18"/>
                <w:color w:val="auto"/>
                <w:w w:val="99"/>
              </w:rPr>
              <w:t>$</w:t>
            </w:r>
          </w:p>
        </w:tc>
        <w:tc>
          <w:tcPr>
            <w:tcW w:w="6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0.12</w:t>
            </w:r>
          </w:p>
        </w:tc>
        <w:tc>
          <w:tcPr>
            <w:tcW w:w="1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00" w:type="dxa"/>
            <w:vAlign w:val="bottom"/>
            <w:tcBorders>
              <w:bottom w:val="single" w:sz="8" w:color="auto"/>
            </w:tcBorders>
          </w:tcPr>
          <w:p>
            <w:pPr>
              <w:jc w:val="right"/>
              <w:spacing w:after="0"/>
              <w:rPr>
                <w:sz w:val="20"/>
                <w:szCs w:val="20"/>
                <w:color w:val="auto"/>
              </w:rPr>
            </w:pPr>
            <w:r>
              <w:rPr>
                <w:rFonts w:ascii="Arial" w:cs="Arial" w:eastAsia="Arial" w:hAnsi="Arial"/>
                <w:sz w:val="15"/>
                <w:szCs w:val="15"/>
                <w:color w:val="auto"/>
                <w:w w:val="71"/>
              </w:rPr>
              <w:t>$</w:t>
            </w:r>
          </w:p>
        </w:tc>
        <w:tc>
          <w:tcPr>
            <w:tcW w:w="7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0.43</w:t>
            </w:r>
          </w:p>
        </w:tc>
        <w:tc>
          <w:tcPr>
            <w:tcW w:w="14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1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79"/>
              </w:rPr>
              <w:t>$</w:t>
            </w:r>
          </w:p>
        </w:tc>
        <w:tc>
          <w:tcPr>
            <w:tcW w:w="7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0.45</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5020" w:type="dxa"/>
            <w:vAlign w:val="bottom"/>
          </w:tcPr>
          <w:p>
            <w:pPr>
              <w:spacing w:after="0" w:line="20" w:lineRule="exact"/>
              <w:rPr>
                <w:sz w:val="1"/>
                <w:szCs w:val="1"/>
                <w:color w:val="auto"/>
              </w:rPr>
            </w:pPr>
          </w:p>
        </w:tc>
        <w:tc>
          <w:tcPr>
            <w:tcW w:w="1620" w:type="dxa"/>
            <w:vAlign w:val="bottom"/>
          </w:tcPr>
          <w:p>
            <w:pPr>
              <w:spacing w:after="0" w:line="20" w:lineRule="exact"/>
              <w:rPr>
                <w:sz w:val="1"/>
                <w:szCs w:val="1"/>
                <w:color w:val="auto"/>
              </w:rPr>
            </w:pPr>
          </w:p>
        </w:tc>
        <w:tc>
          <w:tcPr>
            <w:tcW w:w="160" w:type="dxa"/>
            <w:vAlign w:val="bottom"/>
            <w:tcBorders>
              <w:bottom w:val="single" w:sz="8" w:color="auto"/>
            </w:tcBorders>
          </w:tcPr>
          <w:p>
            <w:pPr>
              <w:spacing w:after="0" w:line="20" w:lineRule="exact"/>
              <w:rPr>
                <w:sz w:val="1"/>
                <w:szCs w:val="1"/>
                <w:color w:val="auto"/>
              </w:rPr>
            </w:pPr>
          </w:p>
        </w:tc>
        <w:tc>
          <w:tcPr>
            <w:tcW w:w="620" w:type="dxa"/>
            <w:vAlign w:val="bottom"/>
            <w:tcBorders>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80" w:type="dxa"/>
            <w:vAlign w:val="bottom"/>
            <w:tcBorders>
              <w:bottom w:val="single" w:sz="8" w:color="auto"/>
            </w:tcBorders>
          </w:tcPr>
          <w:p>
            <w:pPr>
              <w:spacing w:after="0" w:line="20" w:lineRule="exact"/>
              <w:rPr>
                <w:sz w:val="1"/>
                <w:szCs w:val="1"/>
                <w:color w:val="auto"/>
              </w:rPr>
            </w:pPr>
          </w:p>
        </w:tc>
        <w:tc>
          <w:tcPr>
            <w:tcW w:w="600" w:type="dxa"/>
            <w:vAlign w:val="bottom"/>
            <w:tcBorders>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20" w:type="dxa"/>
            <w:vAlign w:val="bottom"/>
            <w:tcBorders>
              <w:bottom w:val="single" w:sz="8" w:color="auto"/>
            </w:tcBorders>
          </w:tcPr>
          <w:p>
            <w:pPr>
              <w:spacing w:after="0" w:line="20" w:lineRule="exact"/>
              <w:rPr>
                <w:sz w:val="1"/>
                <w:szCs w:val="1"/>
                <w:color w:val="auto"/>
              </w:rPr>
            </w:pPr>
          </w:p>
        </w:tc>
        <w:tc>
          <w:tcPr>
            <w:tcW w:w="62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720" w:type="dxa"/>
            <w:vAlign w:val="bottom"/>
            <w:tcBorders>
              <w:bottom w:val="single" w:sz="8" w:color="auto"/>
            </w:tcBorders>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72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0"/>
        </w:trPr>
        <w:tc>
          <w:tcPr>
            <w:tcW w:w="20" w:type="dxa"/>
            <w:vAlign w:val="bottom"/>
          </w:tcPr>
          <w:p>
            <w:pPr>
              <w:spacing w:after="0"/>
              <w:rPr>
                <w:sz w:val="18"/>
                <w:szCs w:val="18"/>
                <w:color w:val="auto"/>
              </w:rPr>
            </w:pPr>
          </w:p>
        </w:tc>
        <w:tc>
          <w:tcPr>
            <w:tcW w:w="5020" w:type="dxa"/>
            <w:vAlign w:val="bottom"/>
            <w:shd w:val="clear" w:color="auto" w:fill="CCEEFF"/>
          </w:tcPr>
          <w:p>
            <w:pPr>
              <w:spacing w:after="0"/>
              <w:rPr>
                <w:sz w:val="20"/>
                <w:szCs w:val="20"/>
                <w:color w:val="auto"/>
              </w:rPr>
            </w:pPr>
            <w:r>
              <w:rPr>
                <w:rFonts w:ascii="Arial" w:cs="Arial" w:eastAsia="Arial" w:hAnsi="Arial"/>
                <w:sz w:val="18"/>
                <w:szCs w:val="18"/>
                <w:color w:val="auto"/>
              </w:rPr>
              <w:t>Shares used in computing basic earnings per share</w:t>
            </w:r>
          </w:p>
        </w:tc>
        <w:tc>
          <w:tcPr>
            <w:tcW w:w="162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6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2"/>
              </w:rPr>
              <w:t>491,979</w:t>
            </w:r>
          </w:p>
        </w:tc>
        <w:tc>
          <w:tcPr>
            <w:tcW w:w="2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80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w w:val="89"/>
              </w:rPr>
              <w:t>494,293</w:t>
            </w:r>
          </w:p>
        </w:tc>
        <w:tc>
          <w:tcPr>
            <w:tcW w:w="120" w:type="dxa"/>
            <w:vAlign w:val="bottom"/>
            <w:shd w:val="clear" w:color="auto" w:fill="CCEEFF"/>
          </w:tcPr>
          <w:p>
            <w:pPr>
              <w:spacing w:after="0"/>
              <w:rPr>
                <w:sz w:val="18"/>
                <w:szCs w:val="18"/>
                <w:color w:val="auto"/>
              </w:rPr>
            </w:pPr>
          </w:p>
        </w:tc>
        <w:tc>
          <w:tcPr>
            <w:tcW w:w="6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2"/>
              </w:rPr>
              <w:t>553,049</w:t>
            </w:r>
          </w:p>
        </w:tc>
        <w:tc>
          <w:tcPr>
            <w:tcW w:w="1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496,151</w:t>
            </w:r>
          </w:p>
        </w:tc>
        <w:tc>
          <w:tcPr>
            <w:tcW w:w="14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565,145</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30"/>
        </w:trPr>
        <w:tc>
          <w:tcPr>
            <w:tcW w:w="20" w:type="dxa"/>
            <w:vAlign w:val="bottom"/>
          </w:tcPr>
          <w:p>
            <w:pPr>
              <w:spacing w:after="0"/>
              <w:rPr>
                <w:sz w:val="20"/>
                <w:szCs w:val="20"/>
                <w:color w:val="auto"/>
              </w:rPr>
            </w:pPr>
          </w:p>
        </w:tc>
        <w:tc>
          <w:tcPr>
            <w:tcW w:w="5020" w:type="dxa"/>
            <w:vAlign w:val="bottom"/>
          </w:tcPr>
          <w:p>
            <w:pPr>
              <w:spacing w:after="0"/>
              <w:rPr>
                <w:sz w:val="20"/>
                <w:szCs w:val="20"/>
                <w:color w:val="auto"/>
              </w:rPr>
            </w:pPr>
            <w:r>
              <w:rPr>
                <w:rFonts w:ascii="Arial" w:cs="Arial" w:eastAsia="Arial" w:hAnsi="Arial"/>
                <w:sz w:val="18"/>
                <w:szCs w:val="18"/>
                <w:color w:val="auto"/>
              </w:rPr>
              <w:t>Shares used in computing diluted earnings per share</w:t>
            </w:r>
          </w:p>
        </w:tc>
        <w:tc>
          <w:tcPr>
            <w:tcW w:w="1620" w:type="dxa"/>
            <w:vAlign w:val="bottom"/>
          </w:tcPr>
          <w:p>
            <w:pPr>
              <w:spacing w:after="0"/>
              <w:rPr>
                <w:sz w:val="20"/>
                <w:szCs w:val="20"/>
                <w:color w:val="auto"/>
              </w:rPr>
            </w:pPr>
          </w:p>
        </w:tc>
        <w:tc>
          <w:tcPr>
            <w:tcW w:w="160" w:type="dxa"/>
            <w:vAlign w:val="bottom"/>
          </w:tcPr>
          <w:p>
            <w:pPr>
              <w:spacing w:after="0"/>
              <w:rPr>
                <w:sz w:val="20"/>
                <w:szCs w:val="20"/>
                <w:color w:val="auto"/>
              </w:rPr>
            </w:pPr>
          </w:p>
        </w:tc>
        <w:tc>
          <w:tcPr>
            <w:tcW w:w="620" w:type="dxa"/>
            <w:vAlign w:val="bottom"/>
          </w:tcPr>
          <w:p>
            <w:pPr>
              <w:jc w:val="right"/>
              <w:spacing w:after="0"/>
              <w:rPr>
                <w:sz w:val="20"/>
                <w:szCs w:val="20"/>
                <w:color w:val="auto"/>
              </w:rPr>
            </w:pPr>
            <w:r>
              <w:rPr>
                <w:rFonts w:ascii="Arial" w:cs="Arial" w:eastAsia="Arial" w:hAnsi="Arial"/>
                <w:sz w:val="18"/>
                <w:szCs w:val="18"/>
                <w:color w:val="auto"/>
                <w:w w:val="92"/>
              </w:rPr>
              <w:t>501,189</w:t>
            </w:r>
          </w:p>
        </w:tc>
        <w:tc>
          <w:tcPr>
            <w:tcW w:w="220" w:type="dxa"/>
            <w:vAlign w:val="bottom"/>
          </w:tcPr>
          <w:p>
            <w:pPr>
              <w:spacing w:after="0"/>
              <w:rPr>
                <w:sz w:val="20"/>
                <w:szCs w:val="20"/>
                <w:color w:val="auto"/>
              </w:rPr>
            </w:pPr>
          </w:p>
        </w:tc>
        <w:tc>
          <w:tcPr>
            <w:tcW w:w="80" w:type="dxa"/>
            <w:vAlign w:val="bottom"/>
          </w:tcPr>
          <w:p>
            <w:pPr>
              <w:spacing w:after="0"/>
              <w:rPr>
                <w:sz w:val="20"/>
                <w:szCs w:val="20"/>
                <w:color w:val="auto"/>
              </w:rPr>
            </w:pPr>
          </w:p>
        </w:tc>
        <w:tc>
          <w:tcPr>
            <w:tcW w:w="800" w:type="dxa"/>
            <w:vAlign w:val="bottom"/>
            <w:gridSpan w:val="2"/>
          </w:tcPr>
          <w:p>
            <w:pPr>
              <w:jc w:val="right"/>
              <w:ind w:right="200"/>
              <w:spacing w:after="0"/>
              <w:rPr>
                <w:sz w:val="20"/>
                <w:szCs w:val="20"/>
                <w:color w:val="auto"/>
              </w:rPr>
            </w:pPr>
            <w:r>
              <w:rPr>
                <w:rFonts w:ascii="Arial" w:cs="Arial" w:eastAsia="Arial" w:hAnsi="Arial"/>
                <w:sz w:val="18"/>
                <w:szCs w:val="18"/>
                <w:color w:val="auto"/>
                <w:w w:val="89"/>
              </w:rPr>
              <w:t>500,625</w:t>
            </w:r>
          </w:p>
        </w:tc>
        <w:tc>
          <w:tcPr>
            <w:tcW w:w="120" w:type="dxa"/>
            <w:vAlign w:val="bottom"/>
          </w:tcPr>
          <w:p>
            <w:pPr>
              <w:spacing w:after="0"/>
              <w:rPr>
                <w:sz w:val="20"/>
                <w:szCs w:val="20"/>
                <w:color w:val="auto"/>
              </w:rPr>
            </w:pPr>
          </w:p>
        </w:tc>
        <w:tc>
          <w:tcPr>
            <w:tcW w:w="620" w:type="dxa"/>
            <w:vAlign w:val="bottom"/>
          </w:tcPr>
          <w:p>
            <w:pPr>
              <w:jc w:val="right"/>
              <w:spacing w:after="0"/>
              <w:rPr>
                <w:sz w:val="20"/>
                <w:szCs w:val="20"/>
                <w:color w:val="auto"/>
              </w:rPr>
            </w:pPr>
            <w:r>
              <w:rPr>
                <w:rFonts w:ascii="Arial" w:cs="Arial" w:eastAsia="Arial" w:hAnsi="Arial"/>
                <w:sz w:val="18"/>
                <w:szCs w:val="18"/>
                <w:color w:val="auto"/>
                <w:w w:val="92"/>
              </w:rPr>
              <w:t>559,348</w:t>
            </w:r>
          </w:p>
        </w:tc>
        <w:tc>
          <w:tcPr>
            <w:tcW w:w="10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502,401</w:t>
            </w:r>
          </w:p>
        </w:tc>
        <w:tc>
          <w:tcPr>
            <w:tcW w:w="140" w:type="dxa"/>
            <w:vAlign w:val="bottom"/>
          </w:tcPr>
          <w:p>
            <w:pPr>
              <w:spacing w:after="0"/>
              <w:rPr>
                <w:sz w:val="20"/>
                <w:szCs w:val="20"/>
                <w:color w:val="auto"/>
              </w:rPr>
            </w:pPr>
          </w:p>
        </w:tc>
        <w:tc>
          <w:tcPr>
            <w:tcW w:w="6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574,804</w:t>
            </w:r>
          </w:p>
        </w:tc>
        <w:tc>
          <w:tcPr>
            <w:tcW w:w="10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350"/>
        </w:trPr>
        <w:tc>
          <w:tcPr>
            <w:tcW w:w="20" w:type="dxa"/>
            <w:vAlign w:val="bottom"/>
          </w:tcPr>
          <w:p>
            <w:pPr>
              <w:spacing w:after="0"/>
              <w:rPr>
                <w:sz w:val="24"/>
                <w:szCs w:val="24"/>
                <w:color w:val="auto"/>
              </w:rPr>
            </w:pPr>
          </w:p>
        </w:tc>
        <w:tc>
          <w:tcPr>
            <w:tcW w:w="5020" w:type="dxa"/>
            <w:vAlign w:val="bottom"/>
          </w:tcPr>
          <w:p>
            <w:pPr>
              <w:spacing w:after="0"/>
              <w:rPr>
                <w:sz w:val="24"/>
                <w:szCs w:val="24"/>
                <w:color w:val="auto"/>
              </w:rPr>
            </w:pPr>
          </w:p>
        </w:tc>
        <w:tc>
          <w:tcPr>
            <w:tcW w:w="1620" w:type="dxa"/>
            <w:vAlign w:val="bottom"/>
          </w:tcPr>
          <w:p>
            <w:pPr>
              <w:jc w:val="right"/>
              <w:ind w:right="810"/>
              <w:spacing w:after="0"/>
              <w:rPr>
                <w:sz w:val="20"/>
                <w:szCs w:val="20"/>
                <w:color w:val="auto"/>
              </w:rPr>
            </w:pPr>
            <w:r>
              <w:rPr>
                <w:rFonts w:ascii="Arial" w:cs="Arial" w:eastAsia="Arial" w:hAnsi="Arial"/>
                <w:sz w:val="18"/>
                <w:szCs w:val="18"/>
                <w:color w:val="auto"/>
              </w:rPr>
              <w:t>7</w:t>
            </w:r>
          </w:p>
        </w:tc>
        <w:tc>
          <w:tcPr>
            <w:tcW w:w="160" w:type="dxa"/>
            <w:vAlign w:val="bottom"/>
          </w:tcPr>
          <w:p>
            <w:pPr>
              <w:spacing w:after="0"/>
              <w:rPr>
                <w:sz w:val="24"/>
                <w:szCs w:val="24"/>
                <w:color w:val="auto"/>
              </w:rPr>
            </w:pPr>
          </w:p>
        </w:tc>
        <w:tc>
          <w:tcPr>
            <w:tcW w:w="62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60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6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1420"/>
          </w:cols>
          <w:pgMar w:left="240" w:top="270" w:right="239" w:bottom="1440" w:gutter="0" w:footer="0" w:header="0"/>
        </w:sectPr>
      </w:pPr>
    </w:p>
    <w:bookmarkStart w:id="13" w:name="page14"/>
    <w:bookmarkEnd w:id="13"/>
    <w:p>
      <w:pPr>
        <w:jc w:val="center"/>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0">
                      <a:extLst>
                        <a:ext uri="{28A0092B-C50C-407E-A947-70E740481C1C}"/>
                      </a:extLst>
                    </a:blip>
                    <a:srcRect/>
                    <a:stretch>
                      <a:fillRect/>
                    </a:stretch>
                  </pic:blipFill>
                  <pic:spPr bwMode="auto">
                    <a:xfrm>
                      <a:off x="0" y="0"/>
                      <a:ext cx="7289165" cy="38735"/>
                    </a:xfrm>
                    <a:prstGeom prst="rect">
                      <a:avLst/>
                    </a:prstGeom>
                    <a:noFill/>
                  </pic:spPr>
                </pic:pic>
              </a:graphicData>
            </a:graphic>
          </wp:anchor>
        </w:drawing>
        <w:t>Marvell Technology Group Ltd.</w:t>
      </w:r>
    </w:p>
    <w:p>
      <w:pPr>
        <w:spacing w:after="0" w:line="2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Condensed Consolidated Balance Sheets</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(Unaudited)</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(In thousands)</w:t>
      </w:r>
    </w:p>
    <w:p>
      <w:pPr>
        <w:spacing w:after="0" w:line="217"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4840" w:type="dxa"/>
            <w:vAlign w:val="bottom"/>
          </w:tcPr>
          <w:p>
            <w:pPr>
              <w:spacing w:after="0"/>
              <w:rPr>
                <w:sz w:val="14"/>
                <w:szCs w:val="14"/>
                <w:color w:val="auto"/>
              </w:rPr>
            </w:pPr>
          </w:p>
        </w:tc>
        <w:tc>
          <w:tcPr>
            <w:tcW w:w="4620" w:type="dxa"/>
            <w:vAlign w:val="bottom"/>
          </w:tcPr>
          <w:p>
            <w:pPr>
              <w:spacing w:after="0"/>
              <w:rPr>
                <w:sz w:val="14"/>
                <w:szCs w:val="14"/>
                <w:color w:val="auto"/>
              </w:rPr>
            </w:pPr>
          </w:p>
        </w:tc>
        <w:tc>
          <w:tcPr>
            <w:tcW w:w="920" w:type="dxa"/>
            <w:vAlign w:val="bottom"/>
            <w:gridSpan w:val="3"/>
          </w:tcPr>
          <w:p>
            <w:pPr>
              <w:ind w:left="20"/>
              <w:spacing w:after="0"/>
              <w:rPr>
                <w:sz w:val="20"/>
                <w:szCs w:val="20"/>
                <w:color w:val="auto"/>
              </w:rPr>
            </w:pPr>
            <w:r>
              <w:rPr>
                <w:rFonts w:ascii="Arial" w:cs="Arial" w:eastAsia="Arial" w:hAnsi="Arial"/>
                <w:sz w:val="14"/>
                <w:szCs w:val="14"/>
                <w:b w:val="1"/>
                <w:bCs w:val="1"/>
                <w:color w:val="auto"/>
              </w:rPr>
              <w:t>November 2,</w:t>
            </w:r>
          </w:p>
        </w:tc>
        <w:tc>
          <w:tcPr>
            <w:tcW w:w="100" w:type="dxa"/>
            <w:vAlign w:val="bottom"/>
          </w:tcPr>
          <w:p>
            <w:pPr>
              <w:spacing w:after="0"/>
              <w:rPr>
                <w:sz w:val="14"/>
                <w:szCs w:val="14"/>
                <w:color w:val="auto"/>
              </w:rPr>
            </w:pPr>
          </w:p>
        </w:tc>
        <w:tc>
          <w:tcPr>
            <w:tcW w:w="920" w:type="dxa"/>
            <w:vAlign w:val="bottom"/>
            <w:gridSpan w:val="3"/>
          </w:tcPr>
          <w:p>
            <w:pPr>
              <w:jc w:val="right"/>
              <w:ind w:right="140"/>
              <w:spacing w:after="0"/>
              <w:rPr>
                <w:sz w:val="20"/>
                <w:szCs w:val="20"/>
                <w:color w:val="auto"/>
              </w:rPr>
            </w:pPr>
            <w:r>
              <w:rPr>
                <w:rFonts w:ascii="Arial" w:cs="Arial" w:eastAsia="Arial" w:hAnsi="Arial"/>
                <w:sz w:val="14"/>
                <w:szCs w:val="14"/>
                <w:b w:val="1"/>
                <w:bCs w:val="1"/>
                <w:color w:val="auto"/>
              </w:rPr>
              <w:t>February 2,</w:t>
            </w:r>
          </w:p>
        </w:tc>
        <w:tc>
          <w:tcPr>
            <w:tcW w:w="0" w:type="dxa"/>
            <w:vAlign w:val="bottom"/>
          </w:tcPr>
          <w:p>
            <w:pPr>
              <w:spacing w:after="0"/>
              <w:rPr>
                <w:sz w:val="1"/>
                <w:szCs w:val="1"/>
                <w:color w:val="auto"/>
              </w:rPr>
            </w:pPr>
          </w:p>
        </w:tc>
      </w:tr>
      <w:tr>
        <w:trPr>
          <w:trHeight w:val="171"/>
        </w:trPr>
        <w:tc>
          <w:tcPr>
            <w:tcW w:w="20" w:type="dxa"/>
            <w:vAlign w:val="bottom"/>
          </w:tcPr>
          <w:p>
            <w:pPr>
              <w:spacing w:after="0"/>
              <w:rPr>
                <w:sz w:val="14"/>
                <w:szCs w:val="14"/>
                <w:color w:val="auto"/>
              </w:rPr>
            </w:pPr>
          </w:p>
        </w:tc>
        <w:tc>
          <w:tcPr>
            <w:tcW w:w="4840" w:type="dxa"/>
            <w:vAlign w:val="bottom"/>
            <w:tcBorders>
              <w:bottom w:val="single" w:sz="8" w:color="CCEEFF"/>
            </w:tcBorders>
          </w:tcPr>
          <w:p>
            <w:pPr>
              <w:spacing w:after="0"/>
              <w:rPr>
                <w:sz w:val="14"/>
                <w:szCs w:val="14"/>
                <w:color w:val="auto"/>
              </w:rPr>
            </w:pPr>
          </w:p>
        </w:tc>
        <w:tc>
          <w:tcPr>
            <w:tcW w:w="4620" w:type="dxa"/>
            <w:vAlign w:val="bottom"/>
            <w:tcBorders>
              <w:bottom w:val="single" w:sz="8" w:color="CCEEFF"/>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720" w:type="dxa"/>
            <w:vAlign w:val="bottom"/>
            <w:tcBorders>
              <w:bottom w:val="single" w:sz="8" w:color="auto"/>
            </w:tcBorders>
          </w:tcPr>
          <w:p>
            <w:pPr>
              <w:jc w:val="right"/>
              <w:ind w:right="171"/>
              <w:spacing w:after="0"/>
              <w:rPr>
                <w:sz w:val="20"/>
                <w:szCs w:val="20"/>
                <w:color w:val="auto"/>
              </w:rPr>
            </w:pPr>
            <w:r>
              <w:rPr>
                <w:rFonts w:ascii="Arial" w:cs="Arial" w:eastAsia="Arial" w:hAnsi="Arial"/>
                <w:sz w:val="14"/>
                <w:szCs w:val="14"/>
                <w:b w:val="1"/>
                <w:bCs w:val="1"/>
                <w:color w:val="auto"/>
              </w:rPr>
              <w:t>2013</w:t>
            </w:r>
          </w:p>
        </w:tc>
        <w:tc>
          <w:tcPr>
            <w:tcW w:w="100" w:type="dxa"/>
            <w:vAlign w:val="bottom"/>
            <w:tcBorders>
              <w:bottom w:val="single" w:sz="8" w:color="CCEEFF"/>
            </w:tcBorders>
          </w:tcPr>
          <w:p>
            <w:pPr>
              <w:spacing w:after="0"/>
              <w:rPr>
                <w:sz w:val="14"/>
                <w:szCs w:val="14"/>
                <w:color w:val="auto"/>
              </w:rPr>
            </w:pPr>
          </w:p>
        </w:tc>
        <w:tc>
          <w:tcPr>
            <w:tcW w:w="100" w:type="dxa"/>
            <w:vAlign w:val="bottom"/>
            <w:tcBorders>
              <w:bottom w:val="single" w:sz="8" w:color="CCEEFF"/>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720" w:type="dxa"/>
            <w:vAlign w:val="bottom"/>
            <w:tcBorders>
              <w:bottom w:val="single" w:sz="8" w:color="auto"/>
            </w:tcBorders>
          </w:tcPr>
          <w:p>
            <w:pPr>
              <w:jc w:val="right"/>
              <w:ind w:right="171"/>
              <w:spacing w:after="0"/>
              <w:rPr>
                <w:sz w:val="20"/>
                <w:szCs w:val="20"/>
                <w:color w:val="auto"/>
              </w:rPr>
            </w:pPr>
            <w:r>
              <w:rPr>
                <w:rFonts w:ascii="Arial" w:cs="Arial" w:eastAsia="Arial" w:hAnsi="Arial"/>
                <w:sz w:val="14"/>
                <w:szCs w:val="14"/>
                <w:b w:val="1"/>
                <w:bCs w:val="1"/>
                <w:color w:val="auto"/>
              </w:rPr>
              <w:t>2013</w:t>
            </w:r>
          </w:p>
        </w:tc>
        <w:tc>
          <w:tcPr>
            <w:tcW w:w="100" w:type="dxa"/>
            <w:vAlign w:val="bottom"/>
            <w:tcBorders>
              <w:bottom w:val="single" w:sz="8" w:color="CCEEFF"/>
            </w:tcBorders>
          </w:tcPr>
          <w:p>
            <w:pPr>
              <w:spacing w:after="0"/>
              <w:rPr>
                <w:sz w:val="14"/>
                <w:szCs w:val="14"/>
                <w:color w:val="auto"/>
              </w:rPr>
            </w:pPr>
          </w:p>
        </w:tc>
        <w:tc>
          <w:tcPr>
            <w:tcW w:w="0" w:type="dxa"/>
            <w:vAlign w:val="bottom"/>
          </w:tcPr>
          <w:p>
            <w:pPr>
              <w:spacing w:after="0"/>
              <w:rPr>
                <w:sz w:val="1"/>
                <w:szCs w:val="1"/>
                <w:color w:val="auto"/>
              </w:rPr>
            </w:pPr>
          </w:p>
        </w:tc>
      </w:tr>
      <w:tr>
        <w:trPr>
          <w:trHeight w:val="196"/>
        </w:trPr>
        <w:tc>
          <w:tcPr>
            <w:tcW w:w="20" w:type="dxa"/>
            <w:vAlign w:val="bottom"/>
          </w:tcPr>
          <w:p>
            <w:pPr>
              <w:spacing w:after="0"/>
              <w:rPr>
                <w:sz w:val="17"/>
                <w:szCs w:val="17"/>
                <w:color w:val="auto"/>
              </w:rPr>
            </w:pPr>
          </w:p>
        </w:tc>
        <w:tc>
          <w:tcPr>
            <w:tcW w:w="4840" w:type="dxa"/>
            <w:vAlign w:val="bottom"/>
            <w:shd w:val="clear" w:color="auto" w:fill="CCEEFF"/>
          </w:tcPr>
          <w:p>
            <w:pPr>
              <w:spacing w:after="0" w:line="196" w:lineRule="exact"/>
              <w:rPr>
                <w:sz w:val="20"/>
                <w:szCs w:val="20"/>
                <w:color w:val="auto"/>
              </w:rPr>
            </w:pPr>
            <w:r>
              <w:rPr>
                <w:rFonts w:ascii="Arial" w:cs="Arial" w:eastAsia="Arial" w:hAnsi="Arial"/>
                <w:sz w:val="18"/>
                <w:szCs w:val="18"/>
                <w:b w:val="1"/>
                <w:bCs w:val="1"/>
                <w:color w:val="auto"/>
              </w:rPr>
              <w:t>Assets</w:t>
            </w:r>
          </w:p>
        </w:tc>
        <w:tc>
          <w:tcPr>
            <w:tcW w:w="462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72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72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840" w:type="dxa"/>
            <w:vAlign w:val="bottom"/>
          </w:tcPr>
          <w:p>
            <w:pPr>
              <w:spacing w:after="0"/>
              <w:rPr>
                <w:sz w:val="20"/>
                <w:szCs w:val="20"/>
                <w:color w:val="auto"/>
              </w:rPr>
            </w:pPr>
            <w:r>
              <w:rPr>
                <w:rFonts w:ascii="Arial" w:cs="Arial" w:eastAsia="Arial" w:hAnsi="Arial"/>
                <w:sz w:val="18"/>
                <w:szCs w:val="18"/>
                <w:color w:val="auto"/>
              </w:rPr>
              <w:t>Current assets:</w:t>
            </w:r>
          </w:p>
        </w:tc>
        <w:tc>
          <w:tcPr>
            <w:tcW w:w="46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840" w:type="dxa"/>
            <w:vAlign w:val="bottom"/>
            <w:shd w:val="clear" w:color="auto" w:fill="CCEEFF"/>
          </w:tcPr>
          <w:p>
            <w:pPr>
              <w:ind w:left="340"/>
              <w:spacing w:after="0"/>
              <w:rPr>
                <w:sz w:val="20"/>
                <w:szCs w:val="20"/>
                <w:color w:val="auto"/>
              </w:rPr>
            </w:pPr>
            <w:r>
              <w:rPr>
                <w:rFonts w:ascii="Arial" w:cs="Arial" w:eastAsia="Arial" w:hAnsi="Arial"/>
                <w:sz w:val="18"/>
                <w:szCs w:val="18"/>
                <w:color w:val="auto"/>
              </w:rPr>
              <w:t>Cash, cash equivalents, and short-term investments</w:t>
            </w:r>
          </w:p>
        </w:tc>
        <w:tc>
          <w:tcPr>
            <w:tcW w:w="47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7"/>
              </w:rPr>
              <w:t>1,804,068</w:t>
            </w:r>
          </w:p>
        </w:tc>
        <w:tc>
          <w:tcPr>
            <w:tcW w:w="100" w:type="dxa"/>
            <w:vAlign w:val="bottom"/>
            <w:shd w:val="clear" w:color="auto" w:fill="CCEEFF"/>
          </w:tcPr>
          <w:p>
            <w:pPr>
              <w:spacing w:after="0"/>
              <w:rPr>
                <w:sz w:val="18"/>
                <w:szCs w:val="18"/>
                <w:color w:val="auto"/>
              </w:rPr>
            </w:pPr>
          </w:p>
        </w:tc>
        <w:tc>
          <w:tcPr>
            <w:tcW w:w="2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7"/>
              </w:rPr>
              <w:t>1,918,990</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840" w:type="dxa"/>
            <w:vAlign w:val="bottom"/>
          </w:tcPr>
          <w:p>
            <w:pPr>
              <w:ind w:left="340"/>
              <w:spacing w:after="0"/>
              <w:rPr>
                <w:sz w:val="20"/>
                <w:szCs w:val="20"/>
                <w:color w:val="auto"/>
              </w:rPr>
            </w:pPr>
            <w:r>
              <w:rPr>
                <w:rFonts w:ascii="Arial" w:cs="Arial" w:eastAsia="Arial" w:hAnsi="Arial"/>
                <w:sz w:val="18"/>
                <w:szCs w:val="18"/>
                <w:color w:val="auto"/>
              </w:rPr>
              <w:t>Accounts receivable, net</w:t>
            </w:r>
          </w:p>
        </w:tc>
        <w:tc>
          <w:tcPr>
            <w:tcW w:w="46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466,729</w:t>
            </w:r>
          </w:p>
        </w:tc>
        <w:tc>
          <w:tcPr>
            <w:tcW w:w="1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330,238</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840" w:type="dxa"/>
            <w:vAlign w:val="bottom"/>
            <w:shd w:val="clear" w:color="auto" w:fill="CCEEFF"/>
          </w:tcPr>
          <w:p>
            <w:pPr>
              <w:ind w:left="340"/>
              <w:spacing w:after="0"/>
              <w:rPr>
                <w:sz w:val="20"/>
                <w:szCs w:val="20"/>
                <w:color w:val="auto"/>
              </w:rPr>
            </w:pPr>
            <w:r>
              <w:rPr>
                <w:rFonts w:ascii="Arial" w:cs="Arial" w:eastAsia="Arial" w:hAnsi="Arial"/>
                <w:sz w:val="18"/>
                <w:szCs w:val="18"/>
                <w:color w:val="auto"/>
              </w:rPr>
              <w:t>Inventories</w:t>
            </w:r>
          </w:p>
        </w:tc>
        <w:tc>
          <w:tcPr>
            <w:tcW w:w="46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380,412</w:t>
            </w:r>
          </w:p>
        </w:tc>
        <w:tc>
          <w:tcPr>
            <w:tcW w:w="1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250,420</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4840" w:type="dxa"/>
            <w:vAlign w:val="bottom"/>
          </w:tcPr>
          <w:p>
            <w:pPr>
              <w:ind w:left="340"/>
              <w:spacing w:after="0"/>
              <w:rPr>
                <w:sz w:val="20"/>
                <w:szCs w:val="20"/>
                <w:color w:val="auto"/>
              </w:rPr>
            </w:pPr>
            <w:r>
              <w:rPr>
                <w:rFonts w:ascii="Arial" w:cs="Arial" w:eastAsia="Arial" w:hAnsi="Arial"/>
                <w:sz w:val="18"/>
                <w:szCs w:val="18"/>
                <w:color w:val="auto"/>
              </w:rPr>
              <w:t>Prepaid expenses and other current assets</w:t>
            </w:r>
          </w:p>
        </w:tc>
        <w:tc>
          <w:tcPr>
            <w:tcW w:w="46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rPr>
              <w:t>66,450</w:t>
            </w:r>
          </w:p>
        </w:tc>
        <w:tc>
          <w:tcPr>
            <w:tcW w:w="10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rPr>
              <w:t>85,698</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840" w:type="dxa"/>
            <w:vAlign w:val="bottom"/>
            <w:shd w:val="clear" w:color="auto" w:fill="CCEEFF"/>
          </w:tcPr>
          <w:p>
            <w:pPr>
              <w:ind w:left="700"/>
              <w:spacing w:after="0"/>
              <w:rPr>
                <w:sz w:val="20"/>
                <w:szCs w:val="20"/>
                <w:color w:val="auto"/>
              </w:rPr>
            </w:pPr>
            <w:r>
              <w:rPr>
                <w:rFonts w:ascii="Arial" w:cs="Arial" w:eastAsia="Arial" w:hAnsi="Arial"/>
                <w:sz w:val="18"/>
                <w:szCs w:val="18"/>
                <w:color w:val="auto"/>
              </w:rPr>
              <w:t>Total current assets</w:t>
            </w:r>
          </w:p>
        </w:tc>
        <w:tc>
          <w:tcPr>
            <w:tcW w:w="4620" w:type="dxa"/>
            <w:vAlign w:val="bottom"/>
            <w:shd w:val="clear" w:color="auto" w:fill="CCEEFF"/>
          </w:tcPr>
          <w:p>
            <w:pPr>
              <w:spacing w:after="0"/>
              <w:rPr>
                <w:sz w:val="18"/>
                <w:szCs w:val="18"/>
                <w:color w:val="auto"/>
              </w:rPr>
            </w:pPr>
          </w:p>
        </w:tc>
        <w:tc>
          <w:tcPr>
            <w:tcW w:w="100" w:type="dxa"/>
            <w:vAlign w:val="bottom"/>
            <w:tcBorders>
              <w:top w:val="single" w:sz="8" w:color="auto"/>
            </w:tcBorders>
            <w:shd w:val="clear" w:color="auto" w:fill="CCEEFF"/>
          </w:tcPr>
          <w:p>
            <w:pPr>
              <w:spacing w:after="0"/>
              <w:rPr>
                <w:sz w:val="18"/>
                <w:szCs w:val="18"/>
                <w:color w:val="auto"/>
              </w:rPr>
            </w:pPr>
          </w:p>
        </w:tc>
        <w:tc>
          <w:tcPr>
            <w:tcW w:w="7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7"/>
              </w:rPr>
              <w:t>2,717,659</w:t>
            </w:r>
          </w:p>
        </w:tc>
        <w:tc>
          <w:tcPr>
            <w:tcW w:w="1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00" w:type="dxa"/>
            <w:vAlign w:val="bottom"/>
            <w:tcBorders>
              <w:top w:val="single" w:sz="8" w:color="auto"/>
            </w:tcBorders>
            <w:shd w:val="clear" w:color="auto" w:fill="CCEEFF"/>
          </w:tcPr>
          <w:p>
            <w:pPr>
              <w:spacing w:after="0"/>
              <w:rPr>
                <w:sz w:val="18"/>
                <w:szCs w:val="18"/>
                <w:color w:val="auto"/>
              </w:rPr>
            </w:pPr>
          </w:p>
        </w:tc>
        <w:tc>
          <w:tcPr>
            <w:tcW w:w="7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7"/>
              </w:rPr>
              <w:t>2,585,346</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840" w:type="dxa"/>
            <w:vAlign w:val="bottom"/>
          </w:tcPr>
          <w:p>
            <w:pPr>
              <w:spacing w:after="0"/>
              <w:rPr>
                <w:sz w:val="20"/>
                <w:szCs w:val="20"/>
                <w:color w:val="auto"/>
              </w:rPr>
            </w:pPr>
            <w:r>
              <w:rPr>
                <w:rFonts w:ascii="Arial" w:cs="Arial" w:eastAsia="Arial" w:hAnsi="Arial"/>
                <w:sz w:val="18"/>
                <w:szCs w:val="18"/>
                <w:color w:val="auto"/>
              </w:rPr>
              <w:t>Property and equipment, net</w:t>
            </w:r>
          </w:p>
        </w:tc>
        <w:tc>
          <w:tcPr>
            <w:tcW w:w="46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358,150</w:t>
            </w:r>
          </w:p>
        </w:tc>
        <w:tc>
          <w:tcPr>
            <w:tcW w:w="1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372,971</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840" w:type="dxa"/>
            <w:vAlign w:val="bottom"/>
            <w:shd w:val="clear" w:color="auto" w:fill="CCEEFF"/>
          </w:tcPr>
          <w:p>
            <w:pPr>
              <w:spacing w:after="0"/>
              <w:rPr>
                <w:sz w:val="20"/>
                <w:szCs w:val="20"/>
                <w:color w:val="auto"/>
              </w:rPr>
            </w:pPr>
            <w:r>
              <w:rPr>
                <w:rFonts w:ascii="Arial" w:cs="Arial" w:eastAsia="Arial" w:hAnsi="Arial"/>
                <w:sz w:val="18"/>
                <w:szCs w:val="18"/>
                <w:color w:val="auto"/>
              </w:rPr>
              <w:t>Long-term investments</w:t>
            </w:r>
          </w:p>
        </w:tc>
        <w:tc>
          <w:tcPr>
            <w:tcW w:w="46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16,158</w:t>
            </w:r>
          </w:p>
        </w:tc>
        <w:tc>
          <w:tcPr>
            <w:tcW w:w="1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16,769</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840" w:type="dxa"/>
            <w:vAlign w:val="bottom"/>
          </w:tcPr>
          <w:p>
            <w:pPr>
              <w:spacing w:after="0"/>
              <w:rPr>
                <w:sz w:val="20"/>
                <w:szCs w:val="20"/>
                <w:color w:val="auto"/>
              </w:rPr>
            </w:pPr>
            <w:r>
              <w:rPr>
                <w:rFonts w:ascii="Arial" w:cs="Arial" w:eastAsia="Arial" w:hAnsi="Arial"/>
                <w:sz w:val="18"/>
                <w:szCs w:val="18"/>
                <w:color w:val="auto"/>
              </w:rPr>
              <w:t>Goodwill and acquired intangible assets, net</w:t>
            </w:r>
          </w:p>
        </w:tc>
        <w:tc>
          <w:tcPr>
            <w:tcW w:w="46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w w:val="87"/>
              </w:rPr>
              <w:t>2,093,610</w:t>
            </w:r>
          </w:p>
        </w:tc>
        <w:tc>
          <w:tcPr>
            <w:tcW w:w="1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w w:val="87"/>
              </w:rPr>
              <w:t>2,121,793</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840" w:type="dxa"/>
            <w:vAlign w:val="bottom"/>
            <w:shd w:val="clear" w:color="auto" w:fill="CCEEFF"/>
          </w:tcPr>
          <w:p>
            <w:pPr>
              <w:spacing w:after="0"/>
              <w:rPr>
                <w:sz w:val="20"/>
                <w:szCs w:val="20"/>
                <w:color w:val="auto"/>
              </w:rPr>
            </w:pPr>
            <w:r>
              <w:rPr>
                <w:rFonts w:ascii="Arial" w:cs="Arial" w:eastAsia="Arial" w:hAnsi="Arial"/>
                <w:sz w:val="18"/>
                <w:szCs w:val="18"/>
                <w:color w:val="auto"/>
              </w:rPr>
              <w:t>Other non-current assets</w:t>
            </w:r>
          </w:p>
        </w:tc>
        <w:tc>
          <w:tcPr>
            <w:tcW w:w="462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7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162,379</w:t>
            </w:r>
          </w:p>
        </w:tc>
        <w:tc>
          <w:tcPr>
            <w:tcW w:w="1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7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164,885</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4840" w:type="dxa"/>
            <w:vAlign w:val="bottom"/>
          </w:tcPr>
          <w:p>
            <w:pPr>
              <w:ind w:left="700"/>
              <w:spacing w:after="0"/>
              <w:rPr>
                <w:sz w:val="20"/>
                <w:szCs w:val="20"/>
                <w:color w:val="auto"/>
              </w:rPr>
            </w:pPr>
            <w:r>
              <w:rPr>
                <w:rFonts w:ascii="Arial" w:cs="Arial" w:eastAsia="Arial" w:hAnsi="Arial"/>
                <w:sz w:val="18"/>
                <w:szCs w:val="18"/>
                <w:color w:val="auto"/>
              </w:rPr>
              <w:t>Total assets</w:t>
            </w:r>
          </w:p>
        </w:tc>
        <w:tc>
          <w:tcPr>
            <w:tcW w:w="4620" w:type="dxa"/>
            <w:vAlign w:val="bottom"/>
          </w:tcPr>
          <w:p>
            <w:pPr>
              <w:spacing w:after="0"/>
              <w:rPr>
                <w:sz w:val="19"/>
                <w:szCs w:val="19"/>
                <w:color w:val="auto"/>
              </w:rPr>
            </w:pPr>
          </w:p>
        </w:tc>
        <w:tc>
          <w:tcPr>
            <w:tcW w:w="100" w:type="dxa"/>
            <w:vAlign w:val="bottom"/>
            <w:tcBorders>
              <w:bottom w:val="single" w:sz="8" w:color="auto"/>
            </w:tcBorders>
          </w:tcPr>
          <w:p>
            <w:pPr>
              <w:jc w:val="right"/>
              <w:spacing w:after="0"/>
              <w:rPr>
                <w:sz w:val="20"/>
                <w:szCs w:val="20"/>
                <w:color w:val="auto"/>
              </w:rPr>
            </w:pPr>
            <w:r>
              <w:rPr>
                <w:rFonts w:ascii="Arial" w:cs="Arial" w:eastAsia="Arial" w:hAnsi="Arial"/>
                <w:sz w:val="15"/>
                <w:szCs w:val="15"/>
                <w:u w:val="single" w:color="auto"/>
                <w:color w:val="auto"/>
                <w:w w:val="71"/>
              </w:rPr>
              <w:t>$</w:t>
            </w:r>
          </w:p>
        </w:tc>
        <w:tc>
          <w:tcPr>
            <w:tcW w:w="7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87"/>
              </w:rPr>
              <w:t>5,347,956</w:t>
            </w:r>
          </w:p>
        </w:tc>
        <w:tc>
          <w:tcPr>
            <w:tcW w:w="10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100" w:type="dxa"/>
            <w:vAlign w:val="bottom"/>
            <w:tcBorders>
              <w:bottom w:val="single" w:sz="8" w:color="auto"/>
            </w:tcBorders>
          </w:tcPr>
          <w:p>
            <w:pPr>
              <w:jc w:val="right"/>
              <w:spacing w:after="0"/>
              <w:rPr>
                <w:sz w:val="20"/>
                <w:szCs w:val="20"/>
                <w:color w:val="auto"/>
              </w:rPr>
            </w:pPr>
            <w:r>
              <w:rPr>
                <w:rFonts w:ascii="Arial" w:cs="Arial" w:eastAsia="Arial" w:hAnsi="Arial"/>
                <w:sz w:val="18"/>
                <w:szCs w:val="18"/>
                <w:u w:val="single" w:color="auto"/>
                <w:color w:val="auto"/>
                <w:w w:val="79"/>
              </w:rPr>
              <w:t>$</w:t>
            </w:r>
          </w:p>
        </w:tc>
        <w:tc>
          <w:tcPr>
            <w:tcW w:w="7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87"/>
              </w:rPr>
              <w:t>5,261,764</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4840" w:type="dxa"/>
            <w:vAlign w:val="bottom"/>
          </w:tcPr>
          <w:p>
            <w:pPr>
              <w:spacing w:after="0" w:line="20" w:lineRule="exact"/>
              <w:rPr>
                <w:sz w:val="1"/>
                <w:szCs w:val="1"/>
                <w:color w:val="auto"/>
              </w:rPr>
            </w:pPr>
          </w:p>
        </w:tc>
        <w:tc>
          <w:tcPr>
            <w:tcW w:w="462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72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72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0"/>
        </w:trPr>
        <w:tc>
          <w:tcPr>
            <w:tcW w:w="20" w:type="dxa"/>
            <w:vAlign w:val="bottom"/>
          </w:tcPr>
          <w:p>
            <w:pPr>
              <w:spacing w:after="0"/>
              <w:rPr>
                <w:sz w:val="18"/>
                <w:szCs w:val="18"/>
                <w:color w:val="auto"/>
              </w:rPr>
            </w:pPr>
          </w:p>
        </w:tc>
        <w:tc>
          <w:tcPr>
            <w:tcW w:w="4840" w:type="dxa"/>
            <w:vAlign w:val="bottom"/>
            <w:shd w:val="clear" w:color="auto" w:fill="CCEEFF"/>
          </w:tcPr>
          <w:p>
            <w:pPr>
              <w:spacing w:after="0"/>
              <w:rPr>
                <w:sz w:val="20"/>
                <w:szCs w:val="20"/>
                <w:color w:val="auto"/>
              </w:rPr>
            </w:pPr>
            <w:r>
              <w:rPr>
                <w:rFonts w:ascii="Arial" w:cs="Arial" w:eastAsia="Arial" w:hAnsi="Arial"/>
                <w:sz w:val="18"/>
                <w:szCs w:val="18"/>
                <w:b w:val="1"/>
                <w:bCs w:val="1"/>
                <w:color w:val="auto"/>
              </w:rPr>
              <w:t>Liabilities and Shareholders’ Equity</w:t>
            </w:r>
          </w:p>
        </w:tc>
        <w:tc>
          <w:tcPr>
            <w:tcW w:w="46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840" w:type="dxa"/>
            <w:vAlign w:val="bottom"/>
          </w:tcPr>
          <w:p>
            <w:pPr>
              <w:spacing w:after="0"/>
              <w:rPr>
                <w:sz w:val="20"/>
                <w:szCs w:val="20"/>
                <w:color w:val="auto"/>
              </w:rPr>
            </w:pPr>
            <w:r>
              <w:rPr>
                <w:rFonts w:ascii="Arial" w:cs="Arial" w:eastAsia="Arial" w:hAnsi="Arial"/>
                <w:sz w:val="18"/>
                <w:szCs w:val="18"/>
                <w:color w:val="auto"/>
              </w:rPr>
              <w:t>Current liabilities:</w:t>
            </w:r>
          </w:p>
        </w:tc>
        <w:tc>
          <w:tcPr>
            <w:tcW w:w="46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840" w:type="dxa"/>
            <w:vAlign w:val="bottom"/>
            <w:shd w:val="clear" w:color="auto" w:fill="CCEEFF"/>
          </w:tcPr>
          <w:p>
            <w:pPr>
              <w:ind w:left="340"/>
              <w:spacing w:after="0"/>
              <w:rPr>
                <w:sz w:val="20"/>
                <w:szCs w:val="20"/>
                <w:color w:val="auto"/>
              </w:rPr>
            </w:pPr>
            <w:r>
              <w:rPr>
                <w:rFonts w:ascii="Arial" w:cs="Arial" w:eastAsia="Arial" w:hAnsi="Arial"/>
                <w:sz w:val="18"/>
                <w:szCs w:val="18"/>
                <w:color w:val="auto"/>
              </w:rPr>
              <w:t>Accounts payable</w:t>
            </w:r>
          </w:p>
        </w:tc>
        <w:tc>
          <w:tcPr>
            <w:tcW w:w="47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400,403</w:t>
            </w:r>
          </w:p>
        </w:tc>
        <w:tc>
          <w:tcPr>
            <w:tcW w:w="100" w:type="dxa"/>
            <w:vAlign w:val="bottom"/>
            <w:shd w:val="clear" w:color="auto" w:fill="CCEEFF"/>
          </w:tcPr>
          <w:p>
            <w:pPr>
              <w:spacing w:after="0"/>
              <w:rPr>
                <w:sz w:val="18"/>
                <w:szCs w:val="18"/>
                <w:color w:val="auto"/>
              </w:rPr>
            </w:pPr>
          </w:p>
        </w:tc>
        <w:tc>
          <w:tcPr>
            <w:tcW w:w="2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286,552</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840" w:type="dxa"/>
            <w:vAlign w:val="bottom"/>
          </w:tcPr>
          <w:p>
            <w:pPr>
              <w:ind w:left="340"/>
              <w:spacing w:after="0"/>
              <w:rPr>
                <w:sz w:val="20"/>
                <w:szCs w:val="20"/>
                <w:color w:val="auto"/>
              </w:rPr>
            </w:pPr>
            <w:r>
              <w:rPr>
                <w:rFonts w:ascii="Arial" w:cs="Arial" w:eastAsia="Arial" w:hAnsi="Arial"/>
                <w:sz w:val="18"/>
                <w:szCs w:val="18"/>
                <w:color w:val="auto"/>
              </w:rPr>
              <w:t>Accrued liabilities</w:t>
            </w:r>
          </w:p>
        </w:tc>
        <w:tc>
          <w:tcPr>
            <w:tcW w:w="46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270,199</w:t>
            </w:r>
          </w:p>
        </w:tc>
        <w:tc>
          <w:tcPr>
            <w:tcW w:w="1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261,186</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840" w:type="dxa"/>
            <w:vAlign w:val="bottom"/>
            <w:shd w:val="clear" w:color="auto" w:fill="CCEEFF"/>
          </w:tcPr>
          <w:p>
            <w:pPr>
              <w:ind w:left="340"/>
              <w:spacing w:after="0"/>
              <w:rPr>
                <w:sz w:val="20"/>
                <w:szCs w:val="20"/>
                <w:color w:val="auto"/>
              </w:rPr>
            </w:pPr>
            <w:r>
              <w:rPr>
                <w:rFonts w:ascii="Arial" w:cs="Arial" w:eastAsia="Arial" w:hAnsi="Arial"/>
                <w:sz w:val="18"/>
                <w:szCs w:val="18"/>
                <w:color w:val="auto"/>
              </w:rPr>
              <w:t>Deferred income</w:t>
            </w:r>
          </w:p>
        </w:tc>
        <w:tc>
          <w:tcPr>
            <w:tcW w:w="46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86,370</w:t>
            </w:r>
          </w:p>
        </w:tc>
        <w:tc>
          <w:tcPr>
            <w:tcW w:w="1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60,150</w:t>
            </w: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4840" w:type="dxa"/>
            <w:vAlign w:val="bottom"/>
          </w:tcPr>
          <w:p>
            <w:pPr>
              <w:ind w:left="700"/>
              <w:spacing w:after="0"/>
              <w:rPr>
                <w:sz w:val="20"/>
                <w:szCs w:val="20"/>
                <w:color w:val="auto"/>
              </w:rPr>
            </w:pPr>
            <w:r>
              <w:rPr>
                <w:rFonts w:ascii="Arial" w:cs="Arial" w:eastAsia="Arial" w:hAnsi="Arial"/>
                <w:sz w:val="18"/>
                <w:szCs w:val="18"/>
                <w:color w:val="auto"/>
              </w:rPr>
              <w:t>Total current liabilities</w:t>
            </w:r>
          </w:p>
        </w:tc>
        <w:tc>
          <w:tcPr>
            <w:tcW w:w="4620" w:type="dxa"/>
            <w:vAlign w:val="bottom"/>
          </w:tcPr>
          <w:p>
            <w:pPr>
              <w:spacing w:after="0"/>
              <w:rPr>
                <w:sz w:val="19"/>
                <w:szCs w:val="19"/>
                <w:color w:val="auto"/>
              </w:rPr>
            </w:pPr>
          </w:p>
        </w:tc>
        <w:tc>
          <w:tcPr>
            <w:tcW w:w="100" w:type="dxa"/>
            <w:vAlign w:val="bottom"/>
            <w:tcBorders>
              <w:top w:val="single" w:sz="8" w:color="auto"/>
            </w:tcBorders>
          </w:tcPr>
          <w:p>
            <w:pPr>
              <w:spacing w:after="0"/>
              <w:rPr>
                <w:sz w:val="19"/>
                <w:szCs w:val="19"/>
                <w:color w:val="auto"/>
              </w:rPr>
            </w:pPr>
          </w:p>
        </w:tc>
        <w:tc>
          <w:tcPr>
            <w:tcW w:w="72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756,972</w:t>
            </w:r>
          </w:p>
        </w:tc>
        <w:tc>
          <w:tcPr>
            <w:tcW w:w="10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100" w:type="dxa"/>
            <w:vAlign w:val="bottom"/>
            <w:tcBorders>
              <w:top w:val="single" w:sz="8" w:color="auto"/>
            </w:tcBorders>
          </w:tcPr>
          <w:p>
            <w:pPr>
              <w:spacing w:after="0"/>
              <w:rPr>
                <w:sz w:val="19"/>
                <w:szCs w:val="19"/>
                <w:color w:val="auto"/>
              </w:rPr>
            </w:pPr>
          </w:p>
        </w:tc>
        <w:tc>
          <w:tcPr>
            <w:tcW w:w="72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607,888</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840" w:type="dxa"/>
            <w:vAlign w:val="bottom"/>
            <w:shd w:val="clear" w:color="auto" w:fill="CCEEFF"/>
          </w:tcPr>
          <w:p>
            <w:pPr>
              <w:spacing w:after="0"/>
              <w:rPr>
                <w:sz w:val="20"/>
                <w:szCs w:val="20"/>
                <w:color w:val="auto"/>
              </w:rPr>
            </w:pPr>
            <w:r>
              <w:rPr>
                <w:rFonts w:ascii="Arial" w:cs="Arial" w:eastAsia="Arial" w:hAnsi="Arial"/>
                <w:sz w:val="18"/>
                <w:szCs w:val="18"/>
                <w:color w:val="auto"/>
              </w:rPr>
              <w:t>Other non-current liabilities</w:t>
            </w:r>
          </w:p>
        </w:tc>
        <w:tc>
          <w:tcPr>
            <w:tcW w:w="462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7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127,765</w:t>
            </w:r>
          </w:p>
        </w:tc>
        <w:tc>
          <w:tcPr>
            <w:tcW w:w="1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7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169,281</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30"/>
        </w:trPr>
        <w:tc>
          <w:tcPr>
            <w:tcW w:w="20" w:type="dxa"/>
            <w:vAlign w:val="bottom"/>
          </w:tcPr>
          <w:p>
            <w:pPr>
              <w:spacing w:after="0"/>
              <w:rPr>
                <w:sz w:val="20"/>
                <w:szCs w:val="20"/>
                <w:color w:val="auto"/>
              </w:rPr>
            </w:pPr>
          </w:p>
        </w:tc>
        <w:tc>
          <w:tcPr>
            <w:tcW w:w="4840" w:type="dxa"/>
            <w:vAlign w:val="bottom"/>
          </w:tcPr>
          <w:p>
            <w:pPr>
              <w:ind w:left="700"/>
              <w:spacing w:after="0"/>
              <w:rPr>
                <w:sz w:val="20"/>
                <w:szCs w:val="20"/>
                <w:color w:val="auto"/>
              </w:rPr>
            </w:pPr>
            <w:r>
              <w:rPr>
                <w:rFonts w:ascii="Arial" w:cs="Arial" w:eastAsia="Arial" w:hAnsi="Arial"/>
                <w:sz w:val="18"/>
                <w:szCs w:val="18"/>
                <w:color w:val="auto"/>
              </w:rPr>
              <w:t>Total liabilities</w:t>
            </w:r>
          </w:p>
        </w:tc>
        <w:tc>
          <w:tcPr>
            <w:tcW w:w="4620" w:type="dxa"/>
            <w:vAlign w:val="bottom"/>
          </w:tcPr>
          <w:p>
            <w:pPr>
              <w:spacing w:after="0"/>
              <w:rPr>
                <w:sz w:val="20"/>
                <w:szCs w:val="20"/>
                <w:color w:val="auto"/>
              </w:rPr>
            </w:pPr>
          </w:p>
        </w:tc>
        <w:tc>
          <w:tcPr>
            <w:tcW w:w="100" w:type="dxa"/>
            <w:vAlign w:val="bottom"/>
            <w:tcBorders>
              <w:bottom w:val="single" w:sz="8" w:color="auto"/>
            </w:tcBorders>
          </w:tcPr>
          <w:p>
            <w:pPr>
              <w:spacing w:after="0"/>
              <w:rPr>
                <w:sz w:val="20"/>
                <w:szCs w:val="20"/>
                <w:color w:val="auto"/>
              </w:rPr>
            </w:pPr>
          </w:p>
        </w:tc>
        <w:tc>
          <w:tcPr>
            <w:tcW w:w="7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884,737</w:t>
            </w:r>
          </w:p>
        </w:tc>
        <w:tc>
          <w:tcPr>
            <w:tcW w:w="10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100" w:type="dxa"/>
            <w:vAlign w:val="bottom"/>
            <w:tcBorders>
              <w:bottom w:val="single" w:sz="8" w:color="auto"/>
            </w:tcBorders>
          </w:tcPr>
          <w:p>
            <w:pPr>
              <w:spacing w:after="0"/>
              <w:rPr>
                <w:sz w:val="20"/>
                <w:szCs w:val="20"/>
                <w:color w:val="auto"/>
              </w:rPr>
            </w:pPr>
          </w:p>
        </w:tc>
        <w:tc>
          <w:tcPr>
            <w:tcW w:w="7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777,169</w:t>
            </w:r>
          </w:p>
        </w:tc>
        <w:tc>
          <w:tcPr>
            <w:tcW w:w="10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840" w:type="dxa"/>
            <w:vAlign w:val="bottom"/>
            <w:shd w:val="clear" w:color="auto" w:fill="CCEEFF"/>
          </w:tcPr>
          <w:p>
            <w:pPr>
              <w:spacing w:after="0"/>
              <w:rPr>
                <w:sz w:val="20"/>
                <w:szCs w:val="20"/>
                <w:color w:val="auto"/>
              </w:rPr>
            </w:pPr>
            <w:r>
              <w:rPr>
                <w:rFonts w:ascii="Arial" w:cs="Arial" w:eastAsia="Arial" w:hAnsi="Arial"/>
                <w:sz w:val="18"/>
                <w:szCs w:val="18"/>
                <w:color w:val="auto"/>
              </w:rPr>
              <w:t>Shareholders’ equity:</w:t>
            </w:r>
          </w:p>
        </w:tc>
        <w:tc>
          <w:tcPr>
            <w:tcW w:w="46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840" w:type="dxa"/>
            <w:vAlign w:val="bottom"/>
          </w:tcPr>
          <w:p>
            <w:pPr>
              <w:ind w:left="340"/>
              <w:spacing w:after="0"/>
              <w:rPr>
                <w:sz w:val="20"/>
                <w:szCs w:val="20"/>
                <w:color w:val="auto"/>
              </w:rPr>
            </w:pPr>
            <w:r>
              <w:rPr>
                <w:rFonts w:ascii="Arial" w:cs="Arial" w:eastAsia="Arial" w:hAnsi="Arial"/>
                <w:sz w:val="18"/>
                <w:szCs w:val="18"/>
                <w:color w:val="auto"/>
              </w:rPr>
              <w:t>Common stock</w:t>
            </w:r>
          </w:p>
        </w:tc>
        <w:tc>
          <w:tcPr>
            <w:tcW w:w="46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rPr>
              <w:t>980</w:t>
            </w:r>
          </w:p>
        </w:tc>
        <w:tc>
          <w:tcPr>
            <w:tcW w:w="1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1,017</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840" w:type="dxa"/>
            <w:vAlign w:val="bottom"/>
            <w:shd w:val="clear" w:color="auto" w:fill="CCEEFF"/>
          </w:tcPr>
          <w:p>
            <w:pPr>
              <w:ind w:left="340"/>
              <w:spacing w:after="0"/>
              <w:rPr>
                <w:sz w:val="20"/>
                <w:szCs w:val="20"/>
                <w:color w:val="auto"/>
              </w:rPr>
            </w:pPr>
            <w:r>
              <w:rPr>
                <w:rFonts w:ascii="Arial" w:cs="Arial" w:eastAsia="Arial" w:hAnsi="Arial"/>
                <w:sz w:val="18"/>
                <w:szCs w:val="18"/>
                <w:color w:val="auto"/>
              </w:rPr>
              <w:t>Additional paid-in capital</w:t>
            </w:r>
          </w:p>
        </w:tc>
        <w:tc>
          <w:tcPr>
            <w:tcW w:w="46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7"/>
              </w:rPr>
              <w:t>2,796,764</w:t>
            </w:r>
          </w:p>
        </w:tc>
        <w:tc>
          <w:tcPr>
            <w:tcW w:w="1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7"/>
              </w:rPr>
              <w:t>2,945,643</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840" w:type="dxa"/>
            <w:vAlign w:val="bottom"/>
          </w:tcPr>
          <w:p>
            <w:pPr>
              <w:ind w:left="340"/>
              <w:spacing w:after="0"/>
              <w:rPr>
                <w:sz w:val="20"/>
                <w:szCs w:val="20"/>
                <w:color w:val="auto"/>
              </w:rPr>
            </w:pPr>
            <w:r>
              <w:rPr>
                <w:rFonts w:ascii="Arial" w:cs="Arial" w:eastAsia="Arial" w:hAnsi="Arial"/>
                <w:sz w:val="18"/>
                <w:szCs w:val="18"/>
                <w:color w:val="auto"/>
              </w:rPr>
              <w:t>Accumulated other comprehensive income</w:t>
            </w:r>
          </w:p>
        </w:tc>
        <w:tc>
          <w:tcPr>
            <w:tcW w:w="46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57</w:t>
            </w:r>
          </w:p>
        </w:tc>
        <w:tc>
          <w:tcPr>
            <w:tcW w:w="1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1,148</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840" w:type="dxa"/>
            <w:vAlign w:val="bottom"/>
            <w:shd w:val="clear" w:color="auto" w:fill="CCEEFF"/>
          </w:tcPr>
          <w:p>
            <w:pPr>
              <w:ind w:left="340"/>
              <w:spacing w:after="0"/>
              <w:rPr>
                <w:sz w:val="20"/>
                <w:szCs w:val="20"/>
                <w:color w:val="auto"/>
              </w:rPr>
            </w:pPr>
            <w:r>
              <w:rPr>
                <w:rFonts w:ascii="Arial" w:cs="Arial" w:eastAsia="Arial" w:hAnsi="Arial"/>
                <w:sz w:val="18"/>
                <w:szCs w:val="18"/>
                <w:color w:val="auto"/>
              </w:rPr>
              <w:t>Retained earnings</w:t>
            </w:r>
          </w:p>
        </w:tc>
        <w:tc>
          <w:tcPr>
            <w:tcW w:w="462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7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7"/>
              </w:rPr>
              <w:t>1,665,418</w:t>
            </w:r>
          </w:p>
        </w:tc>
        <w:tc>
          <w:tcPr>
            <w:tcW w:w="1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7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7"/>
              </w:rPr>
              <w:t>1,536,787</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30"/>
        </w:trPr>
        <w:tc>
          <w:tcPr>
            <w:tcW w:w="20" w:type="dxa"/>
            <w:vAlign w:val="bottom"/>
          </w:tcPr>
          <w:p>
            <w:pPr>
              <w:spacing w:after="0"/>
              <w:rPr>
                <w:sz w:val="20"/>
                <w:szCs w:val="20"/>
                <w:color w:val="auto"/>
              </w:rPr>
            </w:pPr>
          </w:p>
        </w:tc>
        <w:tc>
          <w:tcPr>
            <w:tcW w:w="4840" w:type="dxa"/>
            <w:vAlign w:val="bottom"/>
          </w:tcPr>
          <w:p>
            <w:pPr>
              <w:ind w:left="700"/>
              <w:spacing w:after="0"/>
              <w:rPr>
                <w:sz w:val="20"/>
                <w:szCs w:val="20"/>
                <w:color w:val="auto"/>
              </w:rPr>
            </w:pPr>
            <w:r>
              <w:rPr>
                <w:rFonts w:ascii="Arial" w:cs="Arial" w:eastAsia="Arial" w:hAnsi="Arial"/>
                <w:sz w:val="18"/>
                <w:szCs w:val="18"/>
                <w:color w:val="auto"/>
              </w:rPr>
              <w:t>Total shareholders’ equity</w:t>
            </w:r>
          </w:p>
        </w:tc>
        <w:tc>
          <w:tcPr>
            <w:tcW w:w="4620" w:type="dxa"/>
            <w:vAlign w:val="bottom"/>
          </w:tcPr>
          <w:p>
            <w:pPr>
              <w:spacing w:after="0"/>
              <w:rPr>
                <w:sz w:val="20"/>
                <w:szCs w:val="20"/>
                <w:color w:val="auto"/>
              </w:rPr>
            </w:pPr>
          </w:p>
        </w:tc>
        <w:tc>
          <w:tcPr>
            <w:tcW w:w="100" w:type="dxa"/>
            <w:vAlign w:val="bottom"/>
            <w:tcBorders>
              <w:bottom w:val="single" w:sz="8" w:color="auto"/>
            </w:tcBorders>
          </w:tcPr>
          <w:p>
            <w:pPr>
              <w:spacing w:after="0"/>
              <w:rPr>
                <w:sz w:val="20"/>
                <w:szCs w:val="20"/>
                <w:color w:val="auto"/>
              </w:rPr>
            </w:pPr>
          </w:p>
        </w:tc>
        <w:tc>
          <w:tcPr>
            <w:tcW w:w="7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87"/>
              </w:rPr>
              <w:t>4,463,219</w:t>
            </w:r>
          </w:p>
        </w:tc>
        <w:tc>
          <w:tcPr>
            <w:tcW w:w="10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100" w:type="dxa"/>
            <w:vAlign w:val="bottom"/>
            <w:tcBorders>
              <w:bottom w:val="single" w:sz="8" w:color="auto"/>
            </w:tcBorders>
          </w:tcPr>
          <w:p>
            <w:pPr>
              <w:spacing w:after="0"/>
              <w:rPr>
                <w:sz w:val="20"/>
                <w:szCs w:val="20"/>
                <w:color w:val="auto"/>
              </w:rPr>
            </w:pPr>
          </w:p>
        </w:tc>
        <w:tc>
          <w:tcPr>
            <w:tcW w:w="7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87"/>
              </w:rPr>
              <w:t>4,484,595</w:t>
            </w:r>
          </w:p>
        </w:tc>
        <w:tc>
          <w:tcPr>
            <w:tcW w:w="10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840" w:type="dxa"/>
            <w:vAlign w:val="bottom"/>
            <w:shd w:val="clear" w:color="auto" w:fill="CCEEFF"/>
          </w:tcPr>
          <w:p>
            <w:pPr>
              <w:ind w:left="700"/>
              <w:spacing w:after="0"/>
              <w:rPr>
                <w:sz w:val="20"/>
                <w:szCs w:val="20"/>
                <w:color w:val="auto"/>
              </w:rPr>
            </w:pPr>
            <w:r>
              <w:rPr>
                <w:rFonts w:ascii="Arial" w:cs="Arial" w:eastAsia="Arial" w:hAnsi="Arial"/>
                <w:sz w:val="18"/>
                <w:szCs w:val="18"/>
                <w:color w:val="auto"/>
              </w:rPr>
              <w:t>Total liabilities and shareholders’ equity</w:t>
            </w:r>
          </w:p>
        </w:tc>
        <w:tc>
          <w:tcPr>
            <w:tcW w:w="4720" w:type="dxa"/>
            <w:vAlign w:val="bottom"/>
            <w:gridSpan w:val="2"/>
            <w:shd w:val="clear" w:color="auto" w:fill="CCEEFF"/>
          </w:tcPr>
          <w:p>
            <w:pPr>
              <w:jc w:val="right"/>
              <w:spacing w:after="0"/>
              <w:rPr>
                <w:sz w:val="20"/>
                <w:szCs w:val="20"/>
                <w:color w:val="auto"/>
              </w:rPr>
            </w:pPr>
            <w:r>
              <w:rPr>
                <w:rFonts w:ascii="Arial" w:cs="Arial" w:eastAsia="Arial" w:hAnsi="Arial"/>
                <w:sz w:val="18"/>
                <w:szCs w:val="18"/>
                <w:u w:val="single" w:color="auto"/>
                <w:color w:val="auto"/>
              </w:rPr>
              <w:t>$</w:t>
            </w: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7"/>
              </w:rPr>
              <w:t>5,347,956</w:t>
            </w:r>
          </w:p>
        </w:tc>
        <w:tc>
          <w:tcPr>
            <w:tcW w:w="100" w:type="dxa"/>
            <w:vAlign w:val="bottom"/>
            <w:shd w:val="clear" w:color="auto" w:fill="CCEEFF"/>
          </w:tcPr>
          <w:p>
            <w:pPr>
              <w:spacing w:after="0"/>
              <w:rPr>
                <w:sz w:val="18"/>
                <w:szCs w:val="18"/>
                <w:color w:val="auto"/>
              </w:rPr>
            </w:pPr>
          </w:p>
        </w:tc>
        <w:tc>
          <w:tcPr>
            <w:tcW w:w="200" w:type="dxa"/>
            <w:vAlign w:val="bottom"/>
            <w:gridSpan w:val="2"/>
            <w:shd w:val="clear" w:color="auto" w:fill="CCEEFF"/>
          </w:tcPr>
          <w:p>
            <w:pPr>
              <w:jc w:val="right"/>
              <w:spacing w:after="0"/>
              <w:rPr>
                <w:sz w:val="20"/>
                <w:szCs w:val="20"/>
                <w:color w:val="auto"/>
              </w:rPr>
            </w:pPr>
            <w:r>
              <w:rPr>
                <w:rFonts w:ascii="Arial" w:cs="Arial" w:eastAsia="Arial" w:hAnsi="Arial"/>
                <w:sz w:val="18"/>
                <w:szCs w:val="18"/>
                <w:u w:val="single" w:color="auto"/>
                <w:color w:val="auto"/>
              </w:rPr>
              <w:t>$</w:t>
            </w: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7"/>
              </w:rPr>
              <w:t>5,261,764</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4840" w:type="dxa"/>
            <w:vAlign w:val="bottom"/>
          </w:tcPr>
          <w:p>
            <w:pPr>
              <w:spacing w:after="0" w:line="20" w:lineRule="exact"/>
              <w:rPr>
                <w:sz w:val="1"/>
                <w:szCs w:val="1"/>
                <w:color w:val="auto"/>
              </w:rPr>
            </w:pPr>
          </w:p>
        </w:tc>
        <w:tc>
          <w:tcPr>
            <w:tcW w:w="4620" w:type="dxa"/>
            <w:vAlign w:val="bottom"/>
            <w:vMerge w:val="restart"/>
          </w:tcPr>
          <w:p>
            <w:pPr>
              <w:jc w:val="right"/>
              <w:ind w:right="3630"/>
              <w:spacing w:after="0"/>
              <w:rPr>
                <w:sz w:val="20"/>
                <w:szCs w:val="20"/>
                <w:color w:val="auto"/>
              </w:rPr>
            </w:pPr>
            <w:r>
              <w:rPr>
                <w:rFonts w:ascii="Arial" w:cs="Arial" w:eastAsia="Arial" w:hAnsi="Arial"/>
                <w:sz w:val="18"/>
                <w:szCs w:val="18"/>
                <w:color w:val="auto"/>
              </w:rPr>
              <w:t>8</w:t>
            </w:r>
          </w:p>
        </w:tc>
        <w:tc>
          <w:tcPr>
            <w:tcW w:w="10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59"/>
        </w:trPr>
        <w:tc>
          <w:tcPr>
            <w:tcW w:w="20" w:type="dxa"/>
            <w:vAlign w:val="bottom"/>
          </w:tcPr>
          <w:p>
            <w:pPr>
              <w:spacing w:after="0"/>
              <w:rPr>
                <w:sz w:val="24"/>
                <w:szCs w:val="24"/>
                <w:color w:val="auto"/>
              </w:rPr>
            </w:pPr>
          </w:p>
        </w:tc>
        <w:tc>
          <w:tcPr>
            <w:tcW w:w="4840" w:type="dxa"/>
            <w:vAlign w:val="bottom"/>
          </w:tcPr>
          <w:p>
            <w:pPr>
              <w:spacing w:after="0"/>
              <w:rPr>
                <w:sz w:val="24"/>
                <w:szCs w:val="24"/>
                <w:color w:val="auto"/>
              </w:rPr>
            </w:pPr>
          </w:p>
        </w:tc>
        <w:tc>
          <w:tcPr>
            <w:tcW w:w="4620" w:type="dxa"/>
            <w:vAlign w:val="bottom"/>
            <w:vMerge w:val="continue"/>
          </w:tcPr>
          <w:p>
            <w:pPr>
              <w:spacing w:after="0"/>
              <w:rPr>
                <w:sz w:val="24"/>
                <w:szCs w:val="24"/>
                <w:color w:val="auto"/>
              </w:rPr>
            </w:pPr>
          </w:p>
        </w:tc>
        <w:tc>
          <w:tcPr>
            <w:tcW w:w="10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1420"/>
          </w:cols>
          <w:pgMar w:left="240" w:top="270" w:right="239" w:bottom="1440" w:gutter="0" w:footer="0" w:header="0"/>
        </w:sectPr>
      </w:pPr>
    </w:p>
    <w:bookmarkStart w:id="14" w:name="page15"/>
    <w:bookmarkEnd w:id="14"/>
    <w:p>
      <w:pPr>
        <w:jc w:val="center"/>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1">
                      <a:extLst>
                        <a:ext uri="{28A0092B-C50C-407E-A947-70E740481C1C}"/>
                      </a:extLst>
                    </a:blip>
                    <a:srcRect/>
                    <a:stretch>
                      <a:fillRect/>
                    </a:stretch>
                  </pic:blipFill>
                  <pic:spPr bwMode="auto">
                    <a:xfrm>
                      <a:off x="0" y="0"/>
                      <a:ext cx="7289165" cy="38735"/>
                    </a:xfrm>
                    <a:prstGeom prst="rect">
                      <a:avLst/>
                    </a:prstGeom>
                    <a:noFill/>
                  </pic:spPr>
                </pic:pic>
              </a:graphicData>
            </a:graphic>
          </wp:anchor>
        </w:drawing>
        <w:t>Marvell Technology Group Ltd.</w:t>
      </w:r>
    </w:p>
    <w:p>
      <w:pPr>
        <w:spacing w:after="0" w:line="2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Condensed Consolidated Statements of Cash Flows</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(Unaudited)</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(in thousands)</w:t>
      </w:r>
    </w:p>
    <w:p>
      <w:pPr>
        <w:spacing w:after="0" w:line="229" w:lineRule="exact"/>
        <w:rPr>
          <w:sz w:val="20"/>
          <w:szCs w:val="20"/>
          <w:color w:val="auto"/>
        </w:rPr>
      </w:pPr>
    </w:p>
    <w:tbl>
      <w:tblPr>
        <w:tblLayout w:type="fixed"/>
        <w:tblInd w:w="0" w:type="dxa"/>
        <w:tblCellMar>
          <w:top w:w="0" w:type="dxa"/>
          <w:left w:w="0" w:type="dxa"/>
          <w:bottom w:w="0" w:type="dxa"/>
          <w:right w:w="0" w:type="dxa"/>
        </w:tblCellMar>
      </w:tblPr>
      <w:tr>
        <w:trPr>
          <w:trHeight w:val="171"/>
        </w:trPr>
        <w:tc>
          <w:tcPr>
            <w:tcW w:w="20" w:type="dxa"/>
            <w:vAlign w:val="bottom"/>
          </w:tcPr>
          <w:p>
            <w:pPr>
              <w:spacing w:after="0"/>
              <w:rPr>
                <w:sz w:val="14"/>
                <w:szCs w:val="14"/>
                <w:color w:val="auto"/>
              </w:rPr>
            </w:pPr>
          </w:p>
        </w:tc>
        <w:tc>
          <w:tcPr>
            <w:tcW w:w="750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800" w:type="dxa"/>
            <w:vAlign w:val="bottom"/>
            <w:gridSpan w:val="7"/>
          </w:tcPr>
          <w:p>
            <w:pPr>
              <w:jc w:val="right"/>
              <w:ind w:right="320"/>
              <w:spacing w:after="0"/>
              <w:rPr>
                <w:sz w:val="20"/>
                <w:szCs w:val="20"/>
                <w:color w:val="auto"/>
              </w:rPr>
            </w:pPr>
            <w:r>
              <w:rPr>
                <w:rFonts w:ascii="Arial" w:cs="Arial" w:eastAsia="Arial" w:hAnsi="Arial"/>
                <w:sz w:val="14"/>
                <w:szCs w:val="14"/>
                <w:b w:val="1"/>
                <w:bCs w:val="1"/>
                <w:color w:val="auto"/>
                <w:w w:val="99"/>
              </w:rPr>
              <w:t>Three Months Ended</w:t>
            </w:r>
          </w:p>
        </w:tc>
        <w:tc>
          <w:tcPr>
            <w:tcW w:w="120" w:type="dxa"/>
            <w:vAlign w:val="bottom"/>
          </w:tcPr>
          <w:p>
            <w:pPr>
              <w:spacing w:after="0"/>
              <w:rPr>
                <w:sz w:val="14"/>
                <w:szCs w:val="14"/>
                <w:color w:val="auto"/>
              </w:rPr>
            </w:pPr>
          </w:p>
        </w:tc>
        <w:tc>
          <w:tcPr>
            <w:tcW w:w="1860" w:type="dxa"/>
            <w:vAlign w:val="bottom"/>
            <w:gridSpan w:val="6"/>
          </w:tcPr>
          <w:p>
            <w:pPr>
              <w:jc w:val="right"/>
              <w:ind w:right="420"/>
              <w:spacing w:after="0"/>
              <w:rPr>
                <w:sz w:val="20"/>
                <w:szCs w:val="20"/>
                <w:color w:val="auto"/>
              </w:rPr>
            </w:pPr>
            <w:r>
              <w:rPr>
                <w:rFonts w:ascii="Arial" w:cs="Arial" w:eastAsia="Arial" w:hAnsi="Arial"/>
                <w:sz w:val="14"/>
                <w:szCs w:val="14"/>
                <w:b w:val="1"/>
                <w:bCs w:val="1"/>
                <w:color w:val="auto"/>
              </w:rPr>
              <w:t>Nine Months Ended</w:t>
            </w:r>
          </w:p>
        </w:tc>
      </w:tr>
      <w:tr>
        <w:trPr>
          <w:trHeight w:val="119"/>
        </w:trPr>
        <w:tc>
          <w:tcPr>
            <w:tcW w:w="20" w:type="dxa"/>
            <w:vAlign w:val="bottom"/>
          </w:tcPr>
          <w:p>
            <w:pPr>
              <w:spacing w:after="0"/>
              <w:rPr>
                <w:sz w:val="10"/>
                <w:szCs w:val="10"/>
                <w:color w:val="auto"/>
              </w:rPr>
            </w:pPr>
          </w:p>
        </w:tc>
        <w:tc>
          <w:tcPr>
            <w:tcW w:w="7500" w:type="dxa"/>
            <w:vAlign w:val="bottom"/>
          </w:tcPr>
          <w:p>
            <w:pPr>
              <w:spacing w:after="0"/>
              <w:rPr>
                <w:sz w:val="10"/>
                <w:szCs w:val="10"/>
                <w:color w:val="auto"/>
              </w:rPr>
            </w:pPr>
          </w:p>
        </w:tc>
        <w:tc>
          <w:tcPr>
            <w:tcW w:w="920" w:type="dxa"/>
            <w:vAlign w:val="bottom"/>
            <w:tcBorders>
              <w:top w:val="single" w:sz="8" w:color="auto"/>
            </w:tcBorders>
            <w:gridSpan w:val="4"/>
          </w:tcPr>
          <w:p>
            <w:pPr>
              <w:spacing w:after="0" w:line="119" w:lineRule="exact"/>
              <w:rPr>
                <w:sz w:val="20"/>
                <w:szCs w:val="20"/>
                <w:color w:val="auto"/>
              </w:rPr>
            </w:pPr>
            <w:r>
              <w:rPr>
                <w:rFonts w:ascii="Arial" w:cs="Arial" w:eastAsia="Arial" w:hAnsi="Arial"/>
                <w:sz w:val="13"/>
                <w:szCs w:val="13"/>
                <w:b w:val="1"/>
                <w:bCs w:val="1"/>
                <w:color w:val="auto"/>
              </w:rPr>
              <w:t>November 2,</w:t>
            </w:r>
          </w:p>
        </w:tc>
        <w:tc>
          <w:tcPr>
            <w:tcW w:w="60" w:type="dxa"/>
            <w:vAlign w:val="bottom"/>
            <w:tcBorders>
              <w:top w:val="single" w:sz="8" w:color="auto"/>
            </w:tcBorders>
          </w:tcPr>
          <w:p>
            <w:pPr>
              <w:spacing w:after="0"/>
              <w:rPr>
                <w:sz w:val="10"/>
                <w:szCs w:val="10"/>
                <w:color w:val="auto"/>
              </w:rPr>
            </w:pPr>
          </w:p>
        </w:tc>
        <w:tc>
          <w:tcPr>
            <w:tcW w:w="740" w:type="dxa"/>
            <w:vAlign w:val="bottom"/>
            <w:tcBorders>
              <w:top w:val="single" w:sz="8" w:color="auto"/>
            </w:tcBorders>
            <w:gridSpan w:val="2"/>
          </w:tcPr>
          <w:p>
            <w:pPr>
              <w:ind w:left="20"/>
              <w:spacing w:after="0" w:line="119" w:lineRule="exact"/>
              <w:rPr>
                <w:sz w:val="20"/>
                <w:szCs w:val="20"/>
                <w:color w:val="auto"/>
              </w:rPr>
            </w:pPr>
            <w:r>
              <w:rPr>
                <w:rFonts w:ascii="Arial" w:cs="Arial" w:eastAsia="Arial" w:hAnsi="Arial"/>
                <w:sz w:val="13"/>
                <w:szCs w:val="13"/>
                <w:b w:val="1"/>
                <w:bCs w:val="1"/>
                <w:color w:val="auto"/>
                <w:w w:val="97"/>
              </w:rPr>
              <w:t>October 27,</w:t>
            </w:r>
          </w:p>
        </w:tc>
        <w:tc>
          <w:tcPr>
            <w:tcW w:w="200" w:type="dxa"/>
            <w:vAlign w:val="bottom"/>
          </w:tcPr>
          <w:p>
            <w:pPr>
              <w:spacing w:after="0"/>
              <w:rPr>
                <w:sz w:val="10"/>
                <w:szCs w:val="10"/>
                <w:color w:val="auto"/>
              </w:rPr>
            </w:pPr>
          </w:p>
        </w:tc>
        <w:tc>
          <w:tcPr>
            <w:tcW w:w="920" w:type="dxa"/>
            <w:vAlign w:val="bottom"/>
            <w:tcBorders>
              <w:top w:val="single" w:sz="8" w:color="auto"/>
            </w:tcBorders>
            <w:gridSpan w:val="3"/>
          </w:tcPr>
          <w:p>
            <w:pPr>
              <w:spacing w:after="0" w:line="119" w:lineRule="exact"/>
              <w:rPr>
                <w:sz w:val="20"/>
                <w:szCs w:val="20"/>
                <w:color w:val="auto"/>
              </w:rPr>
            </w:pPr>
            <w:r>
              <w:rPr>
                <w:rFonts w:ascii="Arial" w:cs="Arial" w:eastAsia="Arial" w:hAnsi="Arial"/>
                <w:sz w:val="13"/>
                <w:szCs w:val="13"/>
                <w:b w:val="1"/>
                <w:bCs w:val="1"/>
                <w:color w:val="auto"/>
              </w:rPr>
              <w:t>November 2,</w:t>
            </w:r>
          </w:p>
        </w:tc>
        <w:tc>
          <w:tcPr>
            <w:tcW w:w="80" w:type="dxa"/>
            <w:vAlign w:val="bottom"/>
            <w:tcBorders>
              <w:top w:val="single" w:sz="8" w:color="auto"/>
            </w:tcBorders>
          </w:tcPr>
          <w:p>
            <w:pPr>
              <w:spacing w:after="0"/>
              <w:rPr>
                <w:sz w:val="10"/>
                <w:szCs w:val="10"/>
                <w:color w:val="auto"/>
              </w:rPr>
            </w:pPr>
          </w:p>
        </w:tc>
        <w:tc>
          <w:tcPr>
            <w:tcW w:w="880" w:type="dxa"/>
            <w:vAlign w:val="bottom"/>
            <w:tcBorders>
              <w:top w:val="single" w:sz="8" w:color="auto"/>
            </w:tcBorders>
            <w:gridSpan w:val="2"/>
          </w:tcPr>
          <w:p>
            <w:pPr>
              <w:jc w:val="right"/>
              <w:spacing w:after="0" w:line="119" w:lineRule="exact"/>
              <w:rPr>
                <w:sz w:val="20"/>
                <w:szCs w:val="20"/>
                <w:color w:val="auto"/>
              </w:rPr>
            </w:pPr>
            <w:r>
              <w:rPr>
                <w:rFonts w:ascii="Arial" w:cs="Arial" w:eastAsia="Arial" w:hAnsi="Arial"/>
                <w:sz w:val="13"/>
                <w:szCs w:val="13"/>
                <w:b w:val="1"/>
                <w:bCs w:val="1"/>
                <w:color w:val="auto"/>
              </w:rPr>
              <w:t>October 27,</w:t>
            </w:r>
          </w:p>
        </w:tc>
        <w:tc>
          <w:tcPr>
            <w:tcW w:w="100" w:type="dxa"/>
            <w:vAlign w:val="bottom"/>
          </w:tcPr>
          <w:p>
            <w:pPr>
              <w:spacing w:after="0"/>
              <w:rPr>
                <w:sz w:val="10"/>
                <w:szCs w:val="10"/>
                <w:color w:val="auto"/>
              </w:rPr>
            </w:pPr>
          </w:p>
        </w:tc>
      </w:tr>
      <w:tr>
        <w:trPr>
          <w:trHeight w:val="171"/>
        </w:trPr>
        <w:tc>
          <w:tcPr>
            <w:tcW w:w="20" w:type="dxa"/>
            <w:vAlign w:val="bottom"/>
          </w:tcPr>
          <w:p>
            <w:pPr>
              <w:spacing w:after="0"/>
              <w:rPr>
                <w:sz w:val="14"/>
                <w:szCs w:val="14"/>
                <w:color w:val="auto"/>
              </w:rPr>
            </w:pPr>
          </w:p>
        </w:tc>
        <w:tc>
          <w:tcPr>
            <w:tcW w:w="7500" w:type="dxa"/>
            <w:vAlign w:val="bottom"/>
            <w:tcBorders>
              <w:bottom w:val="single" w:sz="8" w:color="CCEEFF"/>
            </w:tcBorders>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660" w:type="dxa"/>
            <w:vAlign w:val="bottom"/>
            <w:tcBorders>
              <w:bottom w:val="single" w:sz="8" w:color="auto"/>
            </w:tcBorders>
          </w:tcPr>
          <w:p>
            <w:pPr>
              <w:jc w:val="right"/>
              <w:ind w:right="151"/>
              <w:spacing w:after="0"/>
              <w:rPr>
                <w:sz w:val="20"/>
                <w:szCs w:val="20"/>
                <w:color w:val="auto"/>
              </w:rPr>
            </w:pPr>
            <w:r>
              <w:rPr>
                <w:rFonts w:ascii="Arial" w:cs="Arial" w:eastAsia="Arial" w:hAnsi="Arial"/>
                <w:sz w:val="14"/>
                <w:szCs w:val="14"/>
                <w:b w:val="1"/>
                <w:bCs w:val="1"/>
                <w:color w:val="auto"/>
              </w:rPr>
              <w:t>2013</w:t>
            </w:r>
          </w:p>
        </w:tc>
        <w:tc>
          <w:tcPr>
            <w:tcW w:w="20" w:type="dxa"/>
            <w:vAlign w:val="bottom"/>
            <w:tcBorders>
              <w:bottom w:val="single" w:sz="8" w:color="CCEEFF"/>
            </w:tcBorders>
          </w:tcPr>
          <w:p>
            <w:pPr>
              <w:spacing w:after="0"/>
              <w:rPr>
                <w:sz w:val="14"/>
                <w:szCs w:val="14"/>
                <w:color w:val="auto"/>
              </w:rPr>
            </w:pPr>
          </w:p>
        </w:tc>
        <w:tc>
          <w:tcPr>
            <w:tcW w:w="120" w:type="dxa"/>
            <w:vAlign w:val="bottom"/>
            <w:tcBorders>
              <w:bottom w:val="single" w:sz="8" w:color="CCEEFF"/>
            </w:tcBorders>
          </w:tcPr>
          <w:p>
            <w:pPr>
              <w:spacing w:after="0"/>
              <w:rPr>
                <w:sz w:val="14"/>
                <w:szCs w:val="14"/>
                <w:color w:val="auto"/>
              </w:rPr>
            </w:pPr>
          </w:p>
        </w:tc>
        <w:tc>
          <w:tcPr>
            <w:tcW w:w="60" w:type="dxa"/>
            <w:vAlign w:val="bottom"/>
            <w:tcBorders>
              <w:bottom w:val="single" w:sz="8" w:color="CCEEFF"/>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640" w:type="dxa"/>
            <w:vAlign w:val="bottom"/>
            <w:tcBorders>
              <w:bottom w:val="single" w:sz="8" w:color="auto"/>
            </w:tcBorders>
          </w:tcPr>
          <w:p>
            <w:pPr>
              <w:jc w:val="right"/>
              <w:ind w:right="131"/>
              <w:spacing w:after="0"/>
              <w:rPr>
                <w:sz w:val="20"/>
                <w:szCs w:val="20"/>
                <w:color w:val="auto"/>
              </w:rPr>
            </w:pPr>
            <w:r>
              <w:rPr>
                <w:rFonts w:ascii="Arial" w:cs="Arial" w:eastAsia="Arial" w:hAnsi="Arial"/>
                <w:sz w:val="14"/>
                <w:szCs w:val="14"/>
                <w:b w:val="1"/>
                <w:bCs w:val="1"/>
                <w:color w:val="auto"/>
              </w:rPr>
              <w:t>2012</w:t>
            </w:r>
          </w:p>
        </w:tc>
        <w:tc>
          <w:tcPr>
            <w:tcW w:w="200" w:type="dxa"/>
            <w:vAlign w:val="bottom"/>
            <w:tcBorders>
              <w:bottom w:val="single" w:sz="8" w:color="CCEEFF"/>
            </w:tcBorders>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680" w:type="dxa"/>
            <w:vAlign w:val="bottom"/>
            <w:tcBorders>
              <w:bottom w:val="single" w:sz="8" w:color="auto"/>
            </w:tcBorders>
          </w:tcPr>
          <w:p>
            <w:pPr>
              <w:jc w:val="right"/>
              <w:ind w:right="171"/>
              <w:spacing w:after="0"/>
              <w:rPr>
                <w:sz w:val="20"/>
                <w:szCs w:val="20"/>
                <w:color w:val="auto"/>
              </w:rPr>
            </w:pPr>
            <w:r>
              <w:rPr>
                <w:rFonts w:ascii="Arial" w:cs="Arial" w:eastAsia="Arial" w:hAnsi="Arial"/>
                <w:sz w:val="14"/>
                <w:szCs w:val="14"/>
                <w:b w:val="1"/>
                <w:bCs w:val="1"/>
                <w:color w:val="auto"/>
              </w:rPr>
              <w:t>2013</w:t>
            </w:r>
          </w:p>
        </w:tc>
        <w:tc>
          <w:tcPr>
            <w:tcW w:w="120" w:type="dxa"/>
            <w:vAlign w:val="bottom"/>
            <w:tcBorders>
              <w:bottom w:val="single" w:sz="8" w:color="CCEEFF"/>
            </w:tcBorders>
          </w:tcPr>
          <w:p>
            <w:pPr>
              <w:spacing w:after="0"/>
              <w:rPr>
                <w:sz w:val="14"/>
                <w:szCs w:val="14"/>
                <w:color w:val="auto"/>
              </w:rPr>
            </w:pPr>
          </w:p>
        </w:tc>
        <w:tc>
          <w:tcPr>
            <w:tcW w:w="80" w:type="dxa"/>
            <w:vAlign w:val="bottom"/>
            <w:tcBorders>
              <w:bottom w:val="single" w:sz="8" w:color="CCEEFF"/>
            </w:tcBorders>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800" w:type="dxa"/>
            <w:vAlign w:val="bottom"/>
            <w:tcBorders>
              <w:bottom w:val="single" w:sz="8" w:color="auto"/>
            </w:tcBorders>
          </w:tcPr>
          <w:p>
            <w:pPr>
              <w:jc w:val="right"/>
              <w:ind w:right="211"/>
              <w:spacing w:after="0"/>
              <w:rPr>
                <w:sz w:val="20"/>
                <w:szCs w:val="20"/>
                <w:color w:val="auto"/>
              </w:rPr>
            </w:pPr>
            <w:r>
              <w:rPr>
                <w:rFonts w:ascii="Arial" w:cs="Arial" w:eastAsia="Arial" w:hAnsi="Arial"/>
                <w:sz w:val="14"/>
                <w:szCs w:val="14"/>
                <w:b w:val="1"/>
                <w:bCs w:val="1"/>
                <w:color w:val="auto"/>
              </w:rPr>
              <w:t>2012</w:t>
            </w:r>
          </w:p>
        </w:tc>
        <w:tc>
          <w:tcPr>
            <w:tcW w:w="100" w:type="dxa"/>
            <w:vAlign w:val="bottom"/>
            <w:tcBorders>
              <w:bottom w:val="single" w:sz="8" w:color="CCEEFF"/>
            </w:tcBorders>
          </w:tcPr>
          <w:p>
            <w:pPr>
              <w:spacing w:after="0"/>
              <w:rPr>
                <w:sz w:val="14"/>
                <w:szCs w:val="14"/>
                <w:color w:val="auto"/>
              </w:rPr>
            </w:pPr>
          </w:p>
        </w:tc>
      </w:tr>
      <w:tr>
        <w:trPr>
          <w:trHeight w:val="196"/>
        </w:trPr>
        <w:tc>
          <w:tcPr>
            <w:tcW w:w="20" w:type="dxa"/>
            <w:vAlign w:val="bottom"/>
          </w:tcPr>
          <w:p>
            <w:pPr>
              <w:spacing w:after="0"/>
              <w:rPr>
                <w:sz w:val="17"/>
                <w:szCs w:val="17"/>
                <w:color w:val="auto"/>
              </w:rPr>
            </w:pPr>
          </w:p>
        </w:tc>
        <w:tc>
          <w:tcPr>
            <w:tcW w:w="7500" w:type="dxa"/>
            <w:vAlign w:val="bottom"/>
            <w:shd w:val="clear" w:color="auto" w:fill="CCEEFF"/>
          </w:tcPr>
          <w:p>
            <w:pPr>
              <w:spacing w:after="0" w:line="196" w:lineRule="exact"/>
              <w:rPr>
                <w:sz w:val="20"/>
                <w:szCs w:val="20"/>
                <w:color w:val="auto"/>
              </w:rPr>
            </w:pPr>
            <w:r>
              <w:rPr>
                <w:rFonts w:ascii="Arial" w:cs="Arial" w:eastAsia="Arial" w:hAnsi="Arial"/>
                <w:sz w:val="18"/>
                <w:szCs w:val="18"/>
                <w:color w:val="auto"/>
              </w:rPr>
              <w:t>Cash flows from operating activities:</w:t>
            </w:r>
          </w:p>
        </w:tc>
        <w:tc>
          <w:tcPr>
            <w:tcW w:w="120" w:type="dxa"/>
            <w:vAlign w:val="bottom"/>
            <w:shd w:val="clear" w:color="auto" w:fill="CCEEFF"/>
          </w:tcPr>
          <w:p>
            <w:pPr>
              <w:spacing w:after="0"/>
              <w:rPr>
                <w:sz w:val="17"/>
                <w:szCs w:val="17"/>
                <w:color w:val="auto"/>
              </w:rPr>
            </w:pPr>
          </w:p>
        </w:tc>
        <w:tc>
          <w:tcPr>
            <w:tcW w:w="660" w:type="dxa"/>
            <w:vAlign w:val="bottom"/>
            <w:shd w:val="clear" w:color="auto" w:fill="CCEEFF"/>
          </w:tcPr>
          <w:p>
            <w:pPr>
              <w:spacing w:after="0"/>
              <w:rPr>
                <w:sz w:val="17"/>
                <w:szCs w:val="17"/>
                <w:color w:val="auto"/>
              </w:rPr>
            </w:pPr>
          </w:p>
        </w:tc>
        <w:tc>
          <w:tcPr>
            <w:tcW w:w="2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6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640" w:type="dxa"/>
            <w:vAlign w:val="bottom"/>
            <w:shd w:val="clear" w:color="auto" w:fill="CCEEFF"/>
          </w:tcPr>
          <w:p>
            <w:pPr>
              <w:spacing w:after="0"/>
              <w:rPr>
                <w:sz w:val="17"/>
                <w:szCs w:val="17"/>
                <w:color w:val="auto"/>
              </w:rPr>
            </w:pPr>
          </w:p>
        </w:tc>
        <w:tc>
          <w:tcPr>
            <w:tcW w:w="20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68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80" w:type="dxa"/>
            <w:vAlign w:val="bottom"/>
            <w:shd w:val="clear" w:color="auto" w:fill="CCEEFF"/>
          </w:tcPr>
          <w:p>
            <w:pPr>
              <w:spacing w:after="0"/>
              <w:rPr>
                <w:sz w:val="17"/>
                <w:szCs w:val="17"/>
                <w:color w:val="auto"/>
              </w:rPr>
            </w:pPr>
          </w:p>
        </w:tc>
        <w:tc>
          <w:tcPr>
            <w:tcW w:w="80" w:type="dxa"/>
            <w:vAlign w:val="bottom"/>
            <w:shd w:val="clear" w:color="auto" w:fill="CCEEFF"/>
          </w:tcPr>
          <w:p>
            <w:pPr>
              <w:spacing w:after="0"/>
              <w:rPr>
                <w:sz w:val="17"/>
                <w:szCs w:val="17"/>
                <w:color w:val="auto"/>
              </w:rPr>
            </w:pPr>
          </w:p>
        </w:tc>
        <w:tc>
          <w:tcPr>
            <w:tcW w:w="80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r>
      <w:tr>
        <w:trPr>
          <w:trHeight w:val="216"/>
        </w:trPr>
        <w:tc>
          <w:tcPr>
            <w:tcW w:w="20" w:type="dxa"/>
            <w:vAlign w:val="bottom"/>
          </w:tcPr>
          <w:p>
            <w:pPr>
              <w:spacing w:after="0"/>
              <w:rPr>
                <w:sz w:val="18"/>
                <w:szCs w:val="18"/>
                <w:color w:val="auto"/>
              </w:rPr>
            </w:pPr>
          </w:p>
        </w:tc>
        <w:tc>
          <w:tcPr>
            <w:tcW w:w="7500" w:type="dxa"/>
            <w:vAlign w:val="bottom"/>
          </w:tcPr>
          <w:p>
            <w:pPr>
              <w:spacing w:after="0"/>
              <w:rPr>
                <w:sz w:val="20"/>
                <w:szCs w:val="20"/>
                <w:color w:val="auto"/>
              </w:rPr>
            </w:pPr>
            <w:r>
              <w:rPr>
                <w:rFonts w:ascii="Arial" w:cs="Arial" w:eastAsia="Arial" w:hAnsi="Arial"/>
                <w:sz w:val="18"/>
                <w:szCs w:val="18"/>
                <w:color w:val="auto"/>
              </w:rPr>
              <w:t>Net income</w:t>
            </w:r>
          </w:p>
        </w:tc>
        <w:tc>
          <w:tcPr>
            <w:tcW w:w="120" w:type="dxa"/>
            <w:vAlign w:val="bottom"/>
          </w:tcPr>
          <w:p>
            <w:pPr>
              <w:spacing w:after="0"/>
              <w:rPr>
                <w:sz w:val="20"/>
                <w:szCs w:val="20"/>
                <w:color w:val="auto"/>
              </w:rPr>
            </w:pPr>
            <w:r>
              <w:rPr>
                <w:rFonts w:ascii="Arial" w:cs="Arial" w:eastAsia="Arial" w:hAnsi="Arial"/>
                <w:sz w:val="18"/>
                <w:szCs w:val="18"/>
                <w:color w:val="auto"/>
                <w:w w:val="99"/>
              </w:rPr>
              <w:t>$</w:t>
            </w:r>
          </w:p>
        </w:tc>
        <w:tc>
          <w:tcPr>
            <w:tcW w:w="680" w:type="dxa"/>
            <w:vAlign w:val="bottom"/>
            <w:gridSpan w:val="2"/>
          </w:tcPr>
          <w:p>
            <w:pPr>
              <w:jc w:val="right"/>
              <w:ind w:right="20"/>
              <w:spacing w:after="0"/>
              <w:rPr>
                <w:sz w:val="20"/>
                <w:szCs w:val="20"/>
                <w:color w:val="auto"/>
              </w:rPr>
            </w:pPr>
            <w:r>
              <w:rPr>
                <w:rFonts w:ascii="Arial" w:cs="Arial" w:eastAsia="Arial" w:hAnsi="Arial"/>
                <w:sz w:val="18"/>
                <w:szCs w:val="18"/>
                <w:color w:val="auto"/>
                <w:w w:val="98"/>
              </w:rPr>
              <w:t>103,156</w:t>
            </w:r>
          </w:p>
        </w:tc>
        <w:tc>
          <w:tcPr>
            <w:tcW w:w="120" w:type="dxa"/>
            <w:vAlign w:val="bottom"/>
          </w:tcPr>
          <w:p>
            <w:pPr>
              <w:spacing w:after="0"/>
              <w:rPr>
                <w:sz w:val="18"/>
                <w:szCs w:val="18"/>
                <w:color w:val="auto"/>
              </w:rPr>
            </w:pPr>
          </w:p>
        </w:tc>
        <w:tc>
          <w:tcPr>
            <w:tcW w:w="160" w:type="dxa"/>
            <w:vAlign w:val="bottom"/>
            <w:gridSpan w:val="2"/>
          </w:tcPr>
          <w:p>
            <w:pPr>
              <w:ind w:left="60"/>
              <w:spacing w:after="0"/>
              <w:rPr>
                <w:sz w:val="20"/>
                <w:szCs w:val="20"/>
                <w:color w:val="auto"/>
              </w:rPr>
            </w:pPr>
            <w:r>
              <w:rPr>
                <w:rFonts w:ascii="Arial" w:cs="Arial" w:eastAsia="Arial" w:hAnsi="Arial"/>
                <w:sz w:val="18"/>
                <w:szCs w:val="18"/>
                <w:color w:val="auto"/>
                <w:w w:val="79"/>
              </w:rPr>
              <w:t>$</w:t>
            </w:r>
          </w:p>
        </w:tc>
        <w:tc>
          <w:tcPr>
            <w:tcW w:w="840" w:type="dxa"/>
            <w:vAlign w:val="bottom"/>
            <w:gridSpan w:val="2"/>
          </w:tcPr>
          <w:p>
            <w:pPr>
              <w:jc w:val="right"/>
              <w:ind w:right="120"/>
              <w:spacing w:after="0"/>
              <w:rPr>
                <w:sz w:val="20"/>
                <w:szCs w:val="20"/>
                <w:color w:val="auto"/>
              </w:rPr>
            </w:pPr>
            <w:r>
              <w:rPr>
                <w:rFonts w:ascii="Arial" w:cs="Arial" w:eastAsia="Arial" w:hAnsi="Arial"/>
                <w:sz w:val="18"/>
                <w:szCs w:val="18"/>
                <w:color w:val="auto"/>
              </w:rPr>
              <w:t>68,816</w:t>
            </w:r>
          </w:p>
        </w:tc>
        <w:tc>
          <w:tcPr>
            <w:tcW w:w="120" w:type="dxa"/>
            <w:vAlign w:val="bottom"/>
          </w:tcPr>
          <w:p>
            <w:pPr>
              <w:spacing w:after="0"/>
              <w:rPr>
                <w:sz w:val="20"/>
                <w:szCs w:val="20"/>
                <w:color w:val="auto"/>
              </w:rPr>
            </w:pPr>
            <w:r>
              <w:rPr>
                <w:rFonts w:ascii="Arial" w:cs="Arial" w:eastAsia="Arial" w:hAnsi="Arial"/>
                <w:sz w:val="18"/>
                <w:szCs w:val="18"/>
                <w:color w:val="auto"/>
                <w:w w:val="99"/>
              </w:rPr>
              <w:t>$</w:t>
            </w:r>
          </w:p>
        </w:tc>
        <w:tc>
          <w:tcPr>
            <w:tcW w:w="800" w:type="dxa"/>
            <w:vAlign w:val="bottom"/>
            <w:gridSpan w:val="2"/>
          </w:tcPr>
          <w:p>
            <w:pPr>
              <w:jc w:val="right"/>
              <w:ind w:right="120"/>
              <w:spacing w:after="0"/>
              <w:rPr>
                <w:sz w:val="20"/>
                <w:szCs w:val="20"/>
                <w:color w:val="auto"/>
              </w:rPr>
            </w:pPr>
            <w:r>
              <w:rPr>
                <w:rFonts w:ascii="Arial" w:cs="Arial" w:eastAsia="Arial" w:hAnsi="Arial"/>
                <w:sz w:val="18"/>
                <w:szCs w:val="18"/>
                <w:color w:val="auto"/>
              </w:rPr>
              <w:t>218,191</w:t>
            </w:r>
          </w:p>
        </w:tc>
        <w:tc>
          <w:tcPr>
            <w:tcW w:w="16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900" w:type="dxa"/>
            <w:vAlign w:val="bottom"/>
            <w:gridSpan w:val="2"/>
          </w:tcPr>
          <w:p>
            <w:pPr>
              <w:jc w:val="right"/>
              <w:ind w:right="100"/>
              <w:spacing w:after="0"/>
              <w:rPr>
                <w:sz w:val="20"/>
                <w:szCs w:val="20"/>
                <w:color w:val="auto"/>
              </w:rPr>
            </w:pPr>
            <w:r>
              <w:rPr>
                <w:rFonts w:ascii="Arial" w:cs="Arial" w:eastAsia="Arial" w:hAnsi="Arial"/>
                <w:sz w:val="18"/>
                <w:szCs w:val="18"/>
                <w:color w:val="auto"/>
              </w:rPr>
              <w:t>256,433</w:t>
            </w:r>
          </w:p>
        </w:tc>
      </w:tr>
      <w:tr>
        <w:trPr>
          <w:trHeight w:val="216"/>
        </w:trPr>
        <w:tc>
          <w:tcPr>
            <w:tcW w:w="20" w:type="dxa"/>
            <w:vAlign w:val="bottom"/>
          </w:tcPr>
          <w:p>
            <w:pPr>
              <w:spacing w:after="0"/>
              <w:rPr>
                <w:sz w:val="18"/>
                <w:szCs w:val="18"/>
                <w:color w:val="auto"/>
              </w:rPr>
            </w:pPr>
          </w:p>
        </w:tc>
        <w:tc>
          <w:tcPr>
            <w:tcW w:w="7500" w:type="dxa"/>
            <w:vAlign w:val="bottom"/>
            <w:shd w:val="clear" w:color="auto" w:fill="CCEEFF"/>
          </w:tcPr>
          <w:p>
            <w:pPr>
              <w:spacing w:after="0"/>
              <w:rPr>
                <w:sz w:val="20"/>
                <w:szCs w:val="20"/>
                <w:color w:val="auto"/>
              </w:rPr>
            </w:pPr>
            <w:r>
              <w:rPr>
                <w:rFonts w:ascii="Arial" w:cs="Arial" w:eastAsia="Arial" w:hAnsi="Arial"/>
                <w:sz w:val="18"/>
                <w:szCs w:val="18"/>
                <w:color w:val="auto"/>
              </w:rPr>
              <w:t>Adjustments to reconcile net income to net cash provided by operating activities:</w:t>
            </w:r>
          </w:p>
        </w:tc>
        <w:tc>
          <w:tcPr>
            <w:tcW w:w="120" w:type="dxa"/>
            <w:vAlign w:val="bottom"/>
            <w:shd w:val="clear" w:color="auto" w:fill="CCEEFF"/>
          </w:tcPr>
          <w:p>
            <w:pPr>
              <w:spacing w:after="0"/>
              <w:rPr>
                <w:sz w:val="18"/>
                <w:szCs w:val="18"/>
                <w:color w:val="auto"/>
              </w:rPr>
            </w:pPr>
          </w:p>
        </w:tc>
        <w:tc>
          <w:tcPr>
            <w:tcW w:w="66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64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6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8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7500" w:type="dxa"/>
            <w:vAlign w:val="bottom"/>
          </w:tcPr>
          <w:p>
            <w:pPr>
              <w:ind w:left="340"/>
              <w:spacing w:after="0"/>
              <w:rPr>
                <w:sz w:val="20"/>
                <w:szCs w:val="20"/>
                <w:color w:val="auto"/>
              </w:rPr>
            </w:pPr>
            <w:r>
              <w:rPr>
                <w:rFonts w:ascii="Arial" w:cs="Arial" w:eastAsia="Arial" w:hAnsi="Arial"/>
                <w:sz w:val="18"/>
                <w:szCs w:val="18"/>
                <w:color w:val="auto"/>
              </w:rPr>
              <w:t>Depreciation and amortization</w:t>
            </w:r>
          </w:p>
        </w:tc>
        <w:tc>
          <w:tcPr>
            <w:tcW w:w="120" w:type="dxa"/>
            <w:vAlign w:val="bottom"/>
          </w:tcPr>
          <w:p>
            <w:pPr>
              <w:spacing w:after="0"/>
              <w:rPr>
                <w:sz w:val="18"/>
                <w:szCs w:val="18"/>
                <w:color w:val="auto"/>
              </w:rPr>
            </w:pPr>
          </w:p>
        </w:tc>
        <w:tc>
          <w:tcPr>
            <w:tcW w:w="680" w:type="dxa"/>
            <w:vAlign w:val="bottom"/>
            <w:gridSpan w:val="2"/>
          </w:tcPr>
          <w:p>
            <w:pPr>
              <w:jc w:val="right"/>
              <w:ind w:right="20"/>
              <w:spacing w:after="0"/>
              <w:rPr>
                <w:sz w:val="20"/>
                <w:szCs w:val="20"/>
                <w:color w:val="auto"/>
              </w:rPr>
            </w:pPr>
            <w:r>
              <w:rPr>
                <w:rFonts w:ascii="Arial" w:cs="Arial" w:eastAsia="Arial" w:hAnsi="Arial"/>
                <w:sz w:val="18"/>
                <w:szCs w:val="18"/>
                <w:color w:val="auto"/>
              </w:rPr>
              <w:t>25,913</w:t>
            </w:r>
          </w:p>
        </w:tc>
        <w:tc>
          <w:tcPr>
            <w:tcW w:w="12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40" w:type="dxa"/>
            <w:vAlign w:val="bottom"/>
            <w:gridSpan w:val="2"/>
          </w:tcPr>
          <w:p>
            <w:pPr>
              <w:jc w:val="right"/>
              <w:ind w:right="120"/>
              <w:spacing w:after="0"/>
              <w:rPr>
                <w:sz w:val="20"/>
                <w:szCs w:val="20"/>
                <w:color w:val="auto"/>
              </w:rPr>
            </w:pPr>
            <w:r>
              <w:rPr>
                <w:rFonts w:ascii="Arial" w:cs="Arial" w:eastAsia="Arial" w:hAnsi="Arial"/>
                <w:sz w:val="18"/>
                <w:szCs w:val="18"/>
                <w:color w:val="auto"/>
              </w:rPr>
              <w:t>22,317</w:t>
            </w:r>
          </w:p>
        </w:tc>
        <w:tc>
          <w:tcPr>
            <w:tcW w:w="120" w:type="dxa"/>
            <w:vAlign w:val="bottom"/>
          </w:tcPr>
          <w:p>
            <w:pPr>
              <w:spacing w:after="0"/>
              <w:rPr>
                <w:sz w:val="18"/>
                <w:szCs w:val="18"/>
                <w:color w:val="auto"/>
              </w:rPr>
            </w:pPr>
          </w:p>
        </w:tc>
        <w:tc>
          <w:tcPr>
            <w:tcW w:w="800" w:type="dxa"/>
            <w:vAlign w:val="bottom"/>
            <w:gridSpan w:val="2"/>
          </w:tcPr>
          <w:p>
            <w:pPr>
              <w:jc w:val="right"/>
              <w:ind w:right="120"/>
              <w:spacing w:after="0"/>
              <w:rPr>
                <w:sz w:val="20"/>
                <w:szCs w:val="20"/>
                <w:color w:val="auto"/>
              </w:rPr>
            </w:pPr>
            <w:r>
              <w:rPr>
                <w:rFonts w:ascii="Arial" w:cs="Arial" w:eastAsia="Arial" w:hAnsi="Arial"/>
                <w:sz w:val="18"/>
                <w:szCs w:val="18"/>
                <w:color w:val="auto"/>
              </w:rPr>
              <w:t>76,576</w:t>
            </w:r>
          </w:p>
        </w:tc>
        <w:tc>
          <w:tcPr>
            <w:tcW w:w="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900" w:type="dxa"/>
            <w:vAlign w:val="bottom"/>
            <w:gridSpan w:val="2"/>
          </w:tcPr>
          <w:p>
            <w:pPr>
              <w:jc w:val="right"/>
              <w:ind w:right="100"/>
              <w:spacing w:after="0"/>
              <w:rPr>
                <w:sz w:val="20"/>
                <w:szCs w:val="20"/>
                <w:color w:val="auto"/>
              </w:rPr>
            </w:pPr>
            <w:r>
              <w:rPr>
                <w:rFonts w:ascii="Arial" w:cs="Arial" w:eastAsia="Arial" w:hAnsi="Arial"/>
                <w:sz w:val="18"/>
                <w:szCs w:val="18"/>
                <w:color w:val="auto"/>
              </w:rPr>
              <w:t>64,801</w:t>
            </w:r>
          </w:p>
        </w:tc>
      </w:tr>
      <w:tr>
        <w:trPr>
          <w:trHeight w:val="216"/>
        </w:trPr>
        <w:tc>
          <w:tcPr>
            <w:tcW w:w="20" w:type="dxa"/>
            <w:vAlign w:val="bottom"/>
          </w:tcPr>
          <w:p>
            <w:pPr>
              <w:spacing w:after="0"/>
              <w:rPr>
                <w:sz w:val="18"/>
                <w:szCs w:val="18"/>
                <w:color w:val="auto"/>
              </w:rPr>
            </w:pPr>
          </w:p>
        </w:tc>
        <w:tc>
          <w:tcPr>
            <w:tcW w:w="7500" w:type="dxa"/>
            <w:vAlign w:val="bottom"/>
            <w:shd w:val="clear" w:color="auto" w:fill="CCEEFF"/>
          </w:tcPr>
          <w:p>
            <w:pPr>
              <w:ind w:left="340"/>
              <w:spacing w:after="0"/>
              <w:rPr>
                <w:sz w:val="20"/>
                <w:szCs w:val="20"/>
                <w:color w:val="auto"/>
              </w:rPr>
            </w:pPr>
            <w:r>
              <w:rPr>
                <w:rFonts w:ascii="Arial" w:cs="Arial" w:eastAsia="Arial" w:hAnsi="Arial"/>
                <w:sz w:val="18"/>
                <w:szCs w:val="18"/>
                <w:color w:val="auto"/>
              </w:rPr>
              <w:t>Stock-based compensation</w:t>
            </w:r>
          </w:p>
        </w:tc>
        <w:tc>
          <w:tcPr>
            <w:tcW w:w="120" w:type="dxa"/>
            <w:vAlign w:val="bottom"/>
            <w:shd w:val="clear" w:color="auto" w:fill="CCEEFF"/>
          </w:tcPr>
          <w:p>
            <w:pPr>
              <w:spacing w:after="0"/>
              <w:rPr>
                <w:sz w:val="18"/>
                <w:szCs w:val="18"/>
                <w:color w:val="auto"/>
              </w:rPr>
            </w:pPr>
          </w:p>
        </w:tc>
        <w:tc>
          <w:tcPr>
            <w:tcW w:w="68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43,201</w:t>
            </w:r>
          </w:p>
        </w:tc>
        <w:tc>
          <w:tcPr>
            <w:tcW w:w="12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4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30,374</w:t>
            </w:r>
          </w:p>
        </w:tc>
        <w:tc>
          <w:tcPr>
            <w:tcW w:w="120" w:type="dxa"/>
            <w:vAlign w:val="bottom"/>
            <w:shd w:val="clear" w:color="auto" w:fill="CCEEFF"/>
          </w:tcPr>
          <w:p>
            <w:pPr>
              <w:spacing w:after="0"/>
              <w:rPr>
                <w:sz w:val="18"/>
                <w:szCs w:val="18"/>
                <w:color w:val="auto"/>
              </w:rPr>
            </w:pPr>
          </w:p>
        </w:tc>
        <w:tc>
          <w:tcPr>
            <w:tcW w:w="80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117,805</w:t>
            </w:r>
          </w:p>
        </w:tc>
        <w:tc>
          <w:tcPr>
            <w:tcW w:w="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90,794</w:t>
            </w:r>
          </w:p>
        </w:tc>
      </w:tr>
      <w:tr>
        <w:trPr>
          <w:trHeight w:val="216"/>
        </w:trPr>
        <w:tc>
          <w:tcPr>
            <w:tcW w:w="20" w:type="dxa"/>
            <w:vAlign w:val="bottom"/>
          </w:tcPr>
          <w:p>
            <w:pPr>
              <w:spacing w:after="0"/>
              <w:rPr>
                <w:sz w:val="18"/>
                <w:szCs w:val="18"/>
                <w:color w:val="auto"/>
              </w:rPr>
            </w:pPr>
          </w:p>
        </w:tc>
        <w:tc>
          <w:tcPr>
            <w:tcW w:w="7500" w:type="dxa"/>
            <w:vAlign w:val="bottom"/>
          </w:tcPr>
          <w:p>
            <w:pPr>
              <w:ind w:left="340"/>
              <w:spacing w:after="0"/>
              <w:rPr>
                <w:sz w:val="20"/>
                <w:szCs w:val="20"/>
                <w:color w:val="auto"/>
              </w:rPr>
            </w:pPr>
            <w:r>
              <w:rPr>
                <w:rFonts w:ascii="Arial" w:cs="Arial" w:eastAsia="Arial" w:hAnsi="Arial"/>
                <w:sz w:val="18"/>
                <w:szCs w:val="18"/>
                <w:color w:val="auto"/>
              </w:rPr>
              <w:t>Amortization of acquired intangible assets</w:t>
            </w:r>
          </w:p>
        </w:tc>
        <w:tc>
          <w:tcPr>
            <w:tcW w:w="120" w:type="dxa"/>
            <w:vAlign w:val="bottom"/>
          </w:tcPr>
          <w:p>
            <w:pPr>
              <w:spacing w:after="0"/>
              <w:rPr>
                <w:sz w:val="18"/>
                <w:szCs w:val="18"/>
                <w:color w:val="auto"/>
              </w:rPr>
            </w:pPr>
          </w:p>
        </w:tc>
        <w:tc>
          <w:tcPr>
            <w:tcW w:w="680" w:type="dxa"/>
            <w:vAlign w:val="bottom"/>
            <w:gridSpan w:val="2"/>
          </w:tcPr>
          <w:p>
            <w:pPr>
              <w:jc w:val="right"/>
              <w:ind w:right="20"/>
              <w:spacing w:after="0"/>
              <w:rPr>
                <w:sz w:val="20"/>
                <w:szCs w:val="20"/>
                <w:color w:val="auto"/>
              </w:rPr>
            </w:pPr>
            <w:r>
              <w:rPr>
                <w:rFonts w:ascii="Arial" w:cs="Arial" w:eastAsia="Arial" w:hAnsi="Arial"/>
                <w:sz w:val="18"/>
                <w:szCs w:val="18"/>
                <w:color w:val="auto"/>
              </w:rPr>
              <w:t>10,645</w:t>
            </w:r>
          </w:p>
        </w:tc>
        <w:tc>
          <w:tcPr>
            <w:tcW w:w="12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40" w:type="dxa"/>
            <w:vAlign w:val="bottom"/>
            <w:gridSpan w:val="2"/>
          </w:tcPr>
          <w:p>
            <w:pPr>
              <w:jc w:val="right"/>
              <w:ind w:right="120"/>
              <w:spacing w:after="0"/>
              <w:rPr>
                <w:sz w:val="20"/>
                <w:szCs w:val="20"/>
                <w:color w:val="auto"/>
              </w:rPr>
            </w:pPr>
            <w:r>
              <w:rPr>
                <w:rFonts w:ascii="Arial" w:cs="Arial" w:eastAsia="Arial" w:hAnsi="Arial"/>
                <w:sz w:val="18"/>
                <w:szCs w:val="18"/>
                <w:color w:val="auto"/>
              </w:rPr>
              <w:t>13,054</w:t>
            </w:r>
          </w:p>
        </w:tc>
        <w:tc>
          <w:tcPr>
            <w:tcW w:w="120" w:type="dxa"/>
            <w:vAlign w:val="bottom"/>
          </w:tcPr>
          <w:p>
            <w:pPr>
              <w:spacing w:after="0"/>
              <w:rPr>
                <w:sz w:val="18"/>
                <w:szCs w:val="18"/>
                <w:color w:val="auto"/>
              </w:rPr>
            </w:pPr>
          </w:p>
        </w:tc>
        <w:tc>
          <w:tcPr>
            <w:tcW w:w="800" w:type="dxa"/>
            <w:vAlign w:val="bottom"/>
            <w:gridSpan w:val="2"/>
          </w:tcPr>
          <w:p>
            <w:pPr>
              <w:jc w:val="right"/>
              <w:ind w:right="120"/>
              <w:spacing w:after="0"/>
              <w:rPr>
                <w:sz w:val="20"/>
                <w:szCs w:val="20"/>
                <w:color w:val="auto"/>
              </w:rPr>
            </w:pPr>
            <w:r>
              <w:rPr>
                <w:rFonts w:ascii="Arial" w:cs="Arial" w:eastAsia="Arial" w:hAnsi="Arial"/>
                <w:sz w:val="18"/>
                <w:szCs w:val="18"/>
                <w:color w:val="auto"/>
              </w:rPr>
              <w:t>31,969</w:t>
            </w:r>
          </w:p>
        </w:tc>
        <w:tc>
          <w:tcPr>
            <w:tcW w:w="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900" w:type="dxa"/>
            <w:vAlign w:val="bottom"/>
            <w:gridSpan w:val="2"/>
          </w:tcPr>
          <w:p>
            <w:pPr>
              <w:jc w:val="right"/>
              <w:ind w:right="100"/>
              <w:spacing w:after="0"/>
              <w:rPr>
                <w:sz w:val="20"/>
                <w:szCs w:val="20"/>
                <w:color w:val="auto"/>
              </w:rPr>
            </w:pPr>
            <w:r>
              <w:rPr>
                <w:rFonts w:ascii="Arial" w:cs="Arial" w:eastAsia="Arial" w:hAnsi="Arial"/>
                <w:sz w:val="18"/>
                <w:szCs w:val="18"/>
                <w:color w:val="auto"/>
              </w:rPr>
              <w:t>40,432</w:t>
            </w:r>
          </w:p>
        </w:tc>
      </w:tr>
      <w:tr>
        <w:trPr>
          <w:trHeight w:val="216"/>
        </w:trPr>
        <w:tc>
          <w:tcPr>
            <w:tcW w:w="20" w:type="dxa"/>
            <w:vAlign w:val="bottom"/>
          </w:tcPr>
          <w:p>
            <w:pPr>
              <w:spacing w:after="0"/>
              <w:rPr>
                <w:sz w:val="18"/>
                <w:szCs w:val="18"/>
                <w:color w:val="auto"/>
              </w:rPr>
            </w:pPr>
          </w:p>
        </w:tc>
        <w:tc>
          <w:tcPr>
            <w:tcW w:w="7500" w:type="dxa"/>
            <w:vAlign w:val="bottom"/>
            <w:shd w:val="clear" w:color="auto" w:fill="CCEEFF"/>
          </w:tcPr>
          <w:p>
            <w:pPr>
              <w:ind w:left="340"/>
              <w:spacing w:after="0"/>
              <w:rPr>
                <w:sz w:val="20"/>
                <w:szCs w:val="20"/>
                <w:color w:val="auto"/>
              </w:rPr>
            </w:pPr>
            <w:r>
              <w:rPr>
                <w:rFonts w:ascii="Arial" w:cs="Arial" w:eastAsia="Arial" w:hAnsi="Arial"/>
                <w:sz w:val="18"/>
                <w:szCs w:val="18"/>
                <w:color w:val="auto"/>
              </w:rPr>
              <w:t>Other expense, net</w:t>
            </w:r>
          </w:p>
        </w:tc>
        <w:tc>
          <w:tcPr>
            <w:tcW w:w="120" w:type="dxa"/>
            <w:vAlign w:val="bottom"/>
            <w:shd w:val="clear" w:color="auto" w:fill="CCEEFF"/>
          </w:tcPr>
          <w:p>
            <w:pPr>
              <w:spacing w:after="0"/>
              <w:rPr>
                <w:sz w:val="18"/>
                <w:szCs w:val="18"/>
                <w:color w:val="auto"/>
              </w:rPr>
            </w:pPr>
          </w:p>
        </w:tc>
        <w:tc>
          <w:tcPr>
            <w:tcW w:w="68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1,655</w:t>
            </w:r>
          </w:p>
        </w:tc>
        <w:tc>
          <w:tcPr>
            <w:tcW w:w="12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6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1,260</w:t>
            </w:r>
          </w:p>
        </w:tc>
        <w:tc>
          <w:tcPr>
            <w:tcW w:w="2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80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5,994</w:t>
            </w:r>
          </w:p>
        </w:tc>
        <w:tc>
          <w:tcPr>
            <w:tcW w:w="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6,435</w:t>
            </w:r>
          </w:p>
        </w:tc>
      </w:tr>
      <w:tr>
        <w:trPr>
          <w:trHeight w:val="216"/>
        </w:trPr>
        <w:tc>
          <w:tcPr>
            <w:tcW w:w="20" w:type="dxa"/>
            <w:vAlign w:val="bottom"/>
          </w:tcPr>
          <w:p>
            <w:pPr>
              <w:spacing w:after="0"/>
              <w:rPr>
                <w:sz w:val="18"/>
                <w:szCs w:val="18"/>
                <w:color w:val="auto"/>
              </w:rPr>
            </w:pPr>
          </w:p>
        </w:tc>
        <w:tc>
          <w:tcPr>
            <w:tcW w:w="7500" w:type="dxa"/>
            <w:vAlign w:val="bottom"/>
          </w:tcPr>
          <w:p>
            <w:pPr>
              <w:ind w:left="340"/>
              <w:spacing w:after="0"/>
              <w:rPr>
                <w:sz w:val="20"/>
                <w:szCs w:val="20"/>
                <w:color w:val="auto"/>
              </w:rPr>
            </w:pPr>
            <w:r>
              <w:rPr>
                <w:rFonts w:ascii="Arial" w:cs="Arial" w:eastAsia="Arial" w:hAnsi="Arial"/>
                <w:sz w:val="18"/>
                <w:szCs w:val="18"/>
                <w:color w:val="auto"/>
              </w:rPr>
              <w:t>Excess tax benefits from stock-based compensation</w:t>
            </w:r>
          </w:p>
        </w:tc>
        <w:tc>
          <w:tcPr>
            <w:tcW w:w="120" w:type="dxa"/>
            <w:vAlign w:val="bottom"/>
          </w:tcPr>
          <w:p>
            <w:pPr>
              <w:spacing w:after="0"/>
              <w:rPr>
                <w:sz w:val="18"/>
                <w:szCs w:val="18"/>
                <w:color w:val="auto"/>
              </w:rPr>
            </w:pPr>
          </w:p>
        </w:tc>
        <w:tc>
          <w:tcPr>
            <w:tcW w:w="800" w:type="dxa"/>
            <w:vAlign w:val="bottom"/>
            <w:gridSpan w:val="3"/>
          </w:tcPr>
          <w:p>
            <w:pPr>
              <w:jc w:val="right"/>
              <w:ind w:right="80"/>
              <w:spacing w:after="0"/>
              <w:rPr>
                <w:sz w:val="20"/>
                <w:szCs w:val="20"/>
                <w:color w:val="auto"/>
              </w:rPr>
            </w:pPr>
            <w:r>
              <w:rPr>
                <w:rFonts w:ascii="Arial" w:cs="Arial" w:eastAsia="Arial" w:hAnsi="Arial"/>
                <w:sz w:val="18"/>
                <w:szCs w:val="18"/>
                <w:color w:val="auto"/>
              </w:rPr>
              <w:t>(10)</w:t>
            </w:r>
          </w:p>
        </w:tc>
        <w:tc>
          <w:tcPr>
            <w:tcW w:w="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40" w:type="dxa"/>
            <w:vAlign w:val="bottom"/>
            <w:gridSpan w:val="2"/>
          </w:tcPr>
          <w:p>
            <w:pPr>
              <w:jc w:val="right"/>
              <w:ind w:right="60"/>
              <w:spacing w:after="0"/>
              <w:rPr>
                <w:sz w:val="20"/>
                <w:szCs w:val="20"/>
                <w:color w:val="auto"/>
              </w:rPr>
            </w:pPr>
            <w:r>
              <w:rPr>
                <w:rFonts w:ascii="Arial" w:cs="Arial" w:eastAsia="Arial" w:hAnsi="Arial"/>
                <w:sz w:val="18"/>
                <w:szCs w:val="18"/>
                <w:color w:val="auto"/>
              </w:rPr>
              <w:t>(5)</w:t>
            </w:r>
          </w:p>
        </w:tc>
        <w:tc>
          <w:tcPr>
            <w:tcW w:w="120" w:type="dxa"/>
            <w:vAlign w:val="bottom"/>
          </w:tcPr>
          <w:p>
            <w:pPr>
              <w:spacing w:after="0"/>
              <w:rPr>
                <w:sz w:val="18"/>
                <w:szCs w:val="18"/>
                <w:color w:val="auto"/>
              </w:rPr>
            </w:pPr>
          </w:p>
        </w:tc>
        <w:tc>
          <w:tcPr>
            <w:tcW w:w="800" w:type="dxa"/>
            <w:vAlign w:val="bottom"/>
            <w:gridSpan w:val="2"/>
          </w:tcPr>
          <w:p>
            <w:pPr>
              <w:jc w:val="right"/>
              <w:ind w:right="60"/>
              <w:spacing w:after="0"/>
              <w:rPr>
                <w:sz w:val="20"/>
                <w:szCs w:val="20"/>
                <w:color w:val="auto"/>
              </w:rPr>
            </w:pPr>
            <w:r>
              <w:rPr>
                <w:rFonts w:ascii="Arial" w:cs="Arial" w:eastAsia="Arial" w:hAnsi="Arial"/>
                <w:sz w:val="18"/>
                <w:szCs w:val="18"/>
                <w:color w:val="auto"/>
              </w:rPr>
              <w:t>(42)</w:t>
            </w:r>
          </w:p>
        </w:tc>
        <w:tc>
          <w:tcPr>
            <w:tcW w:w="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900" w:type="dxa"/>
            <w:vAlign w:val="bottom"/>
            <w:gridSpan w:val="2"/>
          </w:tcPr>
          <w:p>
            <w:pPr>
              <w:jc w:val="right"/>
              <w:ind w:right="40"/>
              <w:spacing w:after="0"/>
              <w:rPr>
                <w:sz w:val="20"/>
                <w:szCs w:val="20"/>
                <w:color w:val="auto"/>
              </w:rPr>
            </w:pPr>
            <w:r>
              <w:rPr>
                <w:rFonts w:ascii="Arial" w:cs="Arial" w:eastAsia="Arial" w:hAnsi="Arial"/>
                <w:sz w:val="18"/>
                <w:szCs w:val="18"/>
                <w:color w:val="auto"/>
              </w:rPr>
              <w:t>(49)</w:t>
            </w:r>
          </w:p>
        </w:tc>
      </w:tr>
      <w:tr>
        <w:trPr>
          <w:trHeight w:val="216"/>
        </w:trPr>
        <w:tc>
          <w:tcPr>
            <w:tcW w:w="20" w:type="dxa"/>
            <w:vAlign w:val="bottom"/>
          </w:tcPr>
          <w:p>
            <w:pPr>
              <w:spacing w:after="0"/>
              <w:rPr>
                <w:sz w:val="18"/>
                <w:szCs w:val="18"/>
                <w:color w:val="auto"/>
              </w:rPr>
            </w:pPr>
          </w:p>
        </w:tc>
        <w:tc>
          <w:tcPr>
            <w:tcW w:w="7500" w:type="dxa"/>
            <w:vAlign w:val="bottom"/>
            <w:shd w:val="clear" w:color="auto" w:fill="CCEEFF"/>
          </w:tcPr>
          <w:p>
            <w:pPr>
              <w:ind w:left="340"/>
              <w:spacing w:after="0"/>
              <w:rPr>
                <w:sz w:val="20"/>
                <w:szCs w:val="20"/>
                <w:color w:val="auto"/>
              </w:rPr>
            </w:pPr>
            <w:r>
              <w:rPr>
                <w:rFonts w:ascii="Arial" w:cs="Arial" w:eastAsia="Arial" w:hAnsi="Arial"/>
                <w:sz w:val="18"/>
                <w:szCs w:val="18"/>
                <w:color w:val="auto"/>
              </w:rPr>
              <w:t>Changes in assets and liabilities:</w:t>
            </w:r>
          </w:p>
        </w:tc>
        <w:tc>
          <w:tcPr>
            <w:tcW w:w="120" w:type="dxa"/>
            <w:vAlign w:val="bottom"/>
            <w:shd w:val="clear" w:color="auto" w:fill="CCEEFF"/>
          </w:tcPr>
          <w:p>
            <w:pPr>
              <w:spacing w:after="0"/>
              <w:rPr>
                <w:sz w:val="18"/>
                <w:szCs w:val="18"/>
                <w:color w:val="auto"/>
              </w:rPr>
            </w:pPr>
          </w:p>
        </w:tc>
        <w:tc>
          <w:tcPr>
            <w:tcW w:w="66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64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6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8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7500" w:type="dxa"/>
            <w:vAlign w:val="bottom"/>
          </w:tcPr>
          <w:p>
            <w:pPr>
              <w:ind w:left="700"/>
              <w:spacing w:after="0"/>
              <w:rPr>
                <w:sz w:val="20"/>
                <w:szCs w:val="20"/>
                <w:color w:val="auto"/>
              </w:rPr>
            </w:pPr>
            <w:r>
              <w:rPr>
                <w:rFonts w:ascii="Arial" w:cs="Arial" w:eastAsia="Arial" w:hAnsi="Arial"/>
                <w:sz w:val="18"/>
                <w:szCs w:val="18"/>
                <w:color w:val="auto"/>
              </w:rPr>
              <w:t>Accounts receivable</w:t>
            </w:r>
          </w:p>
        </w:tc>
        <w:tc>
          <w:tcPr>
            <w:tcW w:w="120" w:type="dxa"/>
            <w:vAlign w:val="bottom"/>
          </w:tcPr>
          <w:p>
            <w:pPr>
              <w:spacing w:after="0"/>
              <w:rPr>
                <w:sz w:val="18"/>
                <w:szCs w:val="18"/>
                <w:color w:val="auto"/>
              </w:rPr>
            </w:pPr>
          </w:p>
        </w:tc>
        <w:tc>
          <w:tcPr>
            <w:tcW w:w="800" w:type="dxa"/>
            <w:vAlign w:val="bottom"/>
            <w:gridSpan w:val="3"/>
          </w:tcPr>
          <w:p>
            <w:pPr>
              <w:jc w:val="right"/>
              <w:ind w:right="80"/>
              <w:spacing w:after="0"/>
              <w:rPr>
                <w:sz w:val="20"/>
                <w:szCs w:val="20"/>
                <w:color w:val="auto"/>
              </w:rPr>
            </w:pPr>
            <w:r>
              <w:rPr>
                <w:rFonts w:ascii="Arial" w:cs="Arial" w:eastAsia="Arial" w:hAnsi="Arial"/>
                <w:sz w:val="18"/>
                <w:szCs w:val="18"/>
                <w:color w:val="auto"/>
              </w:rPr>
              <w:t>(35,855)</w:t>
            </w:r>
          </w:p>
        </w:tc>
        <w:tc>
          <w:tcPr>
            <w:tcW w:w="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40" w:type="dxa"/>
            <w:vAlign w:val="bottom"/>
            <w:gridSpan w:val="2"/>
          </w:tcPr>
          <w:p>
            <w:pPr>
              <w:jc w:val="right"/>
              <w:ind w:right="120"/>
              <w:spacing w:after="0"/>
              <w:rPr>
                <w:sz w:val="20"/>
                <w:szCs w:val="20"/>
                <w:color w:val="auto"/>
              </w:rPr>
            </w:pPr>
            <w:r>
              <w:rPr>
                <w:rFonts w:ascii="Arial" w:cs="Arial" w:eastAsia="Arial" w:hAnsi="Arial"/>
                <w:sz w:val="18"/>
                <w:szCs w:val="18"/>
                <w:color w:val="auto"/>
              </w:rPr>
              <w:t>16,002</w:t>
            </w:r>
          </w:p>
        </w:tc>
        <w:tc>
          <w:tcPr>
            <w:tcW w:w="120" w:type="dxa"/>
            <w:vAlign w:val="bottom"/>
          </w:tcPr>
          <w:p>
            <w:pPr>
              <w:spacing w:after="0"/>
              <w:rPr>
                <w:sz w:val="18"/>
                <w:szCs w:val="18"/>
                <w:color w:val="auto"/>
              </w:rPr>
            </w:pPr>
          </w:p>
        </w:tc>
        <w:tc>
          <w:tcPr>
            <w:tcW w:w="800" w:type="dxa"/>
            <w:vAlign w:val="bottom"/>
            <w:gridSpan w:val="2"/>
          </w:tcPr>
          <w:p>
            <w:pPr>
              <w:jc w:val="right"/>
              <w:ind w:right="60"/>
              <w:spacing w:after="0"/>
              <w:rPr>
                <w:sz w:val="20"/>
                <w:szCs w:val="20"/>
                <w:color w:val="auto"/>
              </w:rPr>
            </w:pPr>
            <w:r>
              <w:rPr>
                <w:rFonts w:ascii="Arial" w:cs="Arial" w:eastAsia="Arial" w:hAnsi="Arial"/>
                <w:sz w:val="18"/>
                <w:szCs w:val="18"/>
                <w:color w:val="auto"/>
                <w:w w:val="93"/>
              </w:rPr>
              <w:t>(136,491)</w:t>
            </w:r>
          </w:p>
        </w:tc>
        <w:tc>
          <w:tcPr>
            <w:tcW w:w="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900" w:type="dxa"/>
            <w:vAlign w:val="bottom"/>
            <w:gridSpan w:val="2"/>
          </w:tcPr>
          <w:p>
            <w:pPr>
              <w:jc w:val="right"/>
              <w:ind w:right="100"/>
              <w:spacing w:after="0"/>
              <w:rPr>
                <w:sz w:val="20"/>
                <w:szCs w:val="20"/>
                <w:color w:val="auto"/>
              </w:rPr>
            </w:pPr>
            <w:r>
              <w:rPr>
                <w:rFonts w:ascii="Arial" w:cs="Arial" w:eastAsia="Arial" w:hAnsi="Arial"/>
                <w:sz w:val="18"/>
                <w:szCs w:val="18"/>
                <w:color w:val="auto"/>
              </w:rPr>
              <w:t>32,493</w:t>
            </w:r>
          </w:p>
        </w:tc>
      </w:tr>
      <w:tr>
        <w:trPr>
          <w:trHeight w:val="216"/>
        </w:trPr>
        <w:tc>
          <w:tcPr>
            <w:tcW w:w="20" w:type="dxa"/>
            <w:vAlign w:val="bottom"/>
          </w:tcPr>
          <w:p>
            <w:pPr>
              <w:spacing w:after="0"/>
              <w:rPr>
                <w:sz w:val="18"/>
                <w:szCs w:val="18"/>
                <w:color w:val="auto"/>
              </w:rPr>
            </w:pPr>
          </w:p>
        </w:tc>
        <w:tc>
          <w:tcPr>
            <w:tcW w:w="7500" w:type="dxa"/>
            <w:vAlign w:val="bottom"/>
            <w:shd w:val="clear" w:color="auto" w:fill="CCEEFF"/>
          </w:tcPr>
          <w:p>
            <w:pPr>
              <w:ind w:left="700"/>
              <w:spacing w:after="0"/>
              <w:rPr>
                <w:sz w:val="20"/>
                <w:szCs w:val="20"/>
                <w:color w:val="auto"/>
              </w:rPr>
            </w:pPr>
            <w:r>
              <w:rPr>
                <w:rFonts w:ascii="Arial" w:cs="Arial" w:eastAsia="Arial" w:hAnsi="Arial"/>
                <w:sz w:val="18"/>
                <w:szCs w:val="18"/>
                <w:color w:val="auto"/>
              </w:rPr>
              <w:t>Inventories</w:t>
            </w:r>
          </w:p>
        </w:tc>
        <w:tc>
          <w:tcPr>
            <w:tcW w:w="120" w:type="dxa"/>
            <w:vAlign w:val="bottom"/>
            <w:shd w:val="clear" w:color="auto" w:fill="CCEEFF"/>
          </w:tcPr>
          <w:p>
            <w:pPr>
              <w:spacing w:after="0"/>
              <w:rPr>
                <w:sz w:val="18"/>
                <w:szCs w:val="18"/>
                <w:color w:val="auto"/>
              </w:rPr>
            </w:pPr>
          </w:p>
        </w:tc>
        <w:tc>
          <w:tcPr>
            <w:tcW w:w="800" w:type="dxa"/>
            <w:vAlign w:val="bottom"/>
            <w:gridSpan w:val="3"/>
            <w:shd w:val="clear" w:color="auto" w:fill="CCEEFF"/>
          </w:tcPr>
          <w:p>
            <w:pPr>
              <w:jc w:val="right"/>
              <w:ind w:right="80"/>
              <w:spacing w:after="0"/>
              <w:rPr>
                <w:sz w:val="20"/>
                <w:szCs w:val="20"/>
                <w:color w:val="auto"/>
              </w:rPr>
            </w:pPr>
            <w:r>
              <w:rPr>
                <w:rFonts w:ascii="Arial" w:cs="Arial" w:eastAsia="Arial" w:hAnsi="Arial"/>
                <w:sz w:val="18"/>
                <w:szCs w:val="18"/>
                <w:color w:val="auto"/>
              </w:rPr>
              <w:t>(45,157)</w:t>
            </w:r>
          </w:p>
        </w:tc>
        <w:tc>
          <w:tcPr>
            <w:tcW w:w="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4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21,601</w:t>
            </w:r>
          </w:p>
        </w:tc>
        <w:tc>
          <w:tcPr>
            <w:tcW w:w="120" w:type="dxa"/>
            <w:vAlign w:val="bottom"/>
            <w:shd w:val="clear" w:color="auto" w:fill="CCEEFF"/>
          </w:tcPr>
          <w:p>
            <w:pPr>
              <w:spacing w:after="0"/>
              <w:rPr>
                <w:sz w:val="18"/>
                <w:szCs w:val="18"/>
                <w:color w:val="auto"/>
              </w:rPr>
            </w:pPr>
          </w:p>
        </w:tc>
        <w:tc>
          <w:tcPr>
            <w:tcW w:w="80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w w:val="93"/>
              </w:rPr>
              <w:t>(129,450)</w:t>
            </w:r>
          </w:p>
        </w:tc>
        <w:tc>
          <w:tcPr>
            <w:tcW w:w="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29,634</w:t>
            </w:r>
          </w:p>
        </w:tc>
      </w:tr>
      <w:tr>
        <w:trPr>
          <w:trHeight w:val="216"/>
        </w:trPr>
        <w:tc>
          <w:tcPr>
            <w:tcW w:w="20" w:type="dxa"/>
            <w:vAlign w:val="bottom"/>
          </w:tcPr>
          <w:p>
            <w:pPr>
              <w:spacing w:after="0"/>
              <w:rPr>
                <w:sz w:val="18"/>
                <w:szCs w:val="18"/>
                <w:color w:val="auto"/>
              </w:rPr>
            </w:pPr>
          </w:p>
        </w:tc>
        <w:tc>
          <w:tcPr>
            <w:tcW w:w="7500" w:type="dxa"/>
            <w:vAlign w:val="bottom"/>
          </w:tcPr>
          <w:p>
            <w:pPr>
              <w:ind w:left="700"/>
              <w:spacing w:after="0"/>
              <w:rPr>
                <w:sz w:val="20"/>
                <w:szCs w:val="20"/>
                <w:color w:val="auto"/>
              </w:rPr>
            </w:pPr>
            <w:r>
              <w:rPr>
                <w:rFonts w:ascii="Arial" w:cs="Arial" w:eastAsia="Arial" w:hAnsi="Arial"/>
                <w:sz w:val="18"/>
                <w:szCs w:val="18"/>
                <w:color w:val="auto"/>
              </w:rPr>
              <w:t>Prepaid expenses and other assets</w:t>
            </w:r>
          </w:p>
        </w:tc>
        <w:tc>
          <w:tcPr>
            <w:tcW w:w="120" w:type="dxa"/>
            <w:vAlign w:val="bottom"/>
          </w:tcPr>
          <w:p>
            <w:pPr>
              <w:spacing w:after="0"/>
              <w:rPr>
                <w:sz w:val="18"/>
                <w:szCs w:val="18"/>
                <w:color w:val="auto"/>
              </w:rPr>
            </w:pPr>
          </w:p>
        </w:tc>
        <w:tc>
          <w:tcPr>
            <w:tcW w:w="800" w:type="dxa"/>
            <w:vAlign w:val="bottom"/>
            <w:gridSpan w:val="3"/>
          </w:tcPr>
          <w:p>
            <w:pPr>
              <w:jc w:val="right"/>
              <w:ind w:right="80"/>
              <w:spacing w:after="0"/>
              <w:rPr>
                <w:sz w:val="20"/>
                <w:szCs w:val="20"/>
                <w:color w:val="auto"/>
              </w:rPr>
            </w:pPr>
            <w:r>
              <w:rPr>
                <w:rFonts w:ascii="Arial" w:cs="Arial" w:eastAsia="Arial" w:hAnsi="Arial"/>
                <w:sz w:val="18"/>
                <w:szCs w:val="18"/>
                <w:color w:val="auto"/>
              </w:rPr>
              <w:t>(4,293)</w:t>
            </w:r>
          </w:p>
        </w:tc>
        <w:tc>
          <w:tcPr>
            <w:tcW w:w="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40" w:type="dxa"/>
            <w:vAlign w:val="bottom"/>
            <w:gridSpan w:val="2"/>
          </w:tcPr>
          <w:p>
            <w:pPr>
              <w:jc w:val="right"/>
              <w:ind w:right="120"/>
              <w:spacing w:after="0"/>
              <w:rPr>
                <w:sz w:val="20"/>
                <w:szCs w:val="20"/>
                <w:color w:val="auto"/>
              </w:rPr>
            </w:pPr>
            <w:r>
              <w:rPr>
                <w:rFonts w:ascii="Arial" w:cs="Arial" w:eastAsia="Arial" w:hAnsi="Arial"/>
                <w:sz w:val="18"/>
                <w:szCs w:val="18"/>
                <w:color w:val="auto"/>
              </w:rPr>
              <w:t>358</w:t>
            </w:r>
          </w:p>
        </w:tc>
        <w:tc>
          <w:tcPr>
            <w:tcW w:w="120" w:type="dxa"/>
            <w:vAlign w:val="bottom"/>
          </w:tcPr>
          <w:p>
            <w:pPr>
              <w:spacing w:after="0"/>
              <w:rPr>
                <w:sz w:val="18"/>
                <w:szCs w:val="18"/>
                <w:color w:val="auto"/>
              </w:rPr>
            </w:pPr>
          </w:p>
        </w:tc>
        <w:tc>
          <w:tcPr>
            <w:tcW w:w="800" w:type="dxa"/>
            <w:vAlign w:val="bottom"/>
            <w:gridSpan w:val="2"/>
          </w:tcPr>
          <w:p>
            <w:pPr>
              <w:jc w:val="right"/>
              <w:ind w:right="120"/>
              <w:spacing w:after="0"/>
              <w:rPr>
                <w:sz w:val="20"/>
                <w:szCs w:val="20"/>
                <w:color w:val="auto"/>
              </w:rPr>
            </w:pPr>
            <w:r>
              <w:rPr>
                <w:rFonts w:ascii="Arial" w:cs="Arial" w:eastAsia="Arial" w:hAnsi="Arial"/>
                <w:sz w:val="18"/>
                <w:szCs w:val="18"/>
                <w:color w:val="auto"/>
              </w:rPr>
              <w:t>15,012</w:t>
            </w:r>
          </w:p>
        </w:tc>
        <w:tc>
          <w:tcPr>
            <w:tcW w:w="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900" w:type="dxa"/>
            <w:vAlign w:val="bottom"/>
            <w:gridSpan w:val="2"/>
          </w:tcPr>
          <w:p>
            <w:pPr>
              <w:jc w:val="right"/>
              <w:ind w:right="100"/>
              <w:spacing w:after="0"/>
              <w:rPr>
                <w:sz w:val="20"/>
                <w:szCs w:val="20"/>
                <w:color w:val="auto"/>
              </w:rPr>
            </w:pPr>
            <w:r>
              <w:rPr>
                <w:rFonts w:ascii="Arial" w:cs="Arial" w:eastAsia="Arial" w:hAnsi="Arial"/>
                <w:sz w:val="18"/>
                <w:szCs w:val="18"/>
                <w:color w:val="auto"/>
              </w:rPr>
              <w:t>15,993</w:t>
            </w:r>
          </w:p>
        </w:tc>
      </w:tr>
      <w:tr>
        <w:trPr>
          <w:trHeight w:val="216"/>
        </w:trPr>
        <w:tc>
          <w:tcPr>
            <w:tcW w:w="20" w:type="dxa"/>
            <w:vAlign w:val="bottom"/>
          </w:tcPr>
          <w:p>
            <w:pPr>
              <w:spacing w:after="0"/>
              <w:rPr>
                <w:sz w:val="18"/>
                <w:szCs w:val="18"/>
                <w:color w:val="auto"/>
              </w:rPr>
            </w:pPr>
          </w:p>
        </w:tc>
        <w:tc>
          <w:tcPr>
            <w:tcW w:w="7500" w:type="dxa"/>
            <w:vAlign w:val="bottom"/>
            <w:shd w:val="clear" w:color="auto" w:fill="CCEEFF"/>
          </w:tcPr>
          <w:p>
            <w:pPr>
              <w:ind w:left="700"/>
              <w:spacing w:after="0"/>
              <w:rPr>
                <w:sz w:val="20"/>
                <w:szCs w:val="20"/>
                <w:color w:val="auto"/>
              </w:rPr>
            </w:pPr>
            <w:r>
              <w:rPr>
                <w:rFonts w:ascii="Arial" w:cs="Arial" w:eastAsia="Arial" w:hAnsi="Arial"/>
                <w:sz w:val="18"/>
                <w:szCs w:val="18"/>
                <w:color w:val="auto"/>
              </w:rPr>
              <w:t>Accounts payable</w:t>
            </w:r>
          </w:p>
        </w:tc>
        <w:tc>
          <w:tcPr>
            <w:tcW w:w="120" w:type="dxa"/>
            <w:vAlign w:val="bottom"/>
            <w:shd w:val="clear" w:color="auto" w:fill="CCEEFF"/>
          </w:tcPr>
          <w:p>
            <w:pPr>
              <w:spacing w:after="0"/>
              <w:rPr>
                <w:sz w:val="18"/>
                <w:szCs w:val="18"/>
                <w:color w:val="auto"/>
              </w:rPr>
            </w:pPr>
          </w:p>
        </w:tc>
        <w:tc>
          <w:tcPr>
            <w:tcW w:w="68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44,442</w:t>
            </w:r>
          </w:p>
        </w:tc>
        <w:tc>
          <w:tcPr>
            <w:tcW w:w="12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4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(54,674)</w:t>
            </w:r>
          </w:p>
        </w:tc>
        <w:tc>
          <w:tcPr>
            <w:tcW w:w="120" w:type="dxa"/>
            <w:vAlign w:val="bottom"/>
            <w:shd w:val="clear" w:color="auto" w:fill="CCEEFF"/>
          </w:tcPr>
          <w:p>
            <w:pPr>
              <w:spacing w:after="0"/>
              <w:rPr>
                <w:sz w:val="18"/>
                <w:szCs w:val="18"/>
                <w:color w:val="auto"/>
              </w:rPr>
            </w:pPr>
          </w:p>
        </w:tc>
        <w:tc>
          <w:tcPr>
            <w:tcW w:w="80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128,311</w:t>
            </w:r>
          </w:p>
        </w:tc>
        <w:tc>
          <w:tcPr>
            <w:tcW w:w="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(27,137)</w:t>
            </w:r>
          </w:p>
        </w:tc>
      </w:tr>
      <w:tr>
        <w:trPr>
          <w:trHeight w:val="216"/>
        </w:trPr>
        <w:tc>
          <w:tcPr>
            <w:tcW w:w="20" w:type="dxa"/>
            <w:vAlign w:val="bottom"/>
          </w:tcPr>
          <w:p>
            <w:pPr>
              <w:spacing w:after="0"/>
              <w:rPr>
                <w:sz w:val="18"/>
                <w:szCs w:val="18"/>
                <w:color w:val="auto"/>
              </w:rPr>
            </w:pPr>
          </w:p>
        </w:tc>
        <w:tc>
          <w:tcPr>
            <w:tcW w:w="7500" w:type="dxa"/>
            <w:vAlign w:val="bottom"/>
          </w:tcPr>
          <w:p>
            <w:pPr>
              <w:ind w:left="700"/>
              <w:spacing w:after="0"/>
              <w:rPr>
                <w:sz w:val="20"/>
                <w:szCs w:val="20"/>
                <w:color w:val="auto"/>
              </w:rPr>
            </w:pPr>
            <w:r>
              <w:rPr>
                <w:rFonts w:ascii="Arial" w:cs="Arial" w:eastAsia="Arial" w:hAnsi="Arial"/>
                <w:sz w:val="18"/>
                <w:szCs w:val="18"/>
                <w:color w:val="auto"/>
              </w:rPr>
              <w:t>Accrued liabilities and other non-current liabilities</w:t>
            </w:r>
          </w:p>
        </w:tc>
        <w:tc>
          <w:tcPr>
            <w:tcW w:w="120" w:type="dxa"/>
            <w:vAlign w:val="bottom"/>
          </w:tcPr>
          <w:p>
            <w:pPr>
              <w:spacing w:after="0"/>
              <w:rPr>
                <w:sz w:val="18"/>
                <w:szCs w:val="18"/>
                <w:color w:val="auto"/>
              </w:rPr>
            </w:pPr>
          </w:p>
        </w:tc>
        <w:tc>
          <w:tcPr>
            <w:tcW w:w="680" w:type="dxa"/>
            <w:vAlign w:val="bottom"/>
            <w:gridSpan w:val="2"/>
          </w:tcPr>
          <w:p>
            <w:pPr>
              <w:jc w:val="right"/>
              <w:ind w:right="20"/>
              <w:spacing w:after="0"/>
              <w:rPr>
                <w:sz w:val="20"/>
                <w:szCs w:val="20"/>
                <w:color w:val="auto"/>
              </w:rPr>
            </w:pPr>
            <w:r>
              <w:rPr>
                <w:rFonts w:ascii="Arial" w:cs="Arial" w:eastAsia="Arial" w:hAnsi="Arial"/>
                <w:sz w:val="18"/>
                <w:szCs w:val="18"/>
                <w:color w:val="auto"/>
              </w:rPr>
              <w:t>12,584</w:t>
            </w:r>
          </w:p>
        </w:tc>
        <w:tc>
          <w:tcPr>
            <w:tcW w:w="12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40" w:type="dxa"/>
            <w:vAlign w:val="bottom"/>
            <w:gridSpan w:val="2"/>
          </w:tcPr>
          <w:p>
            <w:pPr>
              <w:jc w:val="right"/>
              <w:ind w:right="60"/>
              <w:spacing w:after="0"/>
              <w:rPr>
                <w:sz w:val="20"/>
                <w:szCs w:val="20"/>
                <w:color w:val="auto"/>
              </w:rPr>
            </w:pPr>
            <w:r>
              <w:rPr>
                <w:rFonts w:ascii="Arial" w:cs="Arial" w:eastAsia="Arial" w:hAnsi="Arial"/>
                <w:sz w:val="18"/>
                <w:szCs w:val="18"/>
                <w:color w:val="auto"/>
              </w:rPr>
              <w:t>(3,653)</w:t>
            </w:r>
          </w:p>
        </w:tc>
        <w:tc>
          <w:tcPr>
            <w:tcW w:w="120" w:type="dxa"/>
            <w:vAlign w:val="bottom"/>
          </w:tcPr>
          <w:p>
            <w:pPr>
              <w:spacing w:after="0"/>
              <w:rPr>
                <w:sz w:val="18"/>
                <w:szCs w:val="18"/>
                <w:color w:val="auto"/>
              </w:rPr>
            </w:pPr>
          </w:p>
        </w:tc>
        <w:tc>
          <w:tcPr>
            <w:tcW w:w="800" w:type="dxa"/>
            <w:vAlign w:val="bottom"/>
            <w:gridSpan w:val="2"/>
          </w:tcPr>
          <w:p>
            <w:pPr>
              <w:jc w:val="right"/>
              <w:ind w:right="60"/>
              <w:spacing w:after="0"/>
              <w:rPr>
                <w:sz w:val="20"/>
                <w:szCs w:val="20"/>
                <w:color w:val="auto"/>
              </w:rPr>
            </w:pPr>
            <w:r>
              <w:rPr>
                <w:rFonts w:ascii="Arial" w:cs="Arial" w:eastAsia="Arial" w:hAnsi="Arial"/>
                <w:sz w:val="18"/>
                <w:szCs w:val="18"/>
                <w:color w:val="auto"/>
              </w:rPr>
              <w:t>(20,510)</w:t>
            </w:r>
          </w:p>
        </w:tc>
        <w:tc>
          <w:tcPr>
            <w:tcW w:w="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900" w:type="dxa"/>
            <w:vAlign w:val="bottom"/>
            <w:gridSpan w:val="2"/>
          </w:tcPr>
          <w:p>
            <w:pPr>
              <w:jc w:val="right"/>
              <w:ind w:right="100"/>
              <w:spacing w:after="0"/>
              <w:rPr>
                <w:sz w:val="20"/>
                <w:szCs w:val="20"/>
                <w:color w:val="auto"/>
              </w:rPr>
            </w:pPr>
            <w:r>
              <w:rPr>
                <w:rFonts w:ascii="Arial" w:cs="Arial" w:eastAsia="Arial" w:hAnsi="Arial"/>
                <w:sz w:val="18"/>
                <w:szCs w:val="18"/>
                <w:color w:val="auto"/>
              </w:rPr>
              <w:t>10,286</w:t>
            </w:r>
          </w:p>
        </w:tc>
      </w:tr>
      <w:tr>
        <w:trPr>
          <w:trHeight w:val="216"/>
        </w:trPr>
        <w:tc>
          <w:tcPr>
            <w:tcW w:w="20" w:type="dxa"/>
            <w:vAlign w:val="bottom"/>
          </w:tcPr>
          <w:p>
            <w:pPr>
              <w:spacing w:after="0"/>
              <w:rPr>
                <w:sz w:val="18"/>
                <w:szCs w:val="18"/>
                <w:color w:val="auto"/>
              </w:rPr>
            </w:pPr>
          </w:p>
        </w:tc>
        <w:tc>
          <w:tcPr>
            <w:tcW w:w="7500" w:type="dxa"/>
            <w:vAlign w:val="bottom"/>
            <w:shd w:val="clear" w:color="auto" w:fill="CCEEFF"/>
          </w:tcPr>
          <w:p>
            <w:pPr>
              <w:ind w:left="700"/>
              <w:spacing w:after="0"/>
              <w:rPr>
                <w:sz w:val="20"/>
                <w:szCs w:val="20"/>
                <w:color w:val="auto"/>
              </w:rPr>
            </w:pPr>
            <w:r>
              <w:rPr>
                <w:rFonts w:ascii="Arial" w:cs="Arial" w:eastAsia="Arial" w:hAnsi="Arial"/>
                <w:sz w:val="18"/>
                <w:szCs w:val="18"/>
                <w:color w:val="auto"/>
              </w:rPr>
              <w:t>Accrued employee compensation</w:t>
            </w:r>
          </w:p>
        </w:tc>
        <w:tc>
          <w:tcPr>
            <w:tcW w:w="120" w:type="dxa"/>
            <w:vAlign w:val="bottom"/>
            <w:shd w:val="clear" w:color="auto" w:fill="CCEEFF"/>
          </w:tcPr>
          <w:p>
            <w:pPr>
              <w:spacing w:after="0"/>
              <w:rPr>
                <w:sz w:val="18"/>
                <w:szCs w:val="18"/>
                <w:color w:val="auto"/>
              </w:rPr>
            </w:pPr>
          </w:p>
        </w:tc>
        <w:tc>
          <w:tcPr>
            <w:tcW w:w="68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10,013</w:t>
            </w:r>
          </w:p>
        </w:tc>
        <w:tc>
          <w:tcPr>
            <w:tcW w:w="12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4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29,509</w:t>
            </w:r>
          </w:p>
        </w:tc>
        <w:tc>
          <w:tcPr>
            <w:tcW w:w="120" w:type="dxa"/>
            <w:vAlign w:val="bottom"/>
            <w:shd w:val="clear" w:color="auto" w:fill="CCEEFF"/>
          </w:tcPr>
          <w:p>
            <w:pPr>
              <w:spacing w:after="0"/>
              <w:rPr>
                <w:sz w:val="18"/>
                <w:szCs w:val="18"/>
                <w:color w:val="auto"/>
              </w:rPr>
            </w:pPr>
          </w:p>
        </w:tc>
        <w:tc>
          <w:tcPr>
            <w:tcW w:w="80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13,965</w:t>
            </w:r>
          </w:p>
        </w:tc>
        <w:tc>
          <w:tcPr>
            <w:tcW w:w="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4,828</w:t>
            </w:r>
          </w:p>
        </w:tc>
      </w:tr>
      <w:tr>
        <w:trPr>
          <w:trHeight w:val="223"/>
        </w:trPr>
        <w:tc>
          <w:tcPr>
            <w:tcW w:w="20" w:type="dxa"/>
            <w:vAlign w:val="bottom"/>
          </w:tcPr>
          <w:p>
            <w:pPr>
              <w:spacing w:after="0"/>
              <w:rPr>
                <w:sz w:val="19"/>
                <w:szCs w:val="19"/>
                <w:color w:val="auto"/>
              </w:rPr>
            </w:pPr>
          </w:p>
        </w:tc>
        <w:tc>
          <w:tcPr>
            <w:tcW w:w="7500" w:type="dxa"/>
            <w:vAlign w:val="bottom"/>
          </w:tcPr>
          <w:p>
            <w:pPr>
              <w:ind w:left="700"/>
              <w:spacing w:after="0"/>
              <w:rPr>
                <w:sz w:val="20"/>
                <w:szCs w:val="20"/>
                <w:color w:val="auto"/>
              </w:rPr>
            </w:pPr>
            <w:r>
              <w:rPr>
                <w:rFonts w:ascii="Arial" w:cs="Arial" w:eastAsia="Arial" w:hAnsi="Arial"/>
                <w:sz w:val="18"/>
                <w:szCs w:val="18"/>
                <w:color w:val="auto"/>
              </w:rPr>
              <w:t>Deferred income</w:t>
            </w:r>
          </w:p>
        </w:tc>
        <w:tc>
          <w:tcPr>
            <w:tcW w:w="120" w:type="dxa"/>
            <w:vAlign w:val="bottom"/>
          </w:tcPr>
          <w:p>
            <w:pPr>
              <w:spacing w:after="0"/>
              <w:rPr>
                <w:sz w:val="19"/>
                <w:szCs w:val="19"/>
                <w:color w:val="auto"/>
              </w:rPr>
            </w:pPr>
          </w:p>
        </w:tc>
        <w:tc>
          <w:tcPr>
            <w:tcW w:w="660" w:type="dxa"/>
            <w:vAlign w:val="bottom"/>
          </w:tcPr>
          <w:p>
            <w:pPr>
              <w:jc w:val="right"/>
              <w:spacing w:after="0"/>
              <w:rPr>
                <w:sz w:val="20"/>
                <w:szCs w:val="20"/>
                <w:color w:val="auto"/>
              </w:rPr>
            </w:pPr>
            <w:r>
              <w:rPr>
                <w:rFonts w:ascii="Arial" w:cs="Arial" w:eastAsia="Arial" w:hAnsi="Arial"/>
                <w:sz w:val="18"/>
                <w:szCs w:val="18"/>
                <w:color w:val="auto"/>
              </w:rPr>
              <w:t>10,905</w:t>
            </w:r>
          </w:p>
        </w:tc>
        <w:tc>
          <w:tcPr>
            <w:tcW w:w="2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6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840" w:type="dxa"/>
            <w:vAlign w:val="bottom"/>
            <w:gridSpan w:val="2"/>
          </w:tcPr>
          <w:p>
            <w:pPr>
              <w:jc w:val="right"/>
              <w:ind w:right="60"/>
              <w:spacing w:after="0"/>
              <w:rPr>
                <w:sz w:val="20"/>
                <w:szCs w:val="20"/>
                <w:color w:val="auto"/>
              </w:rPr>
            </w:pPr>
            <w:r>
              <w:rPr>
                <w:rFonts w:ascii="Arial" w:cs="Arial" w:eastAsia="Arial" w:hAnsi="Arial"/>
                <w:sz w:val="18"/>
                <w:szCs w:val="18"/>
                <w:color w:val="auto"/>
              </w:rPr>
              <w:t>(8,382)</w:t>
            </w:r>
          </w:p>
        </w:tc>
        <w:tc>
          <w:tcPr>
            <w:tcW w:w="120" w:type="dxa"/>
            <w:vAlign w:val="bottom"/>
          </w:tcPr>
          <w:p>
            <w:pPr>
              <w:spacing w:after="0"/>
              <w:rPr>
                <w:sz w:val="19"/>
                <w:szCs w:val="19"/>
                <w:color w:val="auto"/>
              </w:rPr>
            </w:pPr>
          </w:p>
        </w:tc>
        <w:tc>
          <w:tcPr>
            <w:tcW w:w="800" w:type="dxa"/>
            <w:vAlign w:val="bottom"/>
            <w:gridSpan w:val="2"/>
          </w:tcPr>
          <w:p>
            <w:pPr>
              <w:jc w:val="right"/>
              <w:ind w:right="120"/>
              <w:spacing w:after="0"/>
              <w:rPr>
                <w:sz w:val="20"/>
                <w:szCs w:val="20"/>
                <w:color w:val="auto"/>
              </w:rPr>
            </w:pPr>
            <w:r>
              <w:rPr>
                <w:rFonts w:ascii="Arial" w:cs="Arial" w:eastAsia="Arial" w:hAnsi="Arial"/>
                <w:sz w:val="18"/>
                <w:szCs w:val="18"/>
                <w:color w:val="auto"/>
              </w:rPr>
              <w:t>26,220</w:t>
            </w:r>
          </w:p>
        </w:tc>
        <w:tc>
          <w:tcPr>
            <w:tcW w:w="8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900" w:type="dxa"/>
            <w:vAlign w:val="bottom"/>
            <w:gridSpan w:val="2"/>
          </w:tcPr>
          <w:p>
            <w:pPr>
              <w:jc w:val="right"/>
              <w:ind w:right="40"/>
              <w:spacing w:after="0"/>
              <w:rPr>
                <w:sz w:val="20"/>
                <w:szCs w:val="20"/>
                <w:color w:val="auto"/>
              </w:rPr>
            </w:pPr>
            <w:r>
              <w:rPr>
                <w:rFonts w:ascii="Arial" w:cs="Arial" w:eastAsia="Arial" w:hAnsi="Arial"/>
                <w:sz w:val="18"/>
                <w:szCs w:val="18"/>
                <w:color w:val="auto"/>
              </w:rPr>
              <w:t>(501)</w:t>
            </w:r>
          </w:p>
        </w:tc>
      </w:tr>
      <w:tr>
        <w:trPr>
          <w:trHeight w:val="216"/>
        </w:trPr>
        <w:tc>
          <w:tcPr>
            <w:tcW w:w="20" w:type="dxa"/>
            <w:vAlign w:val="bottom"/>
          </w:tcPr>
          <w:p>
            <w:pPr>
              <w:spacing w:after="0"/>
              <w:rPr>
                <w:sz w:val="18"/>
                <w:szCs w:val="18"/>
                <w:color w:val="auto"/>
              </w:rPr>
            </w:pPr>
          </w:p>
        </w:tc>
        <w:tc>
          <w:tcPr>
            <w:tcW w:w="7500" w:type="dxa"/>
            <w:vAlign w:val="bottom"/>
            <w:shd w:val="clear" w:color="auto" w:fill="CCEEFF"/>
          </w:tcPr>
          <w:p>
            <w:pPr>
              <w:ind w:left="1060"/>
              <w:spacing w:after="0"/>
              <w:rPr>
                <w:sz w:val="20"/>
                <w:szCs w:val="20"/>
                <w:color w:val="auto"/>
              </w:rPr>
            </w:pPr>
            <w:r>
              <w:rPr>
                <w:rFonts w:ascii="Arial" w:cs="Arial" w:eastAsia="Arial" w:hAnsi="Arial"/>
                <w:sz w:val="18"/>
                <w:szCs w:val="18"/>
                <w:color w:val="auto"/>
              </w:rPr>
              <w:t>Net cash provided by operating activities</w:t>
            </w:r>
          </w:p>
        </w:tc>
        <w:tc>
          <w:tcPr>
            <w:tcW w:w="120" w:type="dxa"/>
            <w:vAlign w:val="bottom"/>
            <w:tcBorders>
              <w:top w:val="single" w:sz="8" w:color="auto"/>
            </w:tcBorders>
            <w:shd w:val="clear" w:color="auto" w:fill="CCEEFF"/>
          </w:tcPr>
          <w:p>
            <w:pPr>
              <w:spacing w:after="0"/>
              <w:rPr>
                <w:sz w:val="18"/>
                <w:szCs w:val="18"/>
                <w:color w:val="auto"/>
              </w:rPr>
            </w:pPr>
          </w:p>
        </w:tc>
        <w:tc>
          <w:tcPr>
            <w:tcW w:w="66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8"/>
              </w:rPr>
              <w:t>177,199</w:t>
            </w:r>
          </w:p>
        </w:tc>
        <w:tc>
          <w:tcPr>
            <w:tcW w:w="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100" w:type="dxa"/>
            <w:vAlign w:val="bottom"/>
            <w:tcBorders>
              <w:top w:val="single" w:sz="8" w:color="auto"/>
            </w:tcBorders>
            <w:shd w:val="clear" w:color="auto" w:fill="CCEEFF"/>
          </w:tcPr>
          <w:p>
            <w:pPr>
              <w:spacing w:after="0"/>
              <w:rPr>
                <w:sz w:val="18"/>
                <w:szCs w:val="18"/>
                <w:color w:val="auto"/>
              </w:rPr>
            </w:pPr>
          </w:p>
        </w:tc>
        <w:tc>
          <w:tcPr>
            <w:tcW w:w="64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5"/>
              </w:rPr>
              <w:t>136,577</w:t>
            </w:r>
          </w:p>
        </w:tc>
        <w:tc>
          <w:tcPr>
            <w:tcW w:w="200" w:type="dxa"/>
            <w:vAlign w:val="bottom"/>
            <w:shd w:val="clear" w:color="auto" w:fill="CCEEFF"/>
          </w:tcPr>
          <w:p>
            <w:pPr>
              <w:spacing w:after="0"/>
              <w:rPr>
                <w:sz w:val="18"/>
                <w:szCs w:val="18"/>
                <w:color w:val="auto"/>
              </w:rPr>
            </w:pPr>
          </w:p>
        </w:tc>
        <w:tc>
          <w:tcPr>
            <w:tcW w:w="120" w:type="dxa"/>
            <w:vAlign w:val="bottom"/>
            <w:tcBorders>
              <w:top w:val="single" w:sz="8" w:color="auto"/>
            </w:tcBorders>
            <w:shd w:val="clear" w:color="auto" w:fill="CCEEFF"/>
          </w:tcPr>
          <w:p>
            <w:pPr>
              <w:spacing w:after="0"/>
              <w:rPr>
                <w:sz w:val="18"/>
                <w:szCs w:val="18"/>
                <w:color w:val="auto"/>
              </w:rPr>
            </w:pPr>
          </w:p>
        </w:tc>
        <w:tc>
          <w:tcPr>
            <w:tcW w:w="6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347,550</w:t>
            </w:r>
          </w:p>
        </w:tc>
        <w:tc>
          <w:tcPr>
            <w:tcW w:w="1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80" w:type="dxa"/>
            <w:vAlign w:val="bottom"/>
            <w:tcBorders>
              <w:top w:val="single" w:sz="8" w:color="auto"/>
            </w:tcBorders>
            <w:shd w:val="clear" w:color="auto" w:fill="CCEEFF"/>
          </w:tcPr>
          <w:p>
            <w:pPr>
              <w:spacing w:after="0"/>
              <w:rPr>
                <w:sz w:val="18"/>
                <w:szCs w:val="18"/>
                <w:color w:val="auto"/>
              </w:rPr>
            </w:pPr>
          </w:p>
        </w:tc>
        <w:tc>
          <w:tcPr>
            <w:tcW w:w="8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524,442</w:t>
            </w:r>
          </w:p>
        </w:tc>
        <w:tc>
          <w:tcPr>
            <w:tcW w:w="100" w:type="dxa"/>
            <w:vAlign w:val="bottom"/>
            <w:shd w:val="clear" w:color="auto" w:fill="CCEEFF"/>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7500" w:type="dxa"/>
            <w:vAlign w:val="bottom"/>
          </w:tcPr>
          <w:p>
            <w:pPr>
              <w:spacing w:after="0"/>
              <w:rPr>
                <w:sz w:val="20"/>
                <w:szCs w:val="20"/>
                <w:color w:val="auto"/>
              </w:rPr>
            </w:pPr>
            <w:r>
              <w:rPr>
                <w:rFonts w:ascii="Arial" w:cs="Arial" w:eastAsia="Arial" w:hAnsi="Arial"/>
                <w:sz w:val="18"/>
                <w:szCs w:val="18"/>
                <w:color w:val="auto"/>
              </w:rPr>
              <w:t>Cash flows from investing activities:</w:t>
            </w:r>
          </w:p>
        </w:tc>
        <w:tc>
          <w:tcPr>
            <w:tcW w:w="120" w:type="dxa"/>
            <w:vAlign w:val="bottom"/>
          </w:tcPr>
          <w:p>
            <w:pPr>
              <w:spacing w:after="0"/>
              <w:rPr>
                <w:sz w:val="18"/>
                <w:szCs w:val="18"/>
                <w:color w:val="auto"/>
              </w:rPr>
            </w:pPr>
          </w:p>
        </w:tc>
        <w:tc>
          <w:tcPr>
            <w:tcW w:w="66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6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100" w:type="dxa"/>
            <w:vAlign w:val="bottom"/>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7500" w:type="dxa"/>
            <w:vAlign w:val="bottom"/>
            <w:shd w:val="clear" w:color="auto" w:fill="CCEEFF"/>
          </w:tcPr>
          <w:p>
            <w:pPr>
              <w:ind w:left="340"/>
              <w:spacing w:after="0"/>
              <w:rPr>
                <w:sz w:val="20"/>
                <w:szCs w:val="20"/>
                <w:color w:val="auto"/>
              </w:rPr>
            </w:pPr>
            <w:r>
              <w:rPr>
                <w:rFonts w:ascii="Arial" w:cs="Arial" w:eastAsia="Arial" w:hAnsi="Arial"/>
                <w:sz w:val="18"/>
                <w:szCs w:val="18"/>
                <w:color w:val="auto"/>
              </w:rPr>
              <w:t>Purchases of available-for-sale securities</w:t>
            </w:r>
          </w:p>
        </w:tc>
        <w:tc>
          <w:tcPr>
            <w:tcW w:w="120" w:type="dxa"/>
            <w:vAlign w:val="bottom"/>
            <w:shd w:val="clear" w:color="auto" w:fill="CCEEFF"/>
          </w:tcPr>
          <w:p>
            <w:pPr>
              <w:spacing w:after="0"/>
              <w:rPr>
                <w:sz w:val="18"/>
                <w:szCs w:val="18"/>
                <w:color w:val="auto"/>
              </w:rPr>
            </w:pPr>
          </w:p>
        </w:tc>
        <w:tc>
          <w:tcPr>
            <w:tcW w:w="800" w:type="dxa"/>
            <w:vAlign w:val="bottom"/>
            <w:gridSpan w:val="3"/>
            <w:shd w:val="clear" w:color="auto" w:fill="CCEEFF"/>
          </w:tcPr>
          <w:p>
            <w:pPr>
              <w:jc w:val="right"/>
              <w:ind w:right="80"/>
              <w:spacing w:after="0"/>
              <w:rPr>
                <w:sz w:val="20"/>
                <w:szCs w:val="20"/>
                <w:color w:val="auto"/>
              </w:rPr>
            </w:pPr>
            <w:r>
              <w:rPr>
                <w:rFonts w:ascii="Arial" w:cs="Arial" w:eastAsia="Arial" w:hAnsi="Arial"/>
                <w:sz w:val="18"/>
                <w:szCs w:val="18"/>
                <w:color w:val="auto"/>
                <w:w w:val="90"/>
              </w:rPr>
              <w:t>(220,280)</w:t>
            </w:r>
          </w:p>
        </w:tc>
        <w:tc>
          <w:tcPr>
            <w:tcW w:w="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4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w w:val="88"/>
              </w:rPr>
              <w:t>(558,457)</w:t>
            </w:r>
          </w:p>
        </w:tc>
        <w:tc>
          <w:tcPr>
            <w:tcW w:w="120" w:type="dxa"/>
            <w:vAlign w:val="bottom"/>
            <w:shd w:val="clear" w:color="auto" w:fill="CCEEFF"/>
          </w:tcPr>
          <w:p>
            <w:pPr>
              <w:spacing w:after="0"/>
              <w:rPr>
                <w:sz w:val="18"/>
                <w:szCs w:val="18"/>
                <w:color w:val="auto"/>
              </w:rPr>
            </w:pPr>
          </w:p>
        </w:tc>
        <w:tc>
          <w:tcPr>
            <w:tcW w:w="80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w w:val="93"/>
              </w:rPr>
              <w:t>(691,749)</w:t>
            </w:r>
          </w:p>
        </w:tc>
        <w:tc>
          <w:tcPr>
            <w:tcW w:w="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w w:val="91"/>
              </w:rPr>
              <w:t>(1,205,364)</w:t>
            </w:r>
          </w:p>
        </w:tc>
      </w:tr>
      <w:tr>
        <w:trPr>
          <w:trHeight w:val="216"/>
        </w:trPr>
        <w:tc>
          <w:tcPr>
            <w:tcW w:w="20" w:type="dxa"/>
            <w:vAlign w:val="bottom"/>
          </w:tcPr>
          <w:p>
            <w:pPr>
              <w:spacing w:after="0"/>
              <w:rPr>
                <w:sz w:val="18"/>
                <w:szCs w:val="18"/>
                <w:color w:val="auto"/>
              </w:rPr>
            </w:pPr>
          </w:p>
        </w:tc>
        <w:tc>
          <w:tcPr>
            <w:tcW w:w="7500" w:type="dxa"/>
            <w:vAlign w:val="bottom"/>
          </w:tcPr>
          <w:p>
            <w:pPr>
              <w:ind w:left="340"/>
              <w:spacing w:after="0"/>
              <w:rPr>
                <w:sz w:val="20"/>
                <w:szCs w:val="20"/>
                <w:color w:val="auto"/>
              </w:rPr>
            </w:pPr>
            <w:r>
              <w:rPr>
                <w:rFonts w:ascii="Arial" w:cs="Arial" w:eastAsia="Arial" w:hAnsi="Arial"/>
                <w:sz w:val="18"/>
                <w:szCs w:val="18"/>
                <w:color w:val="auto"/>
              </w:rPr>
              <w:t>Sales and maturities of available-for-sale securities</w:t>
            </w:r>
          </w:p>
        </w:tc>
        <w:tc>
          <w:tcPr>
            <w:tcW w:w="120" w:type="dxa"/>
            <w:vAlign w:val="bottom"/>
          </w:tcPr>
          <w:p>
            <w:pPr>
              <w:spacing w:after="0"/>
              <w:rPr>
                <w:sz w:val="18"/>
                <w:szCs w:val="18"/>
                <w:color w:val="auto"/>
              </w:rPr>
            </w:pPr>
          </w:p>
        </w:tc>
        <w:tc>
          <w:tcPr>
            <w:tcW w:w="680" w:type="dxa"/>
            <w:vAlign w:val="bottom"/>
            <w:gridSpan w:val="2"/>
          </w:tcPr>
          <w:p>
            <w:pPr>
              <w:jc w:val="right"/>
              <w:ind w:right="20"/>
              <w:spacing w:after="0"/>
              <w:rPr>
                <w:sz w:val="20"/>
                <w:szCs w:val="20"/>
                <w:color w:val="auto"/>
              </w:rPr>
            </w:pPr>
            <w:r>
              <w:rPr>
                <w:rFonts w:ascii="Arial" w:cs="Arial" w:eastAsia="Arial" w:hAnsi="Arial"/>
                <w:sz w:val="18"/>
                <w:szCs w:val="18"/>
                <w:color w:val="auto"/>
                <w:w w:val="98"/>
              </w:rPr>
              <w:t>346,826</w:t>
            </w:r>
          </w:p>
        </w:tc>
        <w:tc>
          <w:tcPr>
            <w:tcW w:w="12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40" w:type="dxa"/>
            <w:vAlign w:val="bottom"/>
          </w:tcPr>
          <w:p>
            <w:pPr>
              <w:jc w:val="right"/>
              <w:spacing w:after="0"/>
              <w:rPr>
                <w:sz w:val="20"/>
                <w:szCs w:val="20"/>
                <w:color w:val="auto"/>
              </w:rPr>
            </w:pPr>
            <w:r>
              <w:rPr>
                <w:rFonts w:ascii="Arial" w:cs="Arial" w:eastAsia="Arial" w:hAnsi="Arial"/>
                <w:sz w:val="18"/>
                <w:szCs w:val="18"/>
                <w:color w:val="auto"/>
                <w:w w:val="95"/>
              </w:rPr>
              <w:t>436,435</w:t>
            </w:r>
          </w:p>
        </w:tc>
        <w:tc>
          <w:tcPr>
            <w:tcW w:w="2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800" w:type="dxa"/>
            <w:vAlign w:val="bottom"/>
            <w:gridSpan w:val="2"/>
          </w:tcPr>
          <w:p>
            <w:pPr>
              <w:jc w:val="right"/>
              <w:ind w:right="120"/>
              <w:spacing w:after="0"/>
              <w:rPr>
                <w:sz w:val="20"/>
                <w:szCs w:val="20"/>
                <w:color w:val="auto"/>
              </w:rPr>
            </w:pPr>
            <w:r>
              <w:rPr>
                <w:rFonts w:ascii="Arial" w:cs="Arial" w:eastAsia="Arial" w:hAnsi="Arial"/>
                <w:sz w:val="18"/>
                <w:szCs w:val="18"/>
                <w:color w:val="auto"/>
              </w:rPr>
              <w:t>845,506</w:t>
            </w:r>
          </w:p>
        </w:tc>
        <w:tc>
          <w:tcPr>
            <w:tcW w:w="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900" w:type="dxa"/>
            <w:vAlign w:val="bottom"/>
            <w:gridSpan w:val="2"/>
          </w:tcPr>
          <w:p>
            <w:pPr>
              <w:jc w:val="right"/>
              <w:ind w:right="100"/>
              <w:spacing w:after="0"/>
              <w:rPr>
                <w:sz w:val="20"/>
                <w:szCs w:val="20"/>
                <w:color w:val="auto"/>
              </w:rPr>
            </w:pPr>
            <w:r>
              <w:rPr>
                <w:rFonts w:ascii="Arial" w:cs="Arial" w:eastAsia="Arial" w:hAnsi="Arial"/>
                <w:sz w:val="18"/>
                <w:szCs w:val="18"/>
                <w:color w:val="auto"/>
                <w:w w:val="97"/>
              </w:rPr>
              <w:t>1,317,744</w:t>
            </w:r>
          </w:p>
        </w:tc>
      </w:tr>
      <w:tr>
        <w:trPr>
          <w:trHeight w:val="216"/>
        </w:trPr>
        <w:tc>
          <w:tcPr>
            <w:tcW w:w="20" w:type="dxa"/>
            <w:vAlign w:val="bottom"/>
          </w:tcPr>
          <w:p>
            <w:pPr>
              <w:spacing w:after="0"/>
              <w:rPr>
                <w:sz w:val="18"/>
                <w:szCs w:val="18"/>
                <w:color w:val="auto"/>
              </w:rPr>
            </w:pPr>
          </w:p>
        </w:tc>
        <w:tc>
          <w:tcPr>
            <w:tcW w:w="7500" w:type="dxa"/>
            <w:vAlign w:val="bottom"/>
            <w:shd w:val="clear" w:color="auto" w:fill="CCEEFF"/>
          </w:tcPr>
          <w:p>
            <w:pPr>
              <w:ind w:left="340"/>
              <w:spacing w:after="0"/>
              <w:rPr>
                <w:sz w:val="20"/>
                <w:szCs w:val="20"/>
                <w:color w:val="auto"/>
              </w:rPr>
            </w:pPr>
            <w:r>
              <w:rPr>
                <w:rFonts w:ascii="Arial" w:cs="Arial" w:eastAsia="Arial" w:hAnsi="Arial"/>
                <w:sz w:val="18"/>
                <w:szCs w:val="18"/>
                <w:color w:val="auto"/>
              </w:rPr>
              <w:t>Investments in privately-held companies</w:t>
            </w:r>
          </w:p>
        </w:tc>
        <w:tc>
          <w:tcPr>
            <w:tcW w:w="120" w:type="dxa"/>
            <w:vAlign w:val="bottom"/>
            <w:shd w:val="clear" w:color="auto" w:fill="CCEEFF"/>
          </w:tcPr>
          <w:p>
            <w:pPr>
              <w:spacing w:after="0"/>
              <w:rPr>
                <w:sz w:val="18"/>
                <w:szCs w:val="18"/>
                <w:color w:val="auto"/>
              </w:rPr>
            </w:pPr>
          </w:p>
        </w:tc>
        <w:tc>
          <w:tcPr>
            <w:tcW w:w="800" w:type="dxa"/>
            <w:vAlign w:val="bottom"/>
            <w:gridSpan w:val="3"/>
            <w:shd w:val="clear" w:color="auto" w:fill="CCEEFF"/>
          </w:tcPr>
          <w:p>
            <w:pPr>
              <w:jc w:val="right"/>
              <w:ind w:right="80"/>
              <w:spacing w:after="0"/>
              <w:rPr>
                <w:sz w:val="20"/>
                <w:szCs w:val="20"/>
                <w:color w:val="auto"/>
              </w:rPr>
            </w:pPr>
            <w:r>
              <w:rPr>
                <w:rFonts w:ascii="Arial" w:cs="Arial" w:eastAsia="Arial" w:hAnsi="Arial"/>
                <w:sz w:val="18"/>
                <w:szCs w:val="18"/>
                <w:color w:val="auto"/>
              </w:rPr>
              <w:t>(1,119)</w:t>
            </w:r>
          </w:p>
        </w:tc>
        <w:tc>
          <w:tcPr>
            <w:tcW w:w="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4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120" w:type="dxa"/>
            <w:vAlign w:val="bottom"/>
            <w:shd w:val="clear" w:color="auto" w:fill="CCEEFF"/>
          </w:tcPr>
          <w:p>
            <w:pPr>
              <w:spacing w:after="0"/>
              <w:rPr>
                <w:sz w:val="18"/>
                <w:szCs w:val="18"/>
                <w:color w:val="auto"/>
              </w:rPr>
            </w:pPr>
          </w:p>
        </w:tc>
        <w:tc>
          <w:tcPr>
            <w:tcW w:w="80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(1,869)</w:t>
            </w:r>
          </w:p>
        </w:tc>
        <w:tc>
          <w:tcPr>
            <w:tcW w:w="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(5,750)</w:t>
            </w:r>
          </w:p>
        </w:tc>
      </w:tr>
      <w:tr>
        <w:trPr>
          <w:trHeight w:val="216"/>
        </w:trPr>
        <w:tc>
          <w:tcPr>
            <w:tcW w:w="20" w:type="dxa"/>
            <w:vAlign w:val="bottom"/>
          </w:tcPr>
          <w:p>
            <w:pPr>
              <w:spacing w:after="0"/>
              <w:rPr>
                <w:sz w:val="18"/>
                <w:szCs w:val="18"/>
                <w:color w:val="auto"/>
              </w:rPr>
            </w:pPr>
          </w:p>
        </w:tc>
        <w:tc>
          <w:tcPr>
            <w:tcW w:w="7500" w:type="dxa"/>
            <w:vAlign w:val="bottom"/>
          </w:tcPr>
          <w:p>
            <w:pPr>
              <w:ind w:left="340"/>
              <w:spacing w:after="0"/>
              <w:rPr>
                <w:sz w:val="20"/>
                <w:szCs w:val="20"/>
                <w:color w:val="auto"/>
              </w:rPr>
            </w:pPr>
            <w:r>
              <w:rPr>
                <w:rFonts w:ascii="Arial" w:cs="Arial" w:eastAsia="Arial" w:hAnsi="Arial"/>
                <w:sz w:val="18"/>
                <w:szCs w:val="18"/>
                <w:color w:val="auto"/>
              </w:rPr>
              <w:t>Cash paid for acquisitions, net</w:t>
            </w:r>
          </w:p>
        </w:tc>
        <w:tc>
          <w:tcPr>
            <w:tcW w:w="120" w:type="dxa"/>
            <w:vAlign w:val="bottom"/>
          </w:tcPr>
          <w:p>
            <w:pPr>
              <w:spacing w:after="0"/>
              <w:rPr>
                <w:sz w:val="18"/>
                <w:szCs w:val="18"/>
                <w:color w:val="auto"/>
              </w:rPr>
            </w:pPr>
          </w:p>
        </w:tc>
        <w:tc>
          <w:tcPr>
            <w:tcW w:w="800" w:type="dxa"/>
            <w:vAlign w:val="bottom"/>
            <w:gridSpan w:val="3"/>
          </w:tcPr>
          <w:p>
            <w:pPr>
              <w:jc w:val="right"/>
              <w:ind w:right="220"/>
              <w:spacing w:after="0"/>
              <w:rPr>
                <w:sz w:val="20"/>
                <w:szCs w:val="20"/>
                <w:color w:val="auto"/>
              </w:rPr>
            </w:pPr>
            <w:r>
              <w:rPr>
                <w:rFonts w:ascii="Arial" w:cs="Arial" w:eastAsia="Arial" w:hAnsi="Arial"/>
                <w:sz w:val="18"/>
                <w:szCs w:val="18"/>
                <w:color w:val="auto"/>
              </w:rPr>
              <w:t>—</w:t>
            </w:r>
          </w:p>
        </w:tc>
        <w:tc>
          <w:tcPr>
            <w:tcW w:w="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40" w:type="dxa"/>
            <w:vAlign w:val="bottom"/>
            <w:gridSpan w:val="2"/>
          </w:tcPr>
          <w:p>
            <w:pPr>
              <w:jc w:val="right"/>
              <w:ind w:right="60"/>
              <w:spacing w:after="0"/>
              <w:rPr>
                <w:sz w:val="20"/>
                <w:szCs w:val="20"/>
                <w:color w:val="auto"/>
              </w:rPr>
            </w:pPr>
            <w:r>
              <w:rPr>
                <w:rFonts w:ascii="Arial" w:cs="Arial" w:eastAsia="Arial" w:hAnsi="Arial"/>
                <w:sz w:val="18"/>
                <w:szCs w:val="18"/>
                <w:color w:val="auto"/>
              </w:rPr>
              <w:t>(1,000)</w:t>
            </w:r>
          </w:p>
        </w:tc>
        <w:tc>
          <w:tcPr>
            <w:tcW w:w="120" w:type="dxa"/>
            <w:vAlign w:val="bottom"/>
          </w:tcPr>
          <w:p>
            <w:pPr>
              <w:spacing w:after="0"/>
              <w:rPr>
                <w:sz w:val="18"/>
                <w:szCs w:val="18"/>
                <w:color w:val="auto"/>
              </w:rPr>
            </w:pPr>
          </w:p>
        </w:tc>
        <w:tc>
          <w:tcPr>
            <w:tcW w:w="800" w:type="dxa"/>
            <w:vAlign w:val="bottom"/>
            <w:gridSpan w:val="2"/>
          </w:tcPr>
          <w:p>
            <w:pPr>
              <w:jc w:val="right"/>
              <w:ind w:right="60"/>
              <w:spacing w:after="0"/>
              <w:rPr>
                <w:sz w:val="20"/>
                <w:szCs w:val="20"/>
                <w:color w:val="auto"/>
              </w:rPr>
            </w:pPr>
            <w:r>
              <w:rPr>
                <w:rFonts w:ascii="Arial" w:cs="Arial" w:eastAsia="Arial" w:hAnsi="Arial"/>
                <w:sz w:val="18"/>
                <w:szCs w:val="18"/>
                <w:color w:val="auto"/>
              </w:rPr>
              <w:t>(2,551)</w:t>
            </w:r>
          </w:p>
        </w:tc>
        <w:tc>
          <w:tcPr>
            <w:tcW w:w="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900" w:type="dxa"/>
            <w:vAlign w:val="bottom"/>
            <w:gridSpan w:val="2"/>
          </w:tcPr>
          <w:p>
            <w:pPr>
              <w:jc w:val="right"/>
              <w:ind w:right="40"/>
              <w:spacing w:after="0"/>
              <w:rPr>
                <w:sz w:val="20"/>
                <w:szCs w:val="20"/>
                <w:color w:val="auto"/>
              </w:rPr>
            </w:pPr>
            <w:r>
              <w:rPr>
                <w:rFonts w:ascii="Arial" w:cs="Arial" w:eastAsia="Arial" w:hAnsi="Arial"/>
                <w:sz w:val="18"/>
                <w:szCs w:val="18"/>
                <w:color w:val="auto"/>
              </w:rPr>
              <w:t>(1,000)</w:t>
            </w:r>
          </w:p>
        </w:tc>
      </w:tr>
      <w:tr>
        <w:trPr>
          <w:trHeight w:val="216"/>
        </w:trPr>
        <w:tc>
          <w:tcPr>
            <w:tcW w:w="20" w:type="dxa"/>
            <w:vAlign w:val="bottom"/>
          </w:tcPr>
          <w:p>
            <w:pPr>
              <w:spacing w:after="0"/>
              <w:rPr>
                <w:sz w:val="18"/>
                <w:szCs w:val="18"/>
                <w:color w:val="auto"/>
              </w:rPr>
            </w:pPr>
          </w:p>
        </w:tc>
        <w:tc>
          <w:tcPr>
            <w:tcW w:w="7500" w:type="dxa"/>
            <w:vAlign w:val="bottom"/>
            <w:shd w:val="clear" w:color="auto" w:fill="CCEEFF"/>
          </w:tcPr>
          <w:p>
            <w:pPr>
              <w:ind w:left="340"/>
              <w:spacing w:after="0"/>
              <w:rPr>
                <w:sz w:val="20"/>
                <w:szCs w:val="20"/>
                <w:color w:val="auto"/>
              </w:rPr>
            </w:pPr>
            <w:r>
              <w:rPr>
                <w:rFonts w:ascii="Arial" w:cs="Arial" w:eastAsia="Arial" w:hAnsi="Arial"/>
                <w:sz w:val="18"/>
                <w:szCs w:val="18"/>
                <w:color w:val="auto"/>
              </w:rPr>
              <w:t>Purchases of technology licenses</w:t>
            </w:r>
          </w:p>
        </w:tc>
        <w:tc>
          <w:tcPr>
            <w:tcW w:w="120" w:type="dxa"/>
            <w:vAlign w:val="bottom"/>
            <w:shd w:val="clear" w:color="auto" w:fill="CCEEFF"/>
          </w:tcPr>
          <w:p>
            <w:pPr>
              <w:spacing w:after="0"/>
              <w:rPr>
                <w:sz w:val="18"/>
                <w:szCs w:val="18"/>
                <w:color w:val="auto"/>
              </w:rPr>
            </w:pPr>
          </w:p>
        </w:tc>
        <w:tc>
          <w:tcPr>
            <w:tcW w:w="800" w:type="dxa"/>
            <w:vAlign w:val="bottom"/>
            <w:gridSpan w:val="3"/>
            <w:shd w:val="clear" w:color="auto" w:fill="CCEEFF"/>
          </w:tcPr>
          <w:p>
            <w:pPr>
              <w:jc w:val="right"/>
              <w:ind w:right="80"/>
              <w:spacing w:after="0"/>
              <w:rPr>
                <w:sz w:val="20"/>
                <w:szCs w:val="20"/>
                <w:color w:val="auto"/>
              </w:rPr>
            </w:pPr>
            <w:r>
              <w:rPr>
                <w:rFonts w:ascii="Arial" w:cs="Arial" w:eastAsia="Arial" w:hAnsi="Arial"/>
                <w:sz w:val="18"/>
                <w:szCs w:val="18"/>
                <w:color w:val="auto"/>
              </w:rPr>
              <w:t>(6,383)</w:t>
            </w:r>
          </w:p>
        </w:tc>
        <w:tc>
          <w:tcPr>
            <w:tcW w:w="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4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(4,235)</w:t>
            </w:r>
          </w:p>
        </w:tc>
        <w:tc>
          <w:tcPr>
            <w:tcW w:w="120" w:type="dxa"/>
            <w:vAlign w:val="bottom"/>
            <w:shd w:val="clear" w:color="auto" w:fill="CCEEFF"/>
          </w:tcPr>
          <w:p>
            <w:pPr>
              <w:spacing w:after="0"/>
              <w:rPr>
                <w:sz w:val="18"/>
                <w:szCs w:val="18"/>
                <w:color w:val="auto"/>
              </w:rPr>
            </w:pPr>
          </w:p>
        </w:tc>
        <w:tc>
          <w:tcPr>
            <w:tcW w:w="80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(13,993)</w:t>
            </w:r>
          </w:p>
        </w:tc>
        <w:tc>
          <w:tcPr>
            <w:tcW w:w="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(10,687)</w:t>
            </w:r>
          </w:p>
        </w:tc>
      </w:tr>
      <w:tr>
        <w:trPr>
          <w:trHeight w:val="216"/>
        </w:trPr>
        <w:tc>
          <w:tcPr>
            <w:tcW w:w="20" w:type="dxa"/>
            <w:vAlign w:val="bottom"/>
          </w:tcPr>
          <w:p>
            <w:pPr>
              <w:spacing w:after="0"/>
              <w:rPr>
                <w:sz w:val="18"/>
                <w:szCs w:val="18"/>
                <w:color w:val="auto"/>
              </w:rPr>
            </w:pPr>
          </w:p>
        </w:tc>
        <w:tc>
          <w:tcPr>
            <w:tcW w:w="7500" w:type="dxa"/>
            <w:vAlign w:val="bottom"/>
          </w:tcPr>
          <w:p>
            <w:pPr>
              <w:ind w:left="340"/>
              <w:spacing w:after="0"/>
              <w:rPr>
                <w:sz w:val="20"/>
                <w:szCs w:val="20"/>
                <w:color w:val="auto"/>
              </w:rPr>
            </w:pPr>
            <w:r>
              <w:rPr>
                <w:rFonts w:ascii="Arial" w:cs="Arial" w:eastAsia="Arial" w:hAnsi="Arial"/>
                <w:sz w:val="18"/>
                <w:szCs w:val="18"/>
                <w:color w:val="auto"/>
              </w:rPr>
              <w:t>Purchases of property and equipment</w:t>
            </w:r>
          </w:p>
        </w:tc>
        <w:tc>
          <w:tcPr>
            <w:tcW w:w="120" w:type="dxa"/>
            <w:vAlign w:val="bottom"/>
          </w:tcPr>
          <w:p>
            <w:pPr>
              <w:spacing w:after="0"/>
              <w:rPr>
                <w:sz w:val="18"/>
                <w:szCs w:val="18"/>
                <w:color w:val="auto"/>
              </w:rPr>
            </w:pPr>
          </w:p>
        </w:tc>
        <w:tc>
          <w:tcPr>
            <w:tcW w:w="800" w:type="dxa"/>
            <w:vAlign w:val="bottom"/>
            <w:gridSpan w:val="3"/>
          </w:tcPr>
          <w:p>
            <w:pPr>
              <w:jc w:val="right"/>
              <w:ind w:right="80"/>
              <w:spacing w:after="0"/>
              <w:rPr>
                <w:sz w:val="20"/>
                <w:szCs w:val="20"/>
                <w:color w:val="auto"/>
              </w:rPr>
            </w:pPr>
            <w:r>
              <w:rPr>
                <w:rFonts w:ascii="Arial" w:cs="Arial" w:eastAsia="Arial" w:hAnsi="Arial"/>
                <w:sz w:val="18"/>
                <w:szCs w:val="18"/>
                <w:color w:val="auto"/>
              </w:rPr>
              <w:t>(14,222)</w:t>
            </w:r>
          </w:p>
        </w:tc>
        <w:tc>
          <w:tcPr>
            <w:tcW w:w="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40" w:type="dxa"/>
            <w:vAlign w:val="bottom"/>
            <w:gridSpan w:val="2"/>
          </w:tcPr>
          <w:p>
            <w:pPr>
              <w:jc w:val="right"/>
              <w:ind w:right="60"/>
              <w:spacing w:after="0"/>
              <w:rPr>
                <w:sz w:val="20"/>
                <w:szCs w:val="20"/>
                <w:color w:val="auto"/>
              </w:rPr>
            </w:pPr>
            <w:r>
              <w:rPr>
                <w:rFonts w:ascii="Arial" w:cs="Arial" w:eastAsia="Arial" w:hAnsi="Arial"/>
                <w:sz w:val="18"/>
                <w:szCs w:val="18"/>
                <w:color w:val="auto"/>
              </w:rPr>
              <w:t>(19,356)</w:t>
            </w:r>
          </w:p>
        </w:tc>
        <w:tc>
          <w:tcPr>
            <w:tcW w:w="120" w:type="dxa"/>
            <w:vAlign w:val="bottom"/>
          </w:tcPr>
          <w:p>
            <w:pPr>
              <w:spacing w:after="0"/>
              <w:rPr>
                <w:sz w:val="18"/>
                <w:szCs w:val="18"/>
                <w:color w:val="auto"/>
              </w:rPr>
            </w:pPr>
          </w:p>
        </w:tc>
        <w:tc>
          <w:tcPr>
            <w:tcW w:w="800" w:type="dxa"/>
            <w:vAlign w:val="bottom"/>
            <w:gridSpan w:val="2"/>
          </w:tcPr>
          <w:p>
            <w:pPr>
              <w:jc w:val="right"/>
              <w:ind w:right="60"/>
              <w:spacing w:after="0"/>
              <w:rPr>
                <w:sz w:val="20"/>
                <w:szCs w:val="20"/>
                <w:color w:val="auto"/>
              </w:rPr>
            </w:pPr>
            <w:r>
              <w:rPr>
                <w:rFonts w:ascii="Arial" w:cs="Arial" w:eastAsia="Arial" w:hAnsi="Arial"/>
                <w:sz w:val="18"/>
                <w:szCs w:val="18"/>
                <w:color w:val="auto"/>
              </w:rPr>
              <w:t>(53,283)</w:t>
            </w:r>
          </w:p>
        </w:tc>
        <w:tc>
          <w:tcPr>
            <w:tcW w:w="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900" w:type="dxa"/>
            <w:vAlign w:val="bottom"/>
            <w:gridSpan w:val="2"/>
          </w:tcPr>
          <w:p>
            <w:pPr>
              <w:jc w:val="right"/>
              <w:ind w:right="40"/>
              <w:spacing w:after="0"/>
              <w:rPr>
                <w:sz w:val="20"/>
                <w:szCs w:val="20"/>
                <w:color w:val="auto"/>
              </w:rPr>
            </w:pPr>
            <w:r>
              <w:rPr>
                <w:rFonts w:ascii="Arial" w:cs="Arial" w:eastAsia="Arial" w:hAnsi="Arial"/>
                <w:sz w:val="18"/>
                <w:szCs w:val="18"/>
                <w:color w:val="auto"/>
              </w:rPr>
              <w:t>(49,090)</w:t>
            </w:r>
          </w:p>
        </w:tc>
      </w:tr>
      <w:tr>
        <w:trPr>
          <w:trHeight w:val="27"/>
        </w:trPr>
        <w:tc>
          <w:tcPr>
            <w:tcW w:w="20" w:type="dxa"/>
            <w:vAlign w:val="bottom"/>
          </w:tcPr>
          <w:p>
            <w:pPr>
              <w:spacing w:after="0"/>
              <w:rPr>
                <w:sz w:val="2"/>
                <w:szCs w:val="2"/>
                <w:color w:val="auto"/>
              </w:rPr>
            </w:pPr>
          </w:p>
        </w:tc>
        <w:tc>
          <w:tcPr>
            <w:tcW w:w="7500" w:type="dxa"/>
            <w:vAlign w:val="bottom"/>
          </w:tcPr>
          <w:p>
            <w:pPr>
              <w:spacing w:after="0"/>
              <w:rPr>
                <w:sz w:val="2"/>
                <w:szCs w:val="2"/>
                <w:color w:val="auto"/>
              </w:rPr>
            </w:pPr>
          </w:p>
        </w:tc>
        <w:tc>
          <w:tcPr>
            <w:tcW w:w="120" w:type="dxa"/>
            <w:vAlign w:val="bottom"/>
            <w:shd w:val="clear" w:color="auto" w:fill="000000"/>
          </w:tcPr>
          <w:p>
            <w:pPr>
              <w:spacing w:after="0"/>
              <w:rPr>
                <w:sz w:val="2"/>
                <w:szCs w:val="2"/>
                <w:color w:val="auto"/>
              </w:rPr>
            </w:pPr>
          </w:p>
        </w:tc>
        <w:tc>
          <w:tcPr>
            <w:tcW w:w="660" w:type="dxa"/>
            <w:vAlign w:val="bottom"/>
            <w:shd w:val="clear" w:color="auto" w:fill="000000"/>
          </w:tcPr>
          <w:p>
            <w:pPr>
              <w:spacing w:after="0"/>
              <w:rPr>
                <w:sz w:val="2"/>
                <w:szCs w:val="2"/>
                <w:color w:val="auto"/>
              </w:rPr>
            </w:pPr>
          </w:p>
        </w:tc>
        <w:tc>
          <w:tcPr>
            <w:tcW w:w="20" w:type="dxa"/>
            <w:vAlign w:val="bottom"/>
          </w:tcPr>
          <w:p>
            <w:pPr>
              <w:spacing w:after="0"/>
              <w:rPr>
                <w:sz w:val="2"/>
                <w:szCs w:val="2"/>
                <w:color w:val="auto"/>
              </w:rPr>
            </w:pPr>
          </w:p>
        </w:tc>
        <w:tc>
          <w:tcPr>
            <w:tcW w:w="120" w:type="dxa"/>
            <w:vAlign w:val="bottom"/>
          </w:tcPr>
          <w:p>
            <w:pPr>
              <w:spacing w:after="0"/>
              <w:rPr>
                <w:sz w:val="2"/>
                <w:szCs w:val="2"/>
                <w:color w:val="auto"/>
              </w:rPr>
            </w:pPr>
          </w:p>
        </w:tc>
        <w:tc>
          <w:tcPr>
            <w:tcW w:w="6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640" w:type="dxa"/>
            <w:vAlign w:val="bottom"/>
            <w:shd w:val="clear" w:color="auto" w:fill="000000"/>
          </w:tcPr>
          <w:p>
            <w:pPr>
              <w:spacing w:after="0"/>
              <w:rPr>
                <w:sz w:val="2"/>
                <w:szCs w:val="2"/>
                <w:color w:val="auto"/>
              </w:rPr>
            </w:pPr>
          </w:p>
        </w:tc>
        <w:tc>
          <w:tcPr>
            <w:tcW w:w="200" w:type="dxa"/>
            <w:vAlign w:val="bottom"/>
          </w:tcPr>
          <w:p>
            <w:pPr>
              <w:spacing w:after="0"/>
              <w:rPr>
                <w:sz w:val="2"/>
                <w:szCs w:val="2"/>
                <w:color w:val="auto"/>
              </w:rPr>
            </w:pPr>
          </w:p>
        </w:tc>
        <w:tc>
          <w:tcPr>
            <w:tcW w:w="120" w:type="dxa"/>
            <w:vAlign w:val="bottom"/>
            <w:shd w:val="clear" w:color="auto" w:fill="000000"/>
          </w:tcPr>
          <w:p>
            <w:pPr>
              <w:spacing w:after="0"/>
              <w:rPr>
                <w:sz w:val="2"/>
                <w:szCs w:val="2"/>
                <w:color w:val="auto"/>
              </w:rPr>
            </w:pPr>
          </w:p>
        </w:tc>
        <w:tc>
          <w:tcPr>
            <w:tcW w:w="680" w:type="dxa"/>
            <w:vAlign w:val="bottom"/>
            <w:shd w:val="clear" w:color="auto" w:fill="000000"/>
          </w:tcPr>
          <w:p>
            <w:pPr>
              <w:spacing w:after="0"/>
              <w:rPr>
                <w:sz w:val="2"/>
                <w:szCs w:val="2"/>
                <w:color w:val="auto"/>
              </w:rPr>
            </w:pPr>
          </w:p>
        </w:tc>
        <w:tc>
          <w:tcPr>
            <w:tcW w:w="120" w:type="dxa"/>
            <w:vAlign w:val="bottom"/>
          </w:tcPr>
          <w:p>
            <w:pPr>
              <w:spacing w:after="0"/>
              <w:rPr>
                <w:sz w:val="2"/>
                <w:szCs w:val="2"/>
                <w:color w:val="auto"/>
              </w:rPr>
            </w:pPr>
          </w:p>
        </w:tc>
        <w:tc>
          <w:tcPr>
            <w:tcW w:w="8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80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r>
      <w:tr>
        <w:trPr>
          <w:trHeight w:val="216"/>
        </w:trPr>
        <w:tc>
          <w:tcPr>
            <w:tcW w:w="20" w:type="dxa"/>
            <w:vAlign w:val="bottom"/>
          </w:tcPr>
          <w:p>
            <w:pPr>
              <w:spacing w:after="0"/>
              <w:rPr>
                <w:sz w:val="18"/>
                <w:szCs w:val="18"/>
                <w:color w:val="auto"/>
              </w:rPr>
            </w:pPr>
          </w:p>
        </w:tc>
        <w:tc>
          <w:tcPr>
            <w:tcW w:w="7500" w:type="dxa"/>
            <w:vAlign w:val="bottom"/>
            <w:shd w:val="clear" w:color="auto" w:fill="CCEEFF"/>
          </w:tcPr>
          <w:p>
            <w:pPr>
              <w:ind w:left="1060"/>
              <w:spacing w:after="0"/>
              <w:rPr>
                <w:sz w:val="20"/>
                <w:szCs w:val="20"/>
                <w:color w:val="auto"/>
              </w:rPr>
            </w:pPr>
            <w:r>
              <w:rPr>
                <w:rFonts w:ascii="Arial" w:cs="Arial" w:eastAsia="Arial" w:hAnsi="Arial"/>
                <w:sz w:val="18"/>
                <w:szCs w:val="18"/>
                <w:color w:val="auto"/>
              </w:rPr>
              <w:t>Net cash (used in) provided by investing activities</w:t>
            </w:r>
          </w:p>
        </w:tc>
        <w:tc>
          <w:tcPr>
            <w:tcW w:w="120" w:type="dxa"/>
            <w:vAlign w:val="bottom"/>
            <w:shd w:val="clear" w:color="auto" w:fill="CCEEFF"/>
          </w:tcPr>
          <w:p>
            <w:pPr>
              <w:spacing w:after="0"/>
              <w:rPr>
                <w:sz w:val="18"/>
                <w:szCs w:val="18"/>
                <w:color w:val="auto"/>
              </w:rPr>
            </w:pPr>
          </w:p>
        </w:tc>
        <w:tc>
          <w:tcPr>
            <w:tcW w:w="66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8"/>
              </w:rPr>
              <w:t>104,822</w:t>
            </w:r>
          </w:p>
        </w:tc>
        <w:tc>
          <w:tcPr>
            <w:tcW w:w="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4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w w:val="88"/>
              </w:rPr>
              <w:t>(146,613)</w:t>
            </w:r>
          </w:p>
        </w:tc>
        <w:tc>
          <w:tcPr>
            <w:tcW w:w="120" w:type="dxa"/>
            <w:vAlign w:val="bottom"/>
            <w:shd w:val="clear" w:color="auto" w:fill="CCEEFF"/>
          </w:tcPr>
          <w:p>
            <w:pPr>
              <w:spacing w:after="0"/>
              <w:rPr>
                <w:sz w:val="18"/>
                <w:szCs w:val="18"/>
                <w:color w:val="auto"/>
              </w:rPr>
            </w:pPr>
          </w:p>
        </w:tc>
        <w:tc>
          <w:tcPr>
            <w:tcW w:w="80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82,061</w:t>
            </w:r>
          </w:p>
        </w:tc>
        <w:tc>
          <w:tcPr>
            <w:tcW w:w="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45,853</w:t>
            </w:r>
          </w:p>
        </w:tc>
      </w:tr>
      <w:tr>
        <w:trPr>
          <w:trHeight w:val="216"/>
        </w:trPr>
        <w:tc>
          <w:tcPr>
            <w:tcW w:w="20" w:type="dxa"/>
            <w:vAlign w:val="bottom"/>
          </w:tcPr>
          <w:p>
            <w:pPr>
              <w:spacing w:after="0"/>
              <w:rPr>
                <w:sz w:val="18"/>
                <w:szCs w:val="18"/>
                <w:color w:val="auto"/>
              </w:rPr>
            </w:pPr>
          </w:p>
        </w:tc>
        <w:tc>
          <w:tcPr>
            <w:tcW w:w="7500" w:type="dxa"/>
            <w:vAlign w:val="bottom"/>
          </w:tcPr>
          <w:p>
            <w:pPr>
              <w:spacing w:after="0"/>
              <w:rPr>
                <w:sz w:val="20"/>
                <w:szCs w:val="20"/>
                <w:color w:val="auto"/>
              </w:rPr>
            </w:pPr>
            <w:r>
              <w:rPr>
                <w:rFonts w:ascii="Arial" w:cs="Arial" w:eastAsia="Arial" w:hAnsi="Arial"/>
                <w:sz w:val="18"/>
                <w:szCs w:val="18"/>
                <w:color w:val="auto"/>
              </w:rPr>
              <w:t>Cash flows from financing activities:</w:t>
            </w:r>
          </w:p>
        </w:tc>
        <w:tc>
          <w:tcPr>
            <w:tcW w:w="120" w:type="dxa"/>
            <w:vAlign w:val="bottom"/>
          </w:tcPr>
          <w:p>
            <w:pPr>
              <w:spacing w:after="0"/>
              <w:rPr>
                <w:sz w:val="18"/>
                <w:szCs w:val="18"/>
                <w:color w:val="auto"/>
              </w:rPr>
            </w:pPr>
          </w:p>
        </w:tc>
        <w:tc>
          <w:tcPr>
            <w:tcW w:w="66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6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100" w:type="dxa"/>
            <w:vAlign w:val="bottom"/>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7500" w:type="dxa"/>
            <w:vAlign w:val="bottom"/>
            <w:shd w:val="clear" w:color="auto" w:fill="CCEEFF"/>
          </w:tcPr>
          <w:p>
            <w:pPr>
              <w:ind w:left="340"/>
              <w:spacing w:after="0"/>
              <w:rPr>
                <w:sz w:val="20"/>
                <w:szCs w:val="20"/>
                <w:color w:val="auto"/>
              </w:rPr>
            </w:pPr>
            <w:r>
              <w:rPr>
                <w:rFonts w:ascii="Arial" w:cs="Arial" w:eastAsia="Arial" w:hAnsi="Arial"/>
                <w:sz w:val="18"/>
                <w:szCs w:val="18"/>
                <w:color w:val="auto"/>
              </w:rPr>
              <w:t xml:space="preserve">Repurchase of common stock </w:t>
            </w:r>
            <w:r>
              <w:rPr>
                <w:rFonts w:ascii="Arial" w:cs="Arial" w:eastAsia="Arial" w:hAnsi="Arial"/>
                <w:sz w:val="18"/>
                <w:szCs w:val="18"/>
                <w:i w:val="1"/>
                <w:iCs w:val="1"/>
                <w:color w:val="auto"/>
              </w:rPr>
              <w:t>(a)</w:t>
            </w:r>
          </w:p>
        </w:tc>
        <w:tc>
          <w:tcPr>
            <w:tcW w:w="120" w:type="dxa"/>
            <w:vAlign w:val="bottom"/>
            <w:shd w:val="clear" w:color="auto" w:fill="CCEEFF"/>
          </w:tcPr>
          <w:p>
            <w:pPr>
              <w:spacing w:after="0"/>
              <w:rPr>
                <w:sz w:val="18"/>
                <w:szCs w:val="18"/>
                <w:color w:val="auto"/>
              </w:rPr>
            </w:pPr>
          </w:p>
        </w:tc>
        <w:tc>
          <w:tcPr>
            <w:tcW w:w="800" w:type="dxa"/>
            <w:vAlign w:val="bottom"/>
            <w:gridSpan w:val="3"/>
            <w:shd w:val="clear" w:color="auto" w:fill="CCEEFF"/>
          </w:tcPr>
          <w:p>
            <w:pPr>
              <w:jc w:val="right"/>
              <w:ind w:right="80"/>
              <w:spacing w:after="0"/>
              <w:rPr>
                <w:sz w:val="20"/>
                <w:szCs w:val="20"/>
                <w:color w:val="auto"/>
              </w:rPr>
            </w:pPr>
            <w:r>
              <w:rPr>
                <w:rFonts w:ascii="Arial" w:cs="Arial" w:eastAsia="Arial" w:hAnsi="Arial"/>
                <w:sz w:val="18"/>
                <w:szCs w:val="18"/>
                <w:color w:val="auto"/>
              </w:rPr>
              <w:t>(71,477)</w:t>
            </w:r>
          </w:p>
        </w:tc>
        <w:tc>
          <w:tcPr>
            <w:tcW w:w="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4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w w:val="88"/>
              </w:rPr>
              <w:t>(202,987)</w:t>
            </w:r>
          </w:p>
        </w:tc>
        <w:tc>
          <w:tcPr>
            <w:tcW w:w="120" w:type="dxa"/>
            <w:vAlign w:val="bottom"/>
            <w:shd w:val="clear" w:color="auto" w:fill="CCEEFF"/>
          </w:tcPr>
          <w:p>
            <w:pPr>
              <w:spacing w:after="0"/>
              <w:rPr>
                <w:sz w:val="18"/>
                <w:szCs w:val="18"/>
                <w:color w:val="auto"/>
              </w:rPr>
            </w:pPr>
          </w:p>
        </w:tc>
        <w:tc>
          <w:tcPr>
            <w:tcW w:w="80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w w:val="93"/>
              </w:rPr>
              <w:t>(376,285)</w:t>
            </w:r>
          </w:p>
        </w:tc>
        <w:tc>
          <w:tcPr>
            <w:tcW w:w="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(676,471)</w:t>
            </w:r>
          </w:p>
        </w:tc>
      </w:tr>
      <w:tr>
        <w:trPr>
          <w:trHeight w:val="216"/>
        </w:trPr>
        <w:tc>
          <w:tcPr>
            <w:tcW w:w="20" w:type="dxa"/>
            <w:vAlign w:val="bottom"/>
          </w:tcPr>
          <w:p>
            <w:pPr>
              <w:spacing w:after="0"/>
              <w:rPr>
                <w:sz w:val="18"/>
                <w:szCs w:val="18"/>
                <w:color w:val="auto"/>
              </w:rPr>
            </w:pPr>
          </w:p>
        </w:tc>
        <w:tc>
          <w:tcPr>
            <w:tcW w:w="7500" w:type="dxa"/>
            <w:vAlign w:val="bottom"/>
          </w:tcPr>
          <w:p>
            <w:pPr>
              <w:ind w:left="340"/>
              <w:spacing w:after="0"/>
              <w:rPr>
                <w:sz w:val="20"/>
                <w:szCs w:val="20"/>
                <w:color w:val="auto"/>
              </w:rPr>
            </w:pPr>
            <w:r>
              <w:rPr>
                <w:rFonts w:ascii="Arial" w:cs="Arial" w:eastAsia="Arial" w:hAnsi="Arial"/>
                <w:sz w:val="18"/>
                <w:szCs w:val="18"/>
                <w:color w:val="auto"/>
              </w:rPr>
              <w:t>Proceeds from employee stock plans</w:t>
            </w:r>
          </w:p>
        </w:tc>
        <w:tc>
          <w:tcPr>
            <w:tcW w:w="120" w:type="dxa"/>
            <w:vAlign w:val="bottom"/>
          </w:tcPr>
          <w:p>
            <w:pPr>
              <w:spacing w:after="0"/>
              <w:rPr>
                <w:sz w:val="18"/>
                <w:szCs w:val="18"/>
                <w:color w:val="auto"/>
              </w:rPr>
            </w:pPr>
          </w:p>
        </w:tc>
        <w:tc>
          <w:tcPr>
            <w:tcW w:w="680" w:type="dxa"/>
            <w:vAlign w:val="bottom"/>
            <w:gridSpan w:val="2"/>
          </w:tcPr>
          <w:p>
            <w:pPr>
              <w:jc w:val="right"/>
              <w:ind w:right="20"/>
              <w:spacing w:after="0"/>
              <w:rPr>
                <w:sz w:val="20"/>
                <w:szCs w:val="20"/>
                <w:color w:val="auto"/>
              </w:rPr>
            </w:pPr>
            <w:r>
              <w:rPr>
                <w:rFonts w:ascii="Arial" w:cs="Arial" w:eastAsia="Arial" w:hAnsi="Arial"/>
                <w:sz w:val="18"/>
                <w:szCs w:val="18"/>
                <w:color w:val="auto"/>
              </w:rPr>
              <w:t>24,155</w:t>
            </w:r>
          </w:p>
        </w:tc>
        <w:tc>
          <w:tcPr>
            <w:tcW w:w="12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40" w:type="dxa"/>
            <w:vAlign w:val="bottom"/>
          </w:tcPr>
          <w:p>
            <w:pPr>
              <w:jc w:val="right"/>
              <w:spacing w:after="0"/>
              <w:rPr>
                <w:sz w:val="20"/>
                <w:szCs w:val="20"/>
                <w:color w:val="auto"/>
              </w:rPr>
            </w:pPr>
            <w:r>
              <w:rPr>
                <w:rFonts w:ascii="Arial" w:cs="Arial" w:eastAsia="Arial" w:hAnsi="Arial"/>
                <w:sz w:val="18"/>
                <w:szCs w:val="18"/>
                <w:color w:val="auto"/>
              </w:rPr>
              <w:t>8,915</w:t>
            </w:r>
          </w:p>
        </w:tc>
        <w:tc>
          <w:tcPr>
            <w:tcW w:w="2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800" w:type="dxa"/>
            <w:vAlign w:val="bottom"/>
            <w:gridSpan w:val="2"/>
          </w:tcPr>
          <w:p>
            <w:pPr>
              <w:jc w:val="right"/>
              <w:ind w:right="120"/>
              <w:spacing w:after="0"/>
              <w:rPr>
                <w:sz w:val="20"/>
                <w:szCs w:val="20"/>
                <w:color w:val="auto"/>
              </w:rPr>
            </w:pPr>
            <w:r>
              <w:rPr>
                <w:rFonts w:ascii="Arial" w:cs="Arial" w:eastAsia="Arial" w:hAnsi="Arial"/>
                <w:sz w:val="18"/>
                <w:szCs w:val="18"/>
                <w:color w:val="auto"/>
              </w:rPr>
              <w:t>97,276</w:t>
            </w:r>
          </w:p>
        </w:tc>
        <w:tc>
          <w:tcPr>
            <w:tcW w:w="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900" w:type="dxa"/>
            <w:vAlign w:val="bottom"/>
            <w:gridSpan w:val="2"/>
          </w:tcPr>
          <w:p>
            <w:pPr>
              <w:jc w:val="right"/>
              <w:ind w:right="100"/>
              <w:spacing w:after="0"/>
              <w:rPr>
                <w:sz w:val="20"/>
                <w:szCs w:val="20"/>
                <w:color w:val="auto"/>
              </w:rPr>
            </w:pPr>
            <w:r>
              <w:rPr>
                <w:rFonts w:ascii="Arial" w:cs="Arial" w:eastAsia="Arial" w:hAnsi="Arial"/>
                <w:sz w:val="18"/>
                <w:szCs w:val="18"/>
                <w:color w:val="auto"/>
              </w:rPr>
              <w:t>66,244</w:t>
            </w:r>
          </w:p>
        </w:tc>
      </w:tr>
      <w:tr>
        <w:trPr>
          <w:trHeight w:val="216"/>
        </w:trPr>
        <w:tc>
          <w:tcPr>
            <w:tcW w:w="20" w:type="dxa"/>
            <w:vAlign w:val="bottom"/>
          </w:tcPr>
          <w:p>
            <w:pPr>
              <w:spacing w:after="0"/>
              <w:rPr>
                <w:sz w:val="18"/>
                <w:szCs w:val="18"/>
                <w:color w:val="auto"/>
              </w:rPr>
            </w:pPr>
          </w:p>
        </w:tc>
        <w:tc>
          <w:tcPr>
            <w:tcW w:w="7500" w:type="dxa"/>
            <w:vAlign w:val="bottom"/>
            <w:shd w:val="clear" w:color="auto" w:fill="CCEEFF"/>
          </w:tcPr>
          <w:p>
            <w:pPr>
              <w:ind w:left="340"/>
              <w:spacing w:after="0"/>
              <w:rPr>
                <w:sz w:val="20"/>
                <w:szCs w:val="20"/>
                <w:color w:val="auto"/>
              </w:rPr>
            </w:pPr>
            <w:r>
              <w:rPr>
                <w:rFonts w:ascii="Arial" w:cs="Arial" w:eastAsia="Arial" w:hAnsi="Arial"/>
                <w:sz w:val="18"/>
                <w:szCs w:val="18"/>
                <w:color w:val="auto"/>
              </w:rPr>
              <w:t>Minimum tax withholding paid on behalf of employees for net share settlement</w:t>
            </w:r>
          </w:p>
        </w:tc>
        <w:tc>
          <w:tcPr>
            <w:tcW w:w="120" w:type="dxa"/>
            <w:vAlign w:val="bottom"/>
            <w:shd w:val="clear" w:color="auto" w:fill="CCEEFF"/>
          </w:tcPr>
          <w:p>
            <w:pPr>
              <w:spacing w:after="0"/>
              <w:rPr>
                <w:sz w:val="18"/>
                <w:szCs w:val="18"/>
                <w:color w:val="auto"/>
              </w:rPr>
            </w:pPr>
          </w:p>
        </w:tc>
        <w:tc>
          <w:tcPr>
            <w:tcW w:w="800" w:type="dxa"/>
            <w:vAlign w:val="bottom"/>
            <w:gridSpan w:val="3"/>
            <w:shd w:val="clear" w:color="auto" w:fill="CCEEFF"/>
          </w:tcPr>
          <w:p>
            <w:pPr>
              <w:jc w:val="right"/>
              <w:ind w:right="80"/>
              <w:spacing w:after="0"/>
              <w:rPr>
                <w:sz w:val="20"/>
                <w:szCs w:val="20"/>
                <w:color w:val="auto"/>
              </w:rPr>
            </w:pPr>
            <w:r>
              <w:rPr>
                <w:rFonts w:ascii="Arial" w:cs="Arial" w:eastAsia="Arial" w:hAnsi="Arial"/>
                <w:sz w:val="18"/>
                <w:szCs w:val="18"/>
                <w:color w:val="auto"/>
              </w:rPr>
              <w:t>(518)</w:t>
            </w:r>
          </w:p>
        </w:tc>
        <w:tc>
          <w:tcPr>
            <w:tcW w:w="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4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(345)</w:t>
            </w:r>
          </w:p>
        </w:tc>
        <w:tc>
          <w:tcPr>
            <w:tcW w:w="120" w:type="dxa"/>
            <w:vAlign w:val="bottom"/>
            <w:shd w:val="clear" w:color="auto" w:fill="CCEEFF"/>
          </w:tcPr>
          <w:p>
            <w:pPr>
              <w:spacing w:after="0"/>
              <w:rPr>
                <w:sz w:val="18"/>
                <w:szCs w:val="18"/>
                <w:color w:val="auto"/>
              </w:rPr>
            </w:pPr>
          </w:p>
        </w:tc>
        <w:tc>
          <w:tcPr>
            <w:tcW w:w="80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(10,406)</w:t>
            </w:r>
          </w:p>
        </w:tc>
        <w:tc>
          <w:tcPr>
            <w:tcW w:w="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(9,822)</w:t>
            </w:r>
          </w:p>
        </w:tc>
      </w:tr>
      <w:tr>
        <w:trPr>
          <w:trHeight w:val="216"/>
        </w:trPr>
        <w:tc>
          <w:tcPr>
            <w:tcW w:w="20" w:type="dxa"/>
            <w:vAlign w:val="bottom"/>
          </w:tcPr>
          <w:p>
            <w:pPr>
              <w:spacing w:after="0"/>
              <w:rPr>
                <w:sz w:val="18"/>
                <w:szCs w:val="18"/>
                <w:color w:val="auto"/>
              </w:rPr>
            </w:pPr>
          </w:p>
        </w:tc>
        <w:tc>
          <w:tcPr>
            <w:tcW w:w="7500" w:type="dxa"/>
            <w:vAlign w:val="bottom"/>
          </w:tcPr>
          <w:p>
            <w:pPr>
              <w:ind w:left="340"/>
              <w:spacing w:after="0"/>
              <w:rPr>
                <w:sz w:val="20"/>
                <w:szCs w:val="20"/>
                <w:color w:val="auto"/>
              </w:rPr>
            </w:pPr>
            <w:r>
              <w:rPr>
                <w:rFonts w:ascii="Arial" w:cs="Arial" w:eastAsia="Arial" w:hAnsi="Arial"/>
                <w:sz w:val="18"/>
                <w:szCs w:val="18"/>
                <w:color w:val="auto"/>
              </w:rPr>
              <w:t>Dividend payment to shareholders</w:t>
            </w:r>
          </w:p>
        </w:tc>
        <w:tc>
          <w:tcPr>
            <w:tcW w:w="120" w:type="dxa"/>
            <w:vAlign w:val="bottom"/>
          </w:tcPr>
          <w:p>
            <w:pPr>
              <w:spacing w:after="0"/>
              <w:rPr>
                <w:sz w:val="18"/>
                <w:szCs w:val="18"/>
                <w:color w:val="auto"/>
              </w:rPr>
            </w:pPr>
          </w:p>
        </w:tc>
        <w:tc>
          <w:tcPr>
            <w:tcW w:w="800" w:type="dxa"/>
            <w:vAlign w:val="bottom"/>
            <w:gridSpan w:val="3"/>
          </w:tcPr>
          <w:p>
            <w:pPr>
              <w:jc w:val="right"/>
              <w:ind w:right="80"/>
              <w:spacing w:after="0"/>
              <w:rPr>
                <w:sz w:val="20"/>
                <w:szCs w:val="20"/>
                <w:color w:val="auto"/>
              </w:rPr>
            </w:pPr>
            <w:r>
              <w:rPr>
                <w:rFonts w:ascii="Arial" w:cs="Arial" w:eastAsia="Arial" w:hAnsi="Arial"/>
                <w:sz w:val="18"/>
                <w:szCs w:val="18"/>
                <w:color w:val="auto"/>
              </w:rPr>
              <w:t>(29,516)</w:t>
            </w:r>
          </w:p>
        </w:tc>
        <w:tc>
          <w:tcPr>
            <w:tcW w:w="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40" w:type="dxa"/>
            <w:vAlign w:val="bottom"/>
            <w:gridSpan w:val="2"/>
          </w:tcPr>
          <w:p>
            <w:pPr>
              <w:jc w:val="right"/>
              <w:ind w:right="60"/>
              <w:spacing w:after="0"/>
              <w:rPr>
                <w:sz w:val="20"/>
                <w:szCs w:val="20"/>
                <w:color w:val="auto"/>
              </w:rPr>
            </w:pPr>
            <w:r>
              <w:rPr>
                <w:rFonts w:ascii="Arial" w:cs="Arial" w:eastAsia="Arial" w:hAnsi="Arial"/>
                <w:sz w:val="18"/>
                <w:szCs w:val="18"/>
                <w:color w:val="auto"/>
              </w:rPr>
              <w:t>(33,476)</w:t>
            </w:r>
          </w:p>
        </w:tc>
        <w:tc>
          <w:tcPr>
            <w:tcW w:w="120" w:type="dxa"/>
            <w:vAlign w:val="bottom"/>
          </w:tcPr>
          <w:p>
            <w:pPr>
              <w:spacing w:after="0"/>
              <w:rPr>
                <w:sz w:val="18"/>
                <w:szCs w:val="18"/>
                <w:color w:val="auto"/>
              </w:rPr>
            </w:pPr>
          </w:p>
        </w:tc>
        <w:tc>
          <w:tcPr>
            <w:tcW w:w="800" w:type="dxa"/>
            <w:vAlign w:val="bottom"/>
            <w:gridSpan w:val="2"/>
          </w:tcPr>
          <w:p>
            <w:pPr>
              <w:jc w:val="right"/>
              <w:ind w:right="60"/>
              <w:spacing w:after="0"/>
              <w:rPr>
                <w:sz w:val="20"/>
                <w:szCs w:val="20"/>
                <w:color w:val="auto"/>
              </w:rPr>
            </w:pPr>
            <w:r>
              <w:rPr>
                <w:rFonts w:ascii="Arial" w:cs="Arial" w:eastAsia="Arial" w:hAnsi="Arial"/>
                <w:sz w:val="18"/>
                <w:szCs w:val="18"/>
                <w:color w:val="auto"/>
              </w:rPr>
              <w:t>(89,560)</w:t>
            </w:r>
          </w:p>
        </w:tc>
        <w:tc>
          <w:tcPr>
            <w:tcW w:w="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900" w:type="dxa"/>
            <w:vAlign w:val="bottom"/>
            <w:gridSpan w:val="2"/>
          </w:tcPr>
          <w:p>
            <w:pPr>
              <w:jc w:val="right"/>
              <w:ind w:right="40"/>
              <w:spacing w:after="0"/>
              <w:rPr>
                <w:sz w:val="20"/>
                <w:szCs w:val="20"/>
                <w:color w:val="auto"/>
              </w:rPr>
            </w:pPr>
            <w:r>
              <w:rPr>
                <w:rFonts w:ascii="Arial" w:cs="Arial" w:eastAsia="Arial" w:hAnsi="Arial"/>
                <w:sz w:val="18"/>
                <w:szCs w:val="18"/>
                <w:color w:val="auto"/>
              </w:rPr>
              <w:t>(67,013)</w:t>
            </w:r>
          </w:p>
        </w:tc>
      </w:tr>
      <w:tr>
        <w:trPr>
          <w:trHeight w:val="216"/>
        </w:trPr>
        <w:tc>
          <w:tcPr>
            <w:tcW w:w="20" w:type="dxa"/>
            <w:vAlign w:val="bottom"/>
          </w:tcPr>
          <w:p>
            <w:pPr>
              <w:spacing w:after="0"/>
              <w:rPr>
                <w:sz w:val="18"/>
                <w:szCs w:val="18"/>
                <w:color w:val="auto"/>
              </w:rPr>
            </w:pPr>
          </w:p>
        </w:tc>
        <w:tc>
          <w:tcPr>
            <w:tcW w:w="7500" w:type="dxa"/>
            <w:vAlign w:val="bottom"/>
            <w:shd w:val="clear" w:color="auto" w:fill="CCEEFF"/>
          </w:tcPr>
          <w:p>
            <w:pPr>
              <w:ind w:left="340"/>
              <w:spacing w:after="0"/>
              <w:rPr>
                <w:sz w:val="20"/>
                <w:szCs w:val="20"/>
                <w:color w:val="auto"/>
              </w:rPr>
            </w:pPr>
            <w:r>
              <w:rPr>
                <w:rFonts w:ascii="Arial" w:cs="Arial" w:eastAsia="Arial" w:hAnsi="Arial"/>
                <w:sz w:val="18"/>
                <w:szCs w:val="18"/>
                <w:color w:val="auto"/>
              </w:rPr>
              <w:t>Payment on technology license obligations</w:t>
            </w:r>
          </w:p>
        </w:tc>
        <w:tc>
          <w:tcPr>
            <w:tcW w:w="120" w:type="dxa"/>
            <w:vAlign w:val="bottom"/>
            <w:shd w:val="clear" w:color="auto" w:fill="CCEEFF"/>
          </w:tcPr>
          <w:p>
            <w:pPr>
              <w:spacing w:after="0"/>
              <w:rPr>
                <w:sz w:val="18"/>
                <w:szCs w:val="18"/>
                <w:color w:val="auto"/>
              </w:rPr>
            </w:pPr>
          </w:p>
        </w:tc>
        <w:tc>
          <w:tcPr>
            <w:tcW w:w="800" w:type="dxa"/>
            <w:vAlign w:val="bottom"/>
            <w:gridSpan w:val="3"/>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4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120" w:type="dxa"/>
            <w:vAlign w:val="bottom"/>
            <w:shd w:val="clear" w:color="auto" w:fill="CCEEFF"/>
          </w:tcPr>
          <w:p>
            <w:pPr>
              <w:spacing w:after="0"/>
              <w:rPr>
                <w:sz w:val="18"/>
                <w:szCs w:val="18"/>
                <w:color w:val="auto"/>
              </w:rPr>
            </w:pPr>
          </w:p>
        </w:tc>
        <w:tc>
          <w:tcPr>
            <w:tcW w:w="80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(6,301)</w:t>
            </w:r>
          </w:p>
        </w:tc>
        <w:tc>
          <w:tcPr>
            <w:tcW w:w="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r>
      <w:tr>
        <w:trPr>
          <w:trHeight w:val="216"/>
        </w:trPr>
        <w:tc>
          <w:tcPr>
            <w:tcW w:w="20" w:type="dxa"/>
            <w:vAlign w:val="bottom"/>
          </w:tcPr>
          <w:p>
            <w:pPr>
              <w:spacing w:after="0"/>
              <w:rPr>
                <w:sz w:val="18"/>
                <w:szCs w:val="18"/>
                <w:color w:val="auto"/>
              </w:rPr>
            </w:pPr>
          </w:p>
        </w:tc>
        <w:tc>
          <w:tcPr>
            <w:tcW w:w="7500" w:type="dxa"/>
            <w:vAlign w:val="bottom"/>
          </w:tcPr>
          <w:p>
            <w:pPr>
              <w:ind w:left="340"/>
              <w:spacing w:after="0"/>
              <w:rPr>
                <w:sz w:val="20"/>
                <w:szCs w:val="20"/>
                <w:color w:val="auto"/>
              </w:rPr>
            </w:pPr>
            <w:r>
              <w:rPr>
                <w:rFonts w:ascii="Arial" w:cs="Arial" w:eastAsia="Arial" w:hAnsi="Arial"/>
                <w:sz w:val="18"/>
                <w:szCs w:val="18"/>
                <w:color w:val="auto"/>
              </w:rPr>
              <w:t>Excess tax benefits from stock-based compensation</w:t>
            </w:r>
          </w:p>
        </w:tc>
        <w:tc>
          <w:tcPr>
            <w:tcW w:w="120" w:type="dxa"/>
            <w:vAlign w:val="bottom"/>
          </w:tcPr>
          <w:p>
            <w:pPr>
              <w:spacing w:after="0"/>
              <w:rPr>
                <w:sz w:val="18"/>
                <w:szCs w:val="18"/>
                <w:color w:val="auto"/>
              </w:rPr>
            </w:pPr>
          </w:p>
        </w:tc>
        <w:tc>
          <w:tcPr>
            <w:tcW w:w="660" w:type="dxa"/>
            <w:vAlign w:val="bottom"/>
          </w:tcPr>
          <w:p>
            <w:pPr>
              <w:jc w:val="right"/>
              <w:spacing w:after="0"/>
              <w:rPr>
                <w:sz w:val="20"/>
                <w:szCs w:val="20"/>
                <w:color w:val="auto"/>
              </w:rPr>
            </w:pPr>
            <w:r>
              <w:rPr>
                <w:rFonts w:ascii="Arial" w:cs="Arial" w:eastAsia="Arial" w:hAnsi="Arial"/>
                <w:sz w:val="18"/>
                <w:szCs w:val="18"/>
                <w:color w:val="auto"/>
              </w:rPr>
              <w:t>10</w:t>
            </w:r>
          </w:p>
        </w:tc>
        <w:tc>
          <w:tcPr>
            <w:tcW w:w="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40" w:type="dxa"/>
            <w:vAlign w:val="bottom"/>
            <w:gridSpan w:val="2"/>
          </w:tcPr>
          <w:p>
            <w:pPr>
              <w:jc w:val="right"/>
              <w:ind w:right="120"/>
              <w:spacing w:after="0"/>
              <w:rPr>
                <w:sz w:val="20"/>
                <w:szCs w:val="20"/>
                <w:color w:val="auto"/>
              </w:rPr>
            </w:pPr>
            <w:r>
              <w:rPr>
                <w:rFonts w:ascii="Arial" w:cs="Arial" w:eastAsia="Arial" w:hAnsi="Arial"/>
                <w:sz w:val="18"/>
                <w:szCs w:val="18"/>
                <w:color w:val="auto"/>
              </w:rPr>
              <w:t>5</w:t>
            </w:r>
          </w:p>
        </w:tc>
        <w:tc>
          <w:tcPr>
            <w:tcW w:w="120" w:type="dxa"/>
            <w:vAlign w:val="bottom"/>
          </w:tcPr>
          <w:p>
            <w:pPr>
              <w:spacing w:after="0"/>
              <w:rPr>
                <w:sz w:val="18"/>
                <w:szCs w:val="18"/>
                <w:color w:val="auto"/>
              </w:rPr>
            </w:pPr>
          </w:p>
        </w:tc>
        <w:tc>
          <w:tcPr>
            <w:tcW w:w="800" w:type="dxa"/>
            <w:vAlign w:val="bottom"/>
            <w:gridSpan w:val="2"/>
          </w:tcPr>
          <w:p>
            <w:pPr>
              <w:jc w:val="right"/>
              <w:ind w:right="120"/>
              <w:spacing w:after="0"/>
              <w:rPr>
                <w:sz w:val="20"/>
                <w:szCs w:val="20"/>
                <w:color w:val="auto"/>
              </w:rPr>
            </w:pPr>
            <w:r>
              <w:rPr>
                <w:rFonts w:ascii="Arial" w:cs="Arial" w:eastAsia="Arial" w:hAnsi="Arial"/>
                <w:sz w:val="18"/>
                <w:szCs w:val="18"/>
                <w:color w:val="auto"/>
              </w:rPr>
              <w:t>42</w:t>
            </w:r>
          </w:p>
        </w:tc>
        <w:tc>
          <w:tcPr>
            <w:tcW w:w="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900" w:type="dxa"/>
            <w:vAlign w:val="bottom"/>
            <w:gridSpan w:val="2"/>
          </w:tcPr>
          <w:p>
            <w:pPr>
              <w:jc w:val="right"/>
              <w:ind w:right="100"/>
              <w:spacing w:after="0"/>
              <w:rPr>
                <w:sz w:val="20"/>
                <w:szCs w:val="20"/>
                <w:color w:val="auto"/>
              </w:rPr>
            </w:pPr>
            <w:r>
              <w:rPr>
                <w:rFonts w:ascii="Arial" w:cs="Arial" w:eastAsia="Arial" w:hAnsi="Arial"/>
                <w:sz w:val="18"/>
                <w:szCs w:val="18"/>
                <w:color w:val="auto"/>
              </w:rPr>
              <w:t>49</w:t>
            </w:r>
          </w:p>
        </w:tc>
      </w:tr>
      <w:tr>
        <w:trPr>
          <w:trHeight w:val="27"/>
        </w:trPr>
        <w:tc>
          <w:tcPr>
            <w:tcW w:w="20" w:type="dxa"/>
            <w:vAlign w:val="bottom"/>
          </w:tcPr>
          <w:p>
            <w:pPr>
              <w:spacing w:after="0"/>
              <w:rPr>
                <w:sz w:val="2"/>
                <w:szCs w:val="2"/>
                <w:color w:val="auto"/>
              </w:rPr>
            </w:pPr>
          </w:p>
        </w:tc>
        <w:tc>
          <w:tcPr>
            <w:tcW w:w="7500" w:type="dxa"/>
            <w:vAlign w:val="bottom"/>
          </w:tcPr>
          <w:p>
            <w:pPr>
              <w:spacing w:after="0"/>
              <w:rPr>
                <w:sz w:val="2"/>
                <w:szCs w:val="2"/>
                <w:color w:val="auto"/>
              </w:rPr>
            </w:pPr>
          </w:p>
        </w:tc>
        <w:tc>
          <w:tcPr>
            <w:tcW w:w="120" w:type="dxa"/>
            <w:vAlign w:val="bottom"/>
            <w:shd w:val="clear" w:color="auto" w:fill="000000"/>
          </w:tcPr>
          <w:p>
            <w:pPr>
              <w:spacing w:after="0"/>
              <w:rPr>
                <w:sz w:val="2"/>
                <w:szCs w:val="2"/>
                <w:color w:val="auto"/>
              </w:rPr>
            </w:pPr>
          </w:p>
        </w:tc>
        <w:tc>
          <w:tcPr>
            <w:tcW w:w="660" w:type="dxa"/>
            <w:vAlign w:val="bottom"/>
            <w:shd w:val="clear" w:color="auto" w:fill="000000"/>
          </w:tcPr>
          <w:p>
            <w:pPr>
              <w:spacing w:after="0"/>
              <w:rPr>
                <w:sz w:val="2"/>
                <w:szCs w:val="2"/>
                <w:color w:val="auto"/>
              </w:rPr>
            </w:pPr>
          </w:p>
        </w:tc>
        <w:tc>
          <w:tcPr>
            <w:tcW w:w="20" w:type="dxa"/>
            <w:vAlign w:val="bottom"/>
          </w:tcPr>
          <w:p>
            <w:pPr>
              <w:spacing w:after="0"/>
              <w:rPr>
                <w:sz w:val="2"/>
                <w:szCs w:val="2"/>
                <w:color w:val="auto"/>
              </w:rPr>
            </w:pPr>
          </w:p>
        </w:tc>
        <w:tc>
          <w:tcPr>
            <w:tcW w:w="120" w:type="dxa"/>
            <w:vAlign w:val="bottom"/>
          </w:tcPr>
          <w:p>
            <w:pPr>
              <w:spacing w:after="0"/>
              <w:rPr>
                <w:sz w:val="2"/>
                <w:szCs w:val="2"/>
                <w:color w:val="auto"/>
              </w:rPr>
            </w:pPr>
          </w:p>
        </w:tc>
        <w:tc>
          <w:tcPr>
            <w:tcW w:w="6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640" w:type="dxa"/>
            <w:vAlign w:val="bottom"/>
            <w:shd w:val="clear" w:color="auto" w:fill="000000"/>
          </w:tcPr>
          <w:p>
            <w:pPr>
              <w:spacing w:after="0"/>
              <w:rPr>
                <w:sz w:val="2"/>
                <w:szCs w:val="2"/>
                <w:color w:val="auto"/>
              </w:rPr>
            </w:pPr>
          </w:p>
        </w:tc>
        <w:tc>
          <w:tcPr>
            <w:tcW w:w="200" w:type="dxa"/>
            <w:vAlign w:val="bottom"/>
          </w:tcPr>
          <w:p>
            <w:pPr>
              <w:spacing w:after="0"/>
              <w:rPr>
                <w:sz w:val="2"/>
                <w:szCs w:val="2"/>
                <w:color w:val="auto"/>
              </w:rPr>
            </w:pPr>
          </w:p>
        </w:tc>
        <w:tc>
          <w:tcPr>
            <w:tcW w:w="120" w:type="dxa"/>
            <w:vAlign w:val="bottom"/>
            <w:shd w:val="clear" w:color="auto" w:fill="000000"/>
          </w:tcPr>
          <w:p>
            <w:pPr>
              <w:spacing w:after="0"/>
              <w:rPr>
                <w:sz w:val="2"/>
                <w:szCs w:val="2"/>
                <w:color w:val="auto"/>
              </w:rPr>
            </w:pPr>
          </w:p>
        </w:tc>
        <w:tc>
          <w:tcPr>
            <w:tcW w:w="680" w:type="dxa"/>
            <w:vAlign w:val="bottom"/>
            <w:shd w:val="clear" w:color="auto" w:fill="000000"/>
          </w:tcPr>
          <w:p>
            <w:pPr>
              <w:spacing w:after="0"/>
              <w:rPr>
                <w:sz w:val="2"/>
                <w:szCs w:val="2"/>
                <w:color w:val="auto"/>
              </w:rPr>
            </w:pPr>
          </w:p>
        </w:tc>
        <w:tc>
          <w:tcPr>
            <w:tcW w:w="120" w:type="dxa"/>
            <w:vAlign w:val="bottom"/>
          </w:tcPr>
          <w:p>
            <w:pPr>
              <w:spacing w:after="0"/>
              <w:rPr>
                <w:sz w:val="2"/>
                <w:szCs w:val="2"/>
                <w:color w:val="auto"/>
              </w:rPr>
            </w:pPr>
          </w:p>
        </w:tc>
        <w:tc>
          <w:tcPr>
            <w:tcW w:w="8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80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r>
      <w:tr>
        <w:trPr>
          <w:trHeight w:val="216"/>
        </w:trPr>
        <w:tc>
          <w:tcPr>
            <w:tcW w:w="20" w:type="dxa"/>
            <w:vAlign w:val="bottom"/>
          </w:tcPr>
          <w:p>
            <w:pPr>
              <w:spacing w:after="0"/>
              <w:rPr>
                <w:sz w:val="18"/>
                <w:szCs w:val="18"/>
                <w:color w:val="auto"/>
              </w:rPr>
            </w:pPr>
          </w:p>
        </w:tc>
        <w:tc>
          <w:tcPr>
            <w:tcW w:w="7500" w:type="dxa"/>
            <w:vAlign w:val="bottom"/>
            <w:shd w:val="clear" w:color="auto" w:fill="CCEEFF"/>
          </w:tcPr>
          <w:p>
            <w:pPr>
              <w:ind w:left="1060"/>
              <w:spacing w:after="0"/>
              <w:rPr>
                <w:sz w:val="20"/>
                <w:szCs w:val="20"/>
                <w:color w:val="auto"/>
              </w:rPr>
            </w:pPr>
            <w:r>
              <w:rPr>
                <w:rFonts w:ascii="Arial" w:cs="Arial" w:eastAsia="Arial" w:hAnsi="Arial"/>
                <w:sz w:val="18"/>
                <w:szCs w:val="18"/>
                <w:color w:val="auto"/>
              </w:rPr>
              <w:t>Net cash used in financing activities</w:t>
            </w:r>
          </w:p>
        </w:tc>
        <w:tc>
          <w:tcPr>
            <w:tcW w:w="120" w:type="dxa"/>
            <w:vAlign w:val="bottom"/>
            <w:shd w:val="clear" w:color="auto" w:fill="CCEEFF"/>
          </w:tcPr>
          <w:p>
            <w:pPr>
              <w:spacing w:after="0"/>
              <w:rPr>
                <w:sz w:val="18"/>
                <w:szCs w:val="18"/>
                <w:color w:val="auto"/>
              </w:rPr>
            </w:pPr>
          </w:p>
        </w:tc>
        <w:tc>
          <w:tcPr>
            <w:tcW w:w="800" w:type="dxa"/>
            <w:vAlign w:val="bottom"/>
            <w:gridSpan w:val="3"/>
            <w:shd w:val="clear" w:color="auto" w:fill="CCEEFF"/>
          </w:tcPr>
          <w:p>
            <w:pPr>
              <w:jc w:val="right"/>
              <w:ind w:right="80"/>
              <w:spacing w:after="0"/>
              <w:rPr>
                <w:sz w:val="20"/>
                <w:szCs w:val="20"/>
                <w:color w:val="auto"/>
              </w:rPr>
            </w:pPr>
            <w:r>
              <w:rPr>
                <w:rFonts w:ascii="Arial" w:cs="Arial" w:eastAsia="Arial" w:hAnsi="Arial"/>
                <w:sz w:val="18"/>
                <w:szCs w:val="18"/>
                <w:color w:val="auto"/>
              </w:rPr>
              <w:t>(77,346)</w:t>
            </w:r>
          </w:p>
        </w:tc>
        <w:tc>
          <w:tcPr>
            <w:tcW w:w="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4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w w:val="88"/>
              </w:rPr>
              <w:t>(227,888)</w:t>
            </w:r>
          </w:p>
        </w:tc>
        <w:tc>
          <w:tcPr>
            <w:tcW w:w="120" w:type="dxa"/>
            <w:vAlign w:val="bottom"/>
            <w:shd w:val="clear" w:color="auto" w:fill="CCEEFF"/>
          </w:tcPr>
          <w:p>
            <w:pPr>
              <w:spacing w:after="0"/>
              <w:rPr>
                <w:sz w:val="18"/>
                <w:szCs w:val="18"/>
                <w:color w:val="auto"/>
              </w:rPr>
            </w:pPr>
          </w:p>
        </w:tc>
        <w:tc>
          <w:tcPr>
            <w:tcW w:w="80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w w:val="93"/>
              </w:rPr>
              <w:t>(385,234)</w:t>
            </w:r>
          </w:p>
        </w:tc>
        <w:tc>
          <w:tcPr>
            <w:tcW w:w="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(687,013)</w:t>
            </w:r>
          </w:p>
        </w:tc>
      </w:tr>
      <w:tr>
        <w:trPr>
          <w:trHeight w:val="230"/>
        </w:trPr>
        <w:tc>
          <w:tcPr>
            <w:tcW w:w="7520" w:type="dxa"/>
            <w:vAlign w:val="bottom"/>
            <w:gridSpan w:val="2"/>
          </w:tcPr>
          <w:p>
            <w:pPr>
              <w:spacing w:after="0"/>
              <w:rPr>
                <w:sz w:val="20"/>
                <w:szCs w:val="20"/>
                <w:color w:val="auto"/>
              </w:rPr>
            </w:pPr>
            <w:r>
              <w:rPr>
                <w:rFonts w:ascii="Arial" w:cs="Arial" w:eastAsia="Arial" w:hAnsi="Arial"/>
                <w:sz w:val="18"/>
                <w:szCs w:val="18"/>
                <w:color w:val="auto"/>
              </w:rPr>
              <w:t>Net increase (decrease) in cash and cash equivalents</w:t>
            </w:r>
          </w:p>
        </w:tc>
        <w:tc>
          <w:tcPr>
            <w:tcW w:w="120" w:type="dxa"/>
            <w:vAlign w:val="bottom"/>
            <w:tcBorders>
              <w:top w:val="single" w:sz="8" w:color="auto"/>
              <w:bottom w:val="single" w:sz="8" w:color="auto"/>
            </w:tcBorders>
          </w:tcPr>
          <w:p>
            <w:pPr>
              <w:spacing w:after="0"/>
              <w:rPr>
                <w:sz w:val="20"/>
                <w:szCs w:val="20"/>
                <w:color w:val="auto"/>
              </w:rPr>
            </w:pPr>
          </w:p>
        </w:tc>
        <w:tc>
          <w:tcPr>
            <w:tcW w:w="66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98"/>
              </w:rPr>
              <w:t>204,675</w:t>
            </w:r>
          </w:p>
        </w:tc>
        <w:tc>
          <w:tcPr>
            <w:tcW w:w="2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60" w:type="dxa"/>
            <w:vAlign w:val="bottom"/>
          </w:tcPr>
          <w:p>
            <w:pPr>
              <w:spacing w:after="0"/>
              <w:rPr>
                <w:sz w:val="20"/>
                <w:szCs w:val="20"/>
                <w:color w:val="auto"/>
              </w:rPr>
            </w:pPr>
          </w:p>
        </w:tc>
        <w:tc>
          <w:tcPr>
            <w:tcW w:w="100" w:type="dxa"/>
            <w:vAlign w:val="bottom"/>
            <w:tcBorders>
              <w:top w:val="single" w:sz="8" w:color="auto"/>
              <w:bottom w:val="single" w:sz="8" w:color="auto"/>
            </w:tcBorders>
          </w:tcPr>
          <w:p>
            <w:pPr>
              <w:spacing w:after="0"/>
              <w:rPr>
                <w:sz w:val="20"/>
                <w:szCs w:val="20"/>
                <w:color w:val="auto"/>
              </w:rPr>
            </w:pPr>
          </w:p>
        </w:tc>
        <w:tc>
          <w:tcPr>
            <w:tcW w:w="64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87"/>
              </w:rPr>
              <w:t>(237,924</w:t>
            </w:r>
          </w:p>
        </w:tc>
        <w:tc>
          <w:tcPr>
            <w:tcW w:w="200" w:type="dxa"/>
            <w:vAlign w:val="bottom"/>
          </w:tcPr>
          <w:p>
            <w:pPr>
              <w:jc w:val="right"/>
              <w:ind w:right="60"/>
              <w:spacing w:after="0"/>
              <w:rPr>
                <w:sz w:val="20"/>
                <w:szCs w:val="20"/>
                <w:color w:val="auto"/>
              </w:rPr>
            </w:pPr>
            <w:r>
              <w:rPr>
                <w:rFonts w:ascii="Arial" w:cs="Arial" w:eastAsia="Arial" w:hAnsi="Arial"/>
                <w:sz w:val="16"/>
                <w:szCs w:val="16"/>
                <w:color w:val="auto"/>
                <w:w w:val="74"/>
              </w:rPr>
              <w:t>)</w:t>
            </w:r>
          </w:p>
        </w:tc>
        <w:tc>
          <w:tcPr>
            <w:tcW w:w="120" w:type="dxa"/>
            <w:vAlign w:val="bottom"/>
            <w:tcBorders>
              <w:top w:val="single" w:sz="8" w:color="auto"/>
              <w:bottom w:val="single" w:sz="8" w:color="auto"/>
            </w:tcBorders>
          </w:tcPr>
          <w:p>
            <w:pPr>
              <w:spacing w:after="0"/>
              <w:rPr>
                <w:sz w:val="20"/>
                <w:szCs w:val="20"/>
                <w:color w:val="auto"/>
              </w:rPr>
            </w:pPr>
          </w:p>
        </w:tc>
        <w:tc>
          <w:tcPr>
            <w:tcW w:w="68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44,377</w:t>
            </w:r>
          </w:p>
        </w:tc>
        <w:tc>
          <w:tcPr>
            <w:tcW w:w="120" w:type="dxa"/>
            <w:vAlign w:val="bottom"/>
          </w:tcPr>
          <w:p>
            <w:pPr>
              <w:spacing w:after="0"/>
              <w:rPr>
                <w:sz w:val="20"/>
                <w:szCs w:val="20"/>
                <w:color w:val="auto"/>
              </w:rPr>
            </w:pPr>
          </w:p>
        </w:tc>
        <w:tc>
          <w:tcPr>
            <w:tcW w:w="80" w:type="dxa"/>
            <w:vAlign w:val="bottom"/>
          </w:tcPr>
          <w:p>
            <w:pPr>
              <w:spacing w:after="0"/>
              <w:rPr>
                <w:sz w:val="20"/>
                <w:szCs w:val="20"/>
                <w:color w:val="auto"/>
              </w:rPr>
            </w:pPr>
          </w:p>
        </w:tc>
        <w:tc>
          <w:tcPr>
            <w:tcW w:w="80" w:type="dxa"/>
            <w:vAlign w:val="bottom"/>
            <w:tcBorders>
              <w:top w:val="single" w:sz="8" w:color="auto"/>
              <w:bottom w:val="single" w:sz="8" w:color="auto"/>
            </w:tcBorders>
          </w:tcPr>
          <w:p>
            <w:pPr>
              <w:spacing w:after="0"/>
              <w:rPr>
                <w:sz w:val="20"/>
                <w:szCs w:val="20"/>
                <w:color w:val="auto"/>
              </w:rPr>
            </w:pPr>
          </w:p>
        </w:tc>
        <w:tc>
          <w:tcPr>
            <w:tcW w:w="8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(116,718)</w:t>
            </w:r>
          </w:p>
        </w:tc>
        <w:tc>
          <w:tcPr>
            <w:tcW w:w="100" w:type="dxa"/>
            <w:vAlign w:val="bottom"/>
          </w:tcPr>
          <w:p>
            <w:pPr>
              <w:spacing w:after="0"/>
              <w:rPr>
                <w:sz w:val="20"/>
                <w:szCs w:val="20"/>
                <w:color w:val="auto"/>
              </w:rPr>
            </w:pPr>
          </w:p>
        </w:tc>
      </w:tr>
      <w:tr>
        <w:trPr>
          <w:trHeight w:val="216"/>
        </w:trPr>
        <w:tc>
          <w:tcPr>
            <w:tcW w:w="20" w:type="dxa"/>
            <w:vAlign w:val="bottom"/>
          </w:tcPr>
          <w:p>
            <w:pPr>
              <w:spacing w:after="0"/>
              <w:rPr>
                <w:sz w:val="18"/>
                <w:szCs w:val="18"/>
                <w:color w:val="auto"/>
              </w:rPr>
            </w:pPr>
          </w:p>
        </w:tc>
        <w:tc>
          <w:tcPr>
            <w:tcW w:w="7500" w:type="dxa"/>
            <w:vAlign w:val="bottom"/>
            <w:shd w:val="clear" w:color="auto" w:fill="CCEEFF"/>
          </w:tcPr>
          <w:p>
            <w:pPr>
              <w:spacing w:after="0"/>
              <w:rPr>
                <w:sz w:val="20"/>
                <w:szCs w:val="20"/>
                <w:color w:val="auto"/>
              </w:rPr>
            </w:pPr>
            <w:r>
              <w:rPr>
                <w:rFonts w:ascii="Arial" w:cs="Arial" w:eastAsia="Arial" w:hAnsi="Arial"/>
                <w:sz w:val="18"/>
                <w:szCs w:val="18"/>
                <w:color w:val="auto"/>
              </w:rPr>
              <w:t>Cash and cash equivalents at beginning of period</w:t>
            </w:r>
          </w:p>
        </w:tc>
        <w:tc>
          <w:tcPr>
            <w:tcW w:w="120" w:type="dxa"/>
            <w:vAlign w:val="bottom"/>
            <w:shd w:val="clear" w:color="auto" w:fill="CCEEFF"/>
          </w:tcPr>
          <w:p>
            <w:pPr>
              <w:spacing w:after="0"/>
              <w:rPr>
                <w:sz w:val="18"/>
                <w:szCs w:val="18"/>
                <w:color w:val="auto"/>
              </w:rPr>
            </w:pPr>
          </w:p>
        </w:tc>
        <w:tc>
          <w:tcPr>
            <w:tcW w:w="68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w w:val="98"/>
              </w:rPr>
              <w:t>591,655</w:t>
            </w:r>
          </w:p>
        </w:tc>
        <w:tc>
          <w:tcPr>
            <w:tcW w:w="12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6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5"/>
              </w:rPr>
              <w:t>906,108</w:t>
            </w:r>
          </w:p>
        </w:tc>
        <w:tc>
          <w:tcPr>
            <w:tcW w:w="2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80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751,953</w:t>
            </w:r>
          </w:p>
        </w:tc>
        <w:tc>
          <w:tcPr>
            <w:tcW w:w="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784,902</w:t>
            </w:r>
          </w:p>
        </w:tc>
      </w:tr>
      <w:tr>
        <w:trPr>
          <w:trHeight w:val="223"/>
        </w:trPr>
        <w:tc>
          <w:tcPr>
            <w:tcW w:w="7520" w:type="dxa"/>
            <w:vAlign w:val="bottom"/>
            <w:gridSpan w:val="2"/>
          </w:tcPr>
          <w:p>
            <w:pPr>
              <w:spacing w:after="0"/>
              <w:rPr>
                <w:sz w:val="20"/>
                <w:szCs w:val="20"/>
                <w:color w:val="auto"/>
              </w:rPr>
            </w:pPr>
            <w:r>
              <w:rPr>
                <w:rFonts w:ascii="Arial" w:cs="Arial" w:eastAsia="Arial" w:hAnsi="Arial"/>
                <w:sz w:val="18"/>
                <w:szCs w:val="18"/>
                <w:color w:val="auto"/>
              </w:rPr>
              <w:t>Cash and cash equivalents at end of period</w:t>
            </w:r>
          </w:p>
        </w:tc>
        <w:tc>
          <w:tcPr>
            <w:tcW w:w="120" w:type="dxa"/>
            <w:vAlign w:val="bottom"/>
            <w:tcBorders>
              <w:top w:val="single" w:sz="8" w:color="auto"/>
              <w:bottom w:val="single" w:sz="8" w:color="auto"/>
            </w:tcBorders>
          </w:tcPr>
          <w:p>
            <w:pPr>
              <w:spacing w:after="0"/>
              <w:rPr>
                <w:sz w:val="20"/>
                <w:szCs w:val="20"/>
                <w:color w:val="auto"/>
              </w:rPr>
            </w:pPr>
            <w:r>
              <w:rPr>
                <w:rFonts w:ascii="Arial" w:cs="Arial" w:eastAsia="Arial" w:hAnsi="Arial"/>
                <w:sz w:val="18"/>
                <w:szCs w:val="18"/>
                <w:color w:val="auto"/>
                <w:w w:val="99"/>
              </w:rPr>
              <w:t>$</w:t>
            </w:r>
          </w:p>
        </w:tc>
        <w:tc>
          <w:tcPr>
            <w:tcW w:w="66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98"/>
              </w:rPr>
              <w:t>796,330</w:t>
            </w:r>
          </w:p>
        </w:tc>
        <w:tc>
          <w:tcPr>
            <w:tcW w:w="20" w:type="dxa"/>
            <w:vAlign w:val="bottom"/>
            <w:tcBorders>
              <w:bottom w:val="single" w:sz="8" w:color="auto"/>
            </w:tcBorders>
          </w:tcPr>
          <w:p>
            <w:pPr>
              <w:spacing w:after="0"/>
              <w:rPr>
                <w:sz w:val="19"/>
                <w:szCs w:val="19"/>
                <w:color w:val="auto"/>
              </w:rPr>
            </w:pPr>
          </w:p>
        </w:tc>
        <w:tc>
          <w:tcPr>
            <w:tcW w:w="120" w:type="dxa"/>
            <w:vAlign w:val="bottom"/>
          </w:tcPr>
          <w:p>
            <w:pPr>
              <w:spacing w:after="0"/>
              <w:rPr>
                <w:sz w:val="19"/>
                <w:szCs w:val="19"/>
                <w:color w:val="auto"/>
              </w:rPr>
            </w:pPr>
          </w:p>
        </w:tc>
        <w:tc>
          <w:tcPr>
            <w:tcW w:w="60" w:type="dxa"/>
            <w:vAlign w:val="bottom"/>
          </w:tcPr>
          <w:p>
            <w:pPr>
              <w:spacing w:after="0"/>
              <w:rPr>
                <w:sz w:val="19"/>
                <w:szCs w:val="19"/>
                <w:color w:val="auto"/>
              </w:rPr>
            </w:pPr>
          </w:p>
        </w:tc>
        <w:tc>
          <w:tcPr>
            <w:tcW w:w="100" w:type="dxa"/>
            <w:vAlign w:val="bottom"/>
            <w:tcBorders>
              <w:top w:val="single" w:sz="8" w:color="auto"/>
              <w:bottom w:val="single" w:sz="8" w:color="auto"/>
            </w:tcBorders>
          </w:tcPr>
          <w:p>
            <w:pPr>
              <w:spacing w:after="0"/>
              <w:rPr>
                <w:sz w:val="20"/>
                <w:szCs w:val="20"/>
                <w:color w:val="auto"/>
              </w:rPr>
            </w:pPr>
            <w:r>
              <w:rPr>
                <w:rFonts w:ascii="Arial" w:cs="Arial" w:eastAsia="Arial" w:hAnsi="Arial"/>
                <w:sz w:val="18"/>
                <w:szCs w:val="18"/>
                <w:color w:val="auto"/>
                <w:w w:val="79"/>
              </w:rPr>
              <w:t>$</w:t>
            </w:r>
          </w:p>
        </w:tc>
        <w:tc>
          <w:tcPr>
            <w:tcW w:w="64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95"/>
              </w:rPr>
              <w:t>668,184</w:t>
            </w:r>
          </w:p>
        </w:tc>
        <w:tc>
          <w:tcPr>
            <w:tcW w:w="200" w:type="dxa"/>
            <w:vAlign w:val="bottom"/>
          </w:tcPr>
          <w:p>
            <w:pPr>
              <w:spacing w:after="0"/>
              <w:rPr>
                <w:sz w:val="19"/>
                <w:szCs w:val="19"/>
                <w:color w:val="auto"/>
              </w:rPr>
            </w:pPr>
          </w:p>
        </w:tc>
        <w:tc>
          <w:tcPr>
            <w:tcW w:w="120" w:type="dxa"/>
            <w:vAlign w:val="bottom"/>
            <w:tcBorders>
              <w:top w:val="single" w:sz="8" w:color="auto"/>
              <w:bottom w:val="single" w:sz="8" w:color="auto"/>
            </w:tcBorders>
          </w:tcPr>
          <w:p>
            <w:pPr>
              <w:spacing w:after="0"/>
              <w:rPr>
                <w:sz w:val="20"/>
                <w:szCs w:val="20"/>
                <w:color w:val="auto"/>
              </w:rPr>
            </w:pPr>
            <w:r>
              <w:rPr>
                <w:rFonts w:ascii="Arial" w:cs="Arial" w:eastAsia="Arial" w:hAnsi="Arial"/>
                <w:sz w:val="18"/>
                <w:szCs w:val="18"/>
                <w:color w:val="auto"/>
                <w:w w:val="99"/>
              </w:rPr>
              <w:t>$</w:t>
            </w:r>
          </w:p>
        </w:tc>
        <w:tc>
          <w:tcPr>
            <w:tcW w:w="68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796,330</w:t>
            </w:r>
          </w:p>
        </w:tc>
        <w:tc>
          <w:tcPr>
            <w:tcW w:w="12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8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5"/>
                <w:szCs w:val="15"/>
                <w:color w:val="auto"/>
                <w:w w:val="71"/>
              </w:rPr>
              <w:t>$</w:t>
            </w:r>
          </w:p>
        </w:tc>
        <w:tc>
          <w:tcPr>
            <w:tcW w:w="8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668,184</w:t>
            </w:r>
          </w:p>
        </w:tc>
        <w:tc>
          <w:tcPr>
            <w:tcW w:w="100" w:type="dxa"/>
            <w:vAlign w:val="bottom"/>
          </w:tcPr>
          <w:p>
            <w:pPr>
              <w:spacing w:after="0"/>
              <w:rPr>
                <w:sz w:val="19"/>
                <w:szCs w:val="19"/>
                <w:color w:val="auto"/>
              </w:rPr>
            </w:pPr>
          </w:p>
        </w:tc>
      </w:tr>
      <w:tr>
        <w:trPr>
          <w:trHeight w:val="20"/>
        </w:trPr>
        <w:tc>
          <w:tcPr>
            <w:tcW w:w="20" w:type="dxa"/>
            <w:vAlign w:val="bottom"/>
          </w:tcPr>
          <w:p>
            <w:pPr>
              <w:spacing w:after="0" w:line="20" w:lineRule="exact"/>
              <w:rPr>
                <w:sz w:val="1"/>
                <w:szCs w:val="1"/>
                <w:color w:val="auto"/>
              </w:rPr>
            </w:pPr>
          </w:p>
        </w:tc>
        <w:tc>
          <w:tcPr>
            <w:tcW w:w="7500" w:type="dxa"/>
            <w:vAlign w:val="bottom"/>
          </w:tcPr>
          <w:p>
            <w:pPr>
              <w:spacing w:after="0" w:line="20" w:lineRule="exact"/>
              <w:rPr>
                <w:sz w:val="1"/>
                <w:szCs w:val="1"/>
                <w:color w:val="auto"/>
              </w:rPr>
            </w:pPr>
          </w:p>
        </w:tc>
        <w:tc>
          <w:tcPr>
            <w:tcW w:w="120" w:type="dxa"/>
            <w:vAlign w:val="bottom"/>
            <w:tcBorders>
              <w:bottom w:val="single" w:sz="8" w:color="auto"/>
            </w:tcBorders>
          </w:tcPr>
          <w:p>
            <w:pPr>
              <w:spacing w:after="0" w:line="20" w:lineRule="exact"/>
              <w:rPr>
                <w:sz w:val="1"/>
                <w:szCs w:val="1"/>
                <w:color w:val="auto"/>
              </w:rPr>
            </w:pPr>
          </w:p>
        </w:tc>
        <w:tc>
          <w:tcPr>
            <w:tcW w:w="660" w:type="dxa"/>
            <w:vAlign w:val="bottom"/>
            <w:tcBorders>
              <w:bottom w:val="single" w:sz="8" w:color="auto"/>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640" w:type="dxa"/>
            <w:vAlign w:val="bottom"/>
            <w:tcBorders>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20" w:type="dxa"/>
            <w:vAlign w:val="bottom"/>
            <w:tcBorders>
              <w:bottom w:val="single" w:sz="8" w:color="auto"/>
            </w:tcBorders>
          </w:tcPr>
          <w:p>
            <w:pPr>
              <w:spacing w:after="0" w:line="20" w:lineRule="exact"/>
              <w:rPr>
                <w:sz w:val="1"/>
                <w:szCs w:val="1"/>
                <w:color w:val="auto"/>
              </w:rPr>
            </w:pPr>
          </w:p>
        </w:tc>
        <w:tc>
          <w:tcPr>
            <w:tcW w:w="680" w:type="dxa"/>
            <w:vAlign w:val="bottom"/>
            <w:tcBorders>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80" w:type="dxa"/>
            <w:vAlign w:val="bottom"/>
            <w:tcBorders>
              <w:bottom w:val="single" w:sz="8" w:color="auto"/>
            </w:tcBorders>
          </w:tcPr>
          <w:p>
            <w:pPr>
              <w:spacing w:after="0" w:line="20" w:lineRule="exact"/>
              <w:rPr>
                <w:sz w:val="1"/>
                <w:szCs w:val="1"/>
                <w:color w:val="auto"/>
              </w:rPr>
            </w:pPr>
          </w:p>
        </w:tc>
        <w:tc>
          <w:tcPr>
            <w:tcW w:w="80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r>
    </w:tbl>
    <w:p>
      <w:pPr>
        <w:spacing w:after="0" w:line="242" w:lineRule="exact"/>
        <w:rPr>
          <w:sz w:val="20"/>
          <w:szCs w:val="20"/>
          <w:color w:val="auto"/>
        </w:rPr>
      </w:pPr>
    </w:p>
    <w:p>
      <w:pPr>
        <w:ind w:left="460" w:right="20" w:hanging="452"/>
        <w:spacing w:after="0" w:line="259" w:lineRule="auto"/>
        <w:tabs>
          <w:tab w:leader="none" w:pos="460" w:val="left"/>
        </w:tabs>
        <w:numPr>
          <w:ilvl w:val="0"/>
          <w:numId w:val="9"/>
        </w:numPr>
        <w:rPr>
          <w:rFonts w:ascii="Arial" w:cs="Arial" w:eastAsia="Arial" w:hAnsi="Arial"/>
          <w:sz w:val="18"/>
          <w:szCs w:val="18"/>
          <w:i w:val="1"/>
          <w:iCs w:val="1"/>
          <w:color w:val="auto"/>
        </w:rPr>
      </w:pPr>
      <w:r>
        <w:rPr>
          <w:rFonts w:ascii="Arial" w:cs="Arial" w:eastAsia="Arial" w:hAnsi="Arial"/>
          <w:sz w:val="18"/>
          <w:szCs w:val="18"/>
          <w:color w:val="auto"/>
        </w:rPr>
        <w:t>Marvell records all repurchases as well as investment purchases and sales, based on trade date in accordance with U.S. GAAP. Cash paid for repurchase of Marvell common shares includes a total of 6.1 million shares repurchased for $71.3 million in the third quarter of fiscal 2014, adjusted for the change in repurchases made within the final three days of the current and previous quarter that are accrued but not yet paid due to the standard settlement period that normally takes up to three days.</w:t>
      </w:r>
    </w:p>
    <w:p>
      <w:pPr>
        <w:spacing w:after="0" w:line="119"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9</w:t>
      </w:r>
    </w:p>
    <w:p>
      <w:pPr>
        <w:sectPr>
          <w:pgSz w:w="11900" w:h="16838" w:orient="portrait"/>
          <w:cols w:equalWidth="0" w:num="1">
            <w:col w:w="11420"/>
          </w:cols>
          <w:pgMar w:left="240" w:top="270" w:right="239" w:bottom="1440" w:gutter="0" w:footer="0" w:header="0"/>
        </w:sectPr>
      </w:pPr>
    </w:p>
    <w:bookmarkStart w:id="15" w:name="page16"/>
    <w:bookmarkEnd w:id="15"/>
    <w:p>
      <w:pPr>
        <w:jc w:val="center"/>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2">
                      <a:extLst>
                        <a:ext uri="{28A0092B-C50C-407E-A947-70E740481C1C}"/>
                      </a:extLst>
                    </a:blip>
                    <a:srcRect/>
                    <a:stretch>
                      <a:fillRect/>
                    </a:stretch>
                  </pic:blipFill>
                  <pic:spPr bwMode="auto">
                    <a:xfrm>
                      <a:off x="0" y="0"/>
                      <a:ext cx="7289165" cy="38735"/>
                    </a:xfrm>
                    <a:prstGeom prst="rect">
                      <a:avLst/>
                    </a:prstGeom>
                    <a:noFill/>
                  </pic:spPr>
                </pic:pic>
              </a:graphicData>
            </a:graphic>
          </wp:anchor>
        </w:drawing>
        <w:t>Marvell Technology Group Ltd.</w:t>
      </w:r>
    </w:p>
    <w:p>
      <w:pPr>
        <w:spacing w:after="0" w:line="2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Reconciliations from GAAP to Non-GAAP</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(Unaudited)</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(In thousands, except per share amounts)</w:t>
      </w:r>
    </w:p>
    <w:p>
      <w:pPr>
        <w:spacing w:after="0" w:line="229" w:lineRule="exact"/>
        <w:rPr>
          <w:sz w:val="20"/>
          <w:szCs w:val="20"/>
          <w:color w:val="auto"/>
        </w:rPr>
      </w:pPr>
    </w:p>
    <w:tbl>
      <w:tblPr>
        <w:tblLayout w:type="fixed"/>
        <w:tblInd w:w="0" w:type="dxa"/>
        <w:tblCellMar>
          <w:top w:w="0" w:type="dxa"/>
          <w:left w:w="0" w:type="dxa"/>
          <w:bottom w:w="0" w:type="dxa"/>
          <w:right w:w="0" w:type="dxa"/>
        </w:tblCellMar>
      </w:tblPr>
      <w:tr>
        <w:trPr>
          <w:trHeight w:val="171"/>
        </w:trPr>
        <w:tc>
          <w:tcPr>
            <w:tcW w:w="20" w:type="dxa"/>
            <w:vAlign w:val="bottom"/>
          </w:tcPr>
          <w:p>
            <w:pPr>
              <w:spacing w:after="0"/>
              <w:rPr>
                <w:sz w:val="14"/>
                <w:szCs w:val="14"/>
                <w:color w:val="auto"/>
              </w:rPr>
            </w:pPr>
          </w:p>
        </w:tc>
        <w:tc>
          <w:tcPr>
            <w:tcW w:w="616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1920" w:type="dxa"/>
            <w:vAlign w:val="bottom"/>
            <w:gridSpan w:val="6"/>
          </w:tcPr>
          <w:p>
            <w:pPr>
              <w:jc w:val="right"/>
              <w:spacing w:after="0"/>
              <w:rPr>
                <w:sz w:val="20"/>
                <w:szCs w:val="20"/>
                <w:color w:val="auto"/>
              </w:rPr>
            </w:pPr>
            <w:r>
              <w:rPr>
                <w:rFonts w:ascii="Arial" w:cs="Arial" w:eastAsia="Arial" w:hAnsi="Arial"/>
                <w:sz w:val="14"/>
                <w:szCs w:val="14"/>
                <w:b w:val="1"/>
                <w:bCs w:val="1"/>
                <w:color w:val="auto"/>
              </w:rPr>
              <w:t>Three Months Ended</w:t>
            </w:r>
          </w:p>
        </w:tc>
        <w:tc>
          <w:tcPr>
            <w:tcW w:w="12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2060" w:type="dxa"/>
            <w:vAlign w:val="bottom"/>
            <w:gridSpan w:val="5"/>
          </w:tcPr>
          <w:p>
            <w:pPr>
              <w:jc w:val="right"/>
              <w:ind w:right="560"/>
              <w:spacing w:after="0"/>
              <w:rPr>
                <w:sz w:val="20"/>
                <w:szCs w:val="20"/>
                <w:color w:val="auto"/>
              </w:rPr>
            </w:pPr>
            <w:r>
              <w:rPr>
                <w:rFonts w:ascii="Arial" w:cs="Arial" w:eastAsia="Arial" w:hAnsi="Arial"/>
                <w:sz w:val="14"/>
                <w:szCs w:val="14"/>
                <w:b w:val="1"/>
                <w:bCs w:val="1"/>
                <w:color w:val="auto"/>
              </w:rPr>
              <w:t>Nine Months Ended</w:t>
            </w:r>
          </w:p>
        </w:tc>
        <w:tc>
          <w:tcPr>
            <w:tcW w:w="0" w:type="dxa"/>
            <w:vAlign w:val="bottom"/>
          </w:tcPr>
          <w:p>
            <w:pPr>
              <w:spacing w:after="0"/>
              <w:rPr>
                <w:sz w:val="1"/>
                <w:szCs w:val="1"/>
                <w:color w:val="auto"/>
              </w:rPr>
            </w:pPr>
          </w:p>
        </w:tc>
      </w:tr>
      <w:tr>
        <w:trPr>
          <w:trHeight w:val="119"/>
        </w:trPr>
        <w:tc>
          <w:tcPr>
            <w:tcW w:w="20" w:type="dxa"/>
            <w:vAlign w:val="bottom"/>
          </w:tcPr>
          <w:p>
            <w:pPr>
              <w:spacing w:after="0"/>
              <w:rPr>
                <w:sz w:val="10"/>
                <w:szCs w:val="10"/>
                <w:color w:val="auto"/>
              </w:rPr>
            </w:pPr>
          </w:p>
        </w:tc>
        <w:tc>
          <w:tcPr>
            <w:tcW w:w="6160" w:type="dxa"/>
            <w:vAlign w:val="bottom"/>
          </w:tcPr>
          <w:p>
            <w:pPr>
              <w:spacing w:after="0"/>
              <w:rPr>
                <w:sz w:val="10"/>
                <w:szCs w:val="10"/>
                <w:color w:val="auto"/>
              </w:rPr>
            </w:pPr>
          </w:p>
        </w:tc>
        <w:tc>
          <w:tcPr>
            <w:tcW w:w="1080" w:type="dxa"/>
            <w:vAlign w:val="bottom"/>
            <w:tcBorders>
              <w:top w:val="single" w:sz="8" w:color="auto"/>
            </w:tcBorders>
            <w:gridSpan w:val="4"/>
          </w:tcPr>
          <w:p>
            <w:pPr>
              <w:spacing w:after="0" w:line="119" w:lineRule="exact"/>
              <w:rPr>
                <w:sz w:val="20"/>
                <w:szCs w:val="20"/>
                <w:color w:val="auto"/>
              </w:rPr>
            </w:pPr>
            <w:r>
              <w:rPr>
                <w:rFonts w:ascii="Arial" w:cs="Arial" w:eastAsia="Arial" w:hAnsi="Arial"/>
                <w:sz w:val="13"/>
                <w:szCs w:val="13"/>
                <w:b w:val="1"/>
                <w:bCs w:val="1"/>
                <w:color w:val="auto"/>
              </w:rPr>
              <w:t>November 2,</w:t>
            </w:r>
          </w:p>
        </w:tc>
        <w:tc>
          <w:tcPr>
            <w:tcW w:w="980" w:type="dxa"/>
            <w:vAlign w:val="bottom"/>
            <w:tcBorders>
              <w:top w:val="single" w:sz="8" w:color="auto"/>
            </w:tcBorders>
            <w:gridSpan w:val="3"/>
          </w:tcPr>
          <w:p>
            <w:pPr>
              <w:jc w:val="right"/>
              <w:ind w:right="340"/>
              <w:spacing w:after="0" w:line="119" w:lineRule="exact"/>
              <w:rPr>
                <w:sz w:val="20"/>
                <w:szCs w:val="20"/>
                <w:color w:val="auto"/>
              </w:rPr>
            </w:pPr>
            <w:r>
              <w:rPr>
                <w:rFonts w:ascii="Arial" w:cs="Arial" w:eastAsia="Arial" w:hAnsi="Arial"/>
                <w:sz w:val="13"/>
                <w:szCs w:val="13"/>
                <w:b w:val="1"/>
                <w:bCs w:val="1"/>
                <w:color w:val="auto"/>
              </w:rPr>
              <w:t>August 3,</w:t>
            </w:r>
          </w:p>
        </w:tc>
        <w:tc>
          <w:tcPr>
            <w:tcW w:w="740" w:type="dxa"/>
            <w:vAlign w:val="bottom"/>
            <w:tcBorders>
              <w:top w:val="single" w:sz="8" w:color="auto"/>
            </w:tcBorders>
            <w:gridSpan w:val="2"/>
          </w:tcPr>
          <w:p>
            <w:pPr>
              <w:ind w:left="20"/>
              <w:spacing w:after="0" w:line="119" w:lineRule="exact"/>
              <w:rPr>
                <w:sz w:val="20"/>
                <w:szCs w:val="20"/>
                <w:color w:val="auto"/>
              </w:rPr>
            </w:pPr>
            <w:r>
              <w:rPr>
                <w:rFonts w:ascii="Arial" w:cs="Arial" w:eastAsia="Arial" w:hAnsi="Arial"/>
                <w:sz w:val="13"/>
                <w:szCs w:val="13"/>
                <w:b w:val="1"/>
                <w:bCs w:val="1"/>
                <w:color w:val="auto"/>
                <w:w w:val="97"/>
              </w:rPr>
              <w:t>October 27,</w:t>
            </w:r>
          </w:p>
        </w:tc>
        <w:tc>
          <w:tcPr>
            <w:tcW w:w="22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1120" w:type="dxa"/>
            <w:vAlign w:val="bottom"/>
            <w:tcBorders>
              <w:top w:val="single" w:sz="8" w:color="auto"/>
            </w:tcBorders>
            <w:gridSpan w:val="3"/>
          </w:tcPr>
          <w:p>
            <w:pPr>
              <w:jc w:val="right"/>
              <w:ind w:right="320"/>
              <w:spacing w:after="0" w:line="119" w:lineRule="exact"/>
              <w:rPr>
                <w:sz w:val="20"/>
                <w:szCs w:val="20"/>
                <w:color w:val="auto"/>
              </w:rPr>
            </w:pPr>
            <w:r>
              <w:rPr>
                <w:rFonts w:ascii="Arial" w:cs="Arial" w:eastAsia="Arial" w:hAnsi="Arial"/>
                <w:sz w:val="13"/>
                <w:szCs w:val="13"/>
                <w:b w:val="1"/>
                <w:bCs w:val="1"/>
                <w:color w:val="auto"/>
                <w:w w:val="99"/>
              </w:rPr>
              <w:t>November 2,</w:t>
            </w:r>
          </w:p>
        </w:tc>
        <w:tc>
          <w:tcPr>
            <w:tcW w:w="820" w:type="dxa"/>
            <w:vAlign w:val="bottom"/>
            <w:tcBorders>
              <w:top w:val="single" w:sz="8" w:color="auto"/>
            </w:tcBorders>
            <w:gridSpan w:val="2"/>
          </w:tcPr>
          <w:p>
            <w:pPr>
              <w:jc w:val="right"/>
              <w:spacing w:after="0" w:line="119" w:lineRule="exact"/>
              <w:rPr>
                <w:sz w:val="20"/>
                <w:szCs w:val="20"/>
                <w:color w:val="auto"/>
              </w:rPr>
            </w:pPr>
            <w:r>
              <w:rPr>
                <w:rFonts w:ascii="Arial" w:cs="Arial" w:eastAsia="Arial" w:hAnsi="Arial"/>
                <w:sz w:val="13"/>
                <w:szCs w:val="13"/>
                <w:b w:val="1"/>
                <w:bCs w:val="1"/>
                <w:color w:val="auto"/>
              </w:rPr>
              <w:t>October 27,</w:t>
            </w:r>
          </w:p>
        </w:tc>
        <w:tc>
          <w:tcPr>
            <w:tcW w:w="20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71"/>
        </w:trPr>
        <w:tc>
          <w:tcPr>
            <w:tcW w:w="20" w:type="dxa"/>
            <w:vAlign w:val="bottom"/>
          </w:tcPr>
          <w:p>
            <w:pPr>
              <w:spacing w:after="0"/>
              <w:rPr>
                <w:sz w:val="14"/>
                <w:szCs w:val="14"/>
                <w:color w:val="auto"/>
              </w:rPr>
            </w:pPr>
          </w:p>
        </w:tc>
        <w:tc>
          <w:tcPr>
            <w:tcW w:w="6160" w:type="dxa"/>
            <w:vAlign w:val="bottom"/>
            <w:tcBorders>
              <w:bottom w:val="single" w:sz="8" w:color="CCEEFF"/>
            </w:tcBorders>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640" w:type="dxa"/>
            <w:vAlign w:val="bottom"/>
            <w:tcBorders>
              <w:bottom w:val="single" w:sz="8" w:color="auto"/>
            </w:tcBorders>
          </w:tcPr>
          <w:p>
            <w:pPr>
              <w:jc w:val="right"/>
              <w:ind w:right="151"/>
              <w:spacing w:after="0"/>
              <w:rPr>
                <w:sz w:val="20"/>
                <w:szCs w:val="20"/>
                <w:color w:val="auto"/>
              </w:rPr>
            </w:pPr>
            <w:r>
              <w:rPr>
                <w:rFonts w:ascii="Arial" w:cs="Arial" w:eastAsia="Arial" w:hAnsi="Arial"/>
                <w:sz w:val="14"/>
                <w:szCs w:val="14"/>
                <w:b w:val="1"/>
                <w:bCs w:val="1"/>
                <w:color w:val="auto"/>
              </w:rPr>
              <w:t>2013</w:t>
            </w:r>
          </w:p>
        </w:tc>
        <w:tc>
          <w:tcPr>
            <w:tcW w:w="20" w:type="dxa"/>
            <w:vAlign w:val="bottom"/>
            <w:tcBorders>
              <w:bottom w:val="single" w:sz="8" w:color="CCEEFF"/>
            </w:tcBorders>
          </w:tcPr>
          <w:p>
            <w:pPr>
              <w:spacing w:after="0"/>
              <w:rPr>
                <w:sz w:val="14"/>
                <w:szCs w:val="14"/>
                <w:color w:val="auto"/>
              </w:rPr>
            </w:pPr>
          </w:p>
        </w:tc>
        <w:tc>
          <w:tcPr>
            <w:tcW w:w="280" w:type="dxa"/>
            <w:vAlign w:val="bottom"/>
            <w:tcBorders>
              <w:bottom w:val="single" w:sz="8" w:color="CCEEFF"/>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jc w:val="right"/>
              <w:ind w:right="110"/>
              <w:spacing w:after="0"/>
              <w:rPr>
                <w:sz w:val="20"/>
                <w:szCs w:val="20"/>
                <w:color w:val="auto"/>
              </w:rPr>
            </w:pPr>
            <w:r>
              <w:rPr>
                <w:rFonts w:ascii="Arial" w:cs="Arial" w:eastAsia="Arial" w:hAnsi="Arial"/>
                <w:sz w:val="14"/>
                <w:szCs w:val="14"/>
                <w:b w:val="1"/>
                <w:bCs w:val="1"/>
                <w:color w:val="auto"/>
              </w:rPr>
              <w:t>2013</w:t>
            </w:r>
          </w:p>
        </w:tc>
        <w:tc>
          <w:tcPr>
            <w:tcW w:w="300" w:type="dxa"/>
            <w:vAlign w:val="bottom"/>
            <w:tcBorders>
              <w:bottom w:val="single" w:sz="8" w:color="CCEEFF"/>
            </w:tcBorders>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620" w:type="dxa"/>
            <w:vAlign w:val="bottom"/>
            <w:tcBorders>
              <w:bottom w:val="single" w:sz="8" w:color="auto"/>
            </w:tcBorders>
          </w:tcPr>
          <w:p>
            <w:pPr>
              <w:jc w:val="right"/>
              <w:ind w:right="130"/>
              <w:spacing w:after="0"/>
              <w:rPr>
                <w:sz w:val="20"/>
                <w:szCs w:val="20"/>
                <w:color w:val="auto"/>
              </w:rPr>
            </w:pPr>
            <w:r>
              <w:rPr>
                <w:rFonts w:ascii="Arial" w:cs="Arial" w:eastAsia="Arial" w:hAnsi="Arial"/>
                <w:sz w:val="14"/>
                <w:szCs w:val="14"/>
                <w:b w:val="1"/>
                <w:bCs w:val="1"/>
                <w:color w:val="auto"/>
              </w:rPr>
              <w:t>2012</w:t>
            </w:r>
          </w:p>
        </w:tc>
        <w:tc>
          <w:tcPr>
            <w:tcW w:w="220" w:type="dxa"/>
            <w:vAlign w:val="bottom"/>
            <w:tcBorders>
              <w:bottom w:val="single" w:sz="8" w:color="CCEEFF"/>
            </w:tcBorders>
          </w:tcPr>
          <w:p>
            <w:pPr>
              <w:spacing w:after="0"/>
              <w:rPr>
                <w:sz w:val="14"/>
                <w:szCs w:val="14"/>
                <w:color w:val="auto"/>
              </w:rPr>
            </w:pPr>
          </w:p>
        </w:tc>
        <w:tc>
          <w:tcPr>
            <w:tcW w:w="80" w:type="dxa"/>
            <w:vAlign w:val="bottom"/>
            <w:tcBorders>
              <w:bottom w:val="single" w:sz="8" w:color="CCEEFF"/>
            </w:tcBorders>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740" w:type="dxa"/>
            <w:vAlign w:val="bottom"/>
            <w:tcBorders>
              <w:bottom w:val="single" w:sz="8" w:color="auto"/>
            </w:tcBorders>
          </w:tcPr>
          <w:p>
            <w:pPr>
              <w:jc w:val="right"/>
              <w:ind w:right="191"/>
              <w:spacing w:after="0"/>
              <w:rPr>
                <w:sz w:val="20"/>
                <w:szCs w:val="20"/>
                <w:color w:val="auto"/>
              </w:rPr>
            </w:pPr>
            <w:r>
              <w:rPr>
                <w:rFonts w:ascii="Arial" w:cs="Arial" w:eastAsia="Arial" w:hAnsi="Arial"/>
                <w:sz w:val="14"/>
                <w:szCs w:val="14"/>
                <w:b w:val="1"/>
                <w:bCs w:val="1"/>
                <w:color w:val="auto"/>
              </w:rPr>
              <w:t>2013</w:t>
            </w:r>
          </w:p>
        </w:tc>
        <w:tc>
          <w:tcPr>
            <w:tcW w:w="300" w:type="dxa"/>
            <w:vAlign w:val="bottom"/>
            <w:tcBorders>
              <w:bottom w:val="single" w:sz="8" w:color="CCEEFF"/>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720" w:type="dxa"/>
            <w:vAlign w:val="bottom"/>
            <w:tcBorders>
              <w:bottom w:val="single" w:sz="8" w:color="auto"/>
            </w:tcBorders>
          </w:tcPr>
          <w:p>
            <w:pPr>
              <w:jc w:val="right"/>
              <w:ind w:right="190"/>
              <w:spacing w:after="0"/>
              <w:rPr>
                <w:sz w:val="20"/>
                <w:szCs w:val="20"/>
                <w:color w:val="auto"/>
              </w:rPr>
            </w:pPr>
            <w:r>
              <w:rPr>
                <w:rFonts w:ascii="Arial" w:cs="Arial" w:eastAsia="Arial" w:hAnsi="Arial"/>
                <w:sz w:val="14"/>
                <w:szCs w:val="14"/>
                <w:b w:val="1"/>
                <w:bCs w:val="1"/>
                <w:color w:val="auto"/>
              </w:rPr>
              <w:t>2012</w:t>
            </w:r>
          </w:p>
        </w:tc>
        <w:tc>
          <w:tcPr>
            <w:tcW w:w="200" w:type="dxa"/>
            <w:vAlign w:val="bottom"/>
            <w:tcBorders>
              <w:bottom w:val="single" w:sz="8" w:color="CCEEFF"/>
            </w:tcBorders>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6160" w:type="dxa"/>
            <w:vAlign w:val="bottom"/>
            <w:shd w:val="clear" w:color="auto" w:fill="CCEEFF"/>
          </w:tcPr>
          <w:p>
            <w:pPr>
              <w:spacing w:after="0"/>
              <w:rPr>
                <w:sz w:val="20"/>
                <w:szCs w:val="20"/>
                <w:color w:val="auto"/>
              </w:rPr>
            </w:pPr>
            <w:r>
              <w:rPr>
                <w:rFonts w:ascii="Arial" w:cs="Arial" w:eastAsia="Arial" w:hAnsi="Arial"/>
                <w:sz w:val="18"/>
                <w:szCs w:val="18"/>
                <w:color w:val="auto"/>
              </w:rPr>
              <w:t>GAAP net income</w:t>
            </w:r>
          </w:p>
        </w:tc>
        <w:tc>
          <w:tcPr>
            <w:tcW w:w="14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6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5"/>
              </w:rPr>
              <w:t>103,156</w:t>
            </w:r>
          </w:p>
        </w:tc>
        <w:tc>
          <w:tcPr>
            <w:tcW w:w="2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1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61,826</w:t>
            </w:r>
          </w:p>
        </w:tc>
        <w:tc>
          <w:tcPr>
            <w:tcW w:w="3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20"/>
                <w:szCs w:val="20"/>
                <w:color w:val="auto"/>
              </w:rPr>
            </w:pPr>
            <w:r>
              <w:rPr>
                <w:rFonts w:ascii="Arial" w:cs="Arial" w:eastAsia="Arial" w:hAnsi="Arial"/>
                <w:sz w:val="18"/>
                <w:szCs w:val="18"/>
                <w:color w:val="auto"/>
                <w:w w:val="99"/>
              </w:rPr>
              <w:t>$</w:t>
            </w:r>
          </w:p>
        </w:tc>
        <w:tc>
          <w:tcPr>
            <w:tcW w:w="6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68,816</w:t>
            </w:r>
          </w:p>
        </w:tc>
        <w:tc>
          <w:tcPr>
            <w:tcW w:w="2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8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7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218,191</w:t>
            </w:r>
          </w:p>
        </w:tc>
        <w:tc>
          <w:tcPr>
            <w:tcW w:w="300" w:type="dxa"/>
            <w:vAlign w:val="bottom"/>
            <w:shd w:val="clear" w:color="auto" w:fill="CCEEFF"/>
          </w:tcPr>
          <w:p>
            <w:pPr>
              <w:spacing w:after="0"/>
              <w:rPr>
                <w:sz w:val="18"/>
                <w:szCs w:val="18"/>
                <w:color w:val="auto"/>
              </w:rPr>
            </w:pP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256,433</w:t>
            </w:r>
          </w:p>
        </w:tc>
        <w:tc>
          <w:tcPr>
            <w:tcW w:w="2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160" w:type="dxa"/>
            <w:vAlign w:val="bottom"/>
          </w:tcPr>
          <w:p>
            <w:pPr>
              <w:spacing w:after="0"/>
              <w:rPr>
                <w:sz w:val="20"/>
                <w:szCs w:val="20"/>
                <w:color w:val="auto"/>
              </w:rPr>
            </w:pPr>
            <w:r>
              <w:rPr>
                <w:rFonts w:ascii="Arial" w:cs="Arial" w:eastAsia="Arial" w:hAnsi="Arial"/>
                <w:sz w:val="18"/>
                <w:szCs w:val="18"/>
                <w:color w:val="auto"/>
              </w:rPr>
              <w:t>Stock-based compensation</w:t>
            </w:r>
          </w:p>
        </w:tc>
        <w:tc>
          <w:tcPr>
            <w:tcW w:w="140" w:type="dxa"/>
            <w:vAlign w:val="bottom"/>
          </w:tcPr>
          <w:p>
            <w:pPr>
              <w:spacing w:after="0"/>
              <w:rPr>
                <w:sz w:val="18"/>
                <w:szCs w:val="18"/>
                <w:color w:val="auto"/>
              </w:rPr>
            </w:pPr>
          </w:p>
        </w:tc>
        <w:tc>
          <w:tcPr>
            <w:tcW w:w="660" w:type="dxa"/>
            <w:vAlign w:val="bottom"/>
            <w:gridSpan w:val="2"/>
          </w:tcPr>
          <w:p>
            <w:pPr>
              <w:jc w:val="right"/>
              <w:ind w:right="20"/>
              <w:spacing w:after="0"/>
              <w:rPr>
                <w:sz w:val="20"/>
                <w:szCs w:val="20"/>
                <w:color w:val="auto"/>
              </w:rPr>
            </w:pPr>
            <w:r>
              <w:rPr>
                <w:rFonts w:ascii="Arial" w:cs="Arial" w:eastAsia="Arial" w:hAnsi="Arial"/>
                <w:sz w:val="18"/>
                <w:szCs w:val="18"/>
                <w:color w:val="auto"/>
              </w:rPr>
              <w:t>43,201</w:t>
            </w:r>
          </w:p>
        </w:tc>
        <w:tc>
          <w:tcPr>
            <w:tcW w:w="2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80" w:type="dxa"/>
            <w:vAlign w:val="bottom"/>
            <w:gridSpan w:val="2"/>
          </w:tcPr>
          <w:p>
            <w:pPr>
              <w:jc w:val="right"/>
              <w:ind w:right="300"/>
              <w:spacing w:after="0"/>
              <w:rPr>
                <w:sz w:val="20"/>
                <w:szCs w:val="20"/>
                <w:color w:val="auto"/>
              </w:rPr>
            </w:pPr>
            <w:r>
              <w:rPr>
                <w:rFonts w:ascii="Arial" w:cs="Arial" w:eastAsia="Arial" w:hAnsi="Arial"/>
                <w:sz w:val="18"/>
                <w:szCs w:val="18"/>
                <w:color w:val="auto"/>
              </w:rPr>
              <w:t>41,091</w:t>
            </w:r>
          </w:p>
        </w:tc>
        <w:tc>
          <w:tcPr>
            <w:tcW w:w="120" w:type="dxa"/>
            <w:vAlign w:val="bottom"/>
          </w:tcPr>
          <w:p>
            <w:pPr>
              <w:spacing w:after="0"/>
              <w:rPr>
                <w:sz w:val="18"/>
                <w:szCs w:val="18"/>
                <w:color w:val="auto"/>
              </w:rPr>
            </w:pPr>
          </w:p>
        </w:tc>
        <w:tc>
          <w:tcPr>
            <w:tcW w:w="840" w:type="dxa"/>
            <w:vAlign w:val="bottom"/>
            <w:gridSpan w:val="2"/>
          </w:tcPr>
          <w:p>
            <w:pPr>
              <w:jc w:val="right"/>
              <w:ind w:right="220"/>
              <w:spacing w:after="0"/>
              <w:rPr>
                <w:sz w:val="20"/>
                <w:szCs w:val="20"/>
                <w:color w:val="auto"/>
              </w:rPr>
            </w:pPr>
            <w:r>
              <w:rPr>
                <w:rFonts w:ascii="Arial" w:cs="Arial" w:eastAsia="Arial" w:hAnsi="Arial"/>
                <w:sz w:val="18"/>
                <w:szCs w:val="18"/>
                <w:color w:val="auto"/>
              </w:rPr>
              <w:t>30,374</w:t>
            </w:r>
          </w:p>
        </w:tc>
        <w:tc>
          <w:tcPr>
            <w:tcW w:w="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040" w:type="dxa"/>
            <w:vAlign w:val="bottom"/>
            <w:gridSpan w:val="2"/>
          </w:tcPr>
          <w:p>
            <w:pPr>
              <w:jc w:val="right"/>
              <w:ind w:right="300"/>
              <w:spacing w:after="0"/>
              <w:rPr>
                <w:sz w:val="20"/>
                <w:szCs w:val="20"/>
                <w:color w:val="auto"/>
              </w:rPr>
            </w:pPr>
            <w:r>
              <w:rPr>
                <w:rFonts w:ascii="Arial" w:cs="Arial" w:eastAsia="Arial" w:hAnsi="Arial"/>
                <w:sz w:val="18"/>
                <w:szCs w:val="18"/>
                <w:color w:val="auto"/>
              </w:rPr>
              <w:t>117,805</w:t>
            </w:r>
          </w:p>
        </w:tc>
        <w:tc>
          <w:tcPr>
            <w:tcW w:w="100" w:type="dxa"/>
            <w:vAlign w:val="bottom"/>
          </w:tcPr>
          <w:p>
            <w:pPr>
              <w:spacing w:after="0"/>
              <w:rPr>
                <w:sz w:val="18"/>
                <w:szCs w:val="18"/>
                <w:color w:val="auto"/>
              </w:rPr>
            </w:pPr>
          </w:p>
        </w:tc>
        <w:tc>
          <w:tcPr>
            <w:tcW w:w="920" w:type="dxa"/>
            <w:vAlign w:val="bottom"/>
            <w:gridSpan w:val="2"/>
          </w:tcPr>
          <w:p>
            <w:pPr>
              <w:jc w:val="right"/>
              <w:ind w:right="200"/>
              <w:spacing w:after="0"/>
              <w:rPr>
                <w:sz w:val="20"/>
                <w:szCs w:val="20"/>
                <w:color w:val="auto"/>
              </w:rPr>
            </w:pPr>
            <w:r>
              <w:rPr>
                <w:rFonts w:ascii="Arial" w:cs="Arial" w:eastAsia="Arial" w:hAnsi="Arial"/>
                <w:sz w:val="18"/>
                <w:szCs w:val="18"/>
                <w:color w:val="auto"/>
              </w:rPr>
              <w:t>90,794</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160" w:type="dxa"/>
            <w:vAlign w:val="bottom"/>
            <w:shd w:val="clear" w:color="auto" w:fill="CCEEFF"/>
          </w:tcPr>
          <w:p>
            <w:pPr>
              <w:spacing w:after="0"/>
              <w:rPr>
                <w:sz w:val="20"/>
                <w:szCs w:val="20"/>
                <w:color w:val="auto"/>
              </w:rPr>
            </w:pPr>
            <w:r>
              <w:rPr>
                <w:rFonts w:ascii="Arial" w:cs="Arial" w:eastAsia="Arial" w:hAnsi="Arial"/>
                <w:sz w:val="18"/>
                <w:szCs w:val="18"/>
                <w:color w:val="auto"/>
              </w:rPr>
              <w:t>Amortization of acquired intangible assets</w:t>
            </w:r>
          </w:p>
        </w:tc>
        <w:tc>
          <w:tcPr>
            <w:tcW w:w="140" w:type="dxa"/>
            <w:vAlign w:val="bottom"/>
            <w:shd w:val="clear" w:color="auto" w:fill="CCEEFF"/>
          </w:tcPr>
          <w:p>
            <w:pPr>
              <w:spacing w:after="0"/>
              <w:rPr>
                <w:sz w:val="18"/>
                <w:szCs w:val="18"/>
                <w:color w:val="auto"/>
              </w:rPr>
            </w:pPr>
          </w:p>
        </w:tc>
        <w:tc>
          <w:tcPr>
            <w:tcW w:w="66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10,645</w:t>
            </w:r>
          </w:p>
        </w:tc>
        <w:tc>
          <w:tcPr>
            <w:tcW w:w="2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rPr>
              <w:t>10,638</w:t>
            </w:r>
          </w:p>
        </w:tc>
        <w:tc>
          <w:tcPr>
            <w:tcW w:w="120" w:type="dxa"/>
            <w:vAlign w:val="bottom"/>
            <w:shd w:val="clear" w:color="auto" w:fill="CCEEFF"/>
          </w:tcPr>
          <w:p>
            <w:pPr>
              <w:spacing w:after="0"/>
              <w:rPr>
                <w:sz w:val="18"/>
                <w:szCs w:val="18"/>
                <w:color w:val="auto"/>
              </w:rPr>
            </w:pPr>
          </w:p>
        </w:tc>
        <w:tc>
          <w:tcPr>
            <w:tcW w:w="84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13,054</w:t>
            </w:r>
          </w:p>
        </w:tc>
        <w:tc>
          <w:tcPr>
            <w:tcW w:w="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rPr>
              <w:t>31,969</w:t>
            </w:r>
          </w:p>
        </w:tc>
        <w:tc>
          <w:tcPr>
            <w:tcW w:w="10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40,432</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160" w:type="dxa"/>
            <w:vAlign w:val="bottom"/>
          </w:tcPr>
          <w:p>
            <w:pPr>
              <w:spacing w:after="0"/>
              <w:rPr>
                <w:sz w:val="20"/>
                <w:szCs w:val="20"/>
                <w:color w:val="auto"/>
              </w:rPr>
            </w:pPr>
            <w:r>
              <w:rPr>
                <w:rFonts w:ascii="Arial" w:cs="Arial" w:eastAsia="Arial" w:hAnsi="Arial"/>
                <w:sz w:val="18"/>
                <w:szCs w:val="18"/>
                <w:color w:val="auto"/>
              </w:rPr>
              <w:t xml:space="preserve">Acquisition-related costs </w:t>
            </w:r>
            <w:r>
              <w:rPr>
                <w:rFonts w:ascii="Arial" w:cs="Arial" w:eastAsia="Arial" w:hAnsi="Arial"/>
                <w:sz w:val="18"/>
                <w:szCs w:val="18"/>
                <w:i w:val="1"/>
                <w:iCs w:val="1"/>
                <w:color w:val="auto"/>
              </w:rPr>
              <w:t>(a)</w:t>
            </w:r>
          </w:p>
        </w:tc>
        <w:tc>
          <w:tcPr>
            <w:tcW w:w="140" w:type="dxa"/>
            <w:vAlign w:val="bottom"/>
          </w:tcPr>
          <w:p>
            <w:pPr>
              <w:spacing w:after="0"/>
              <w:rPr>
                <w:sz w:val="18"/>
                <w:szCs w:val="18"/>
                <w:color w:val="auto"/>
              </w:rPr>
            </w:pPr>
          </w:p>
        </w:tc>
        <w:tc>
          <w:tcPr>
            <w:tcW w:w="660" w:type="dxa"/>
            <w:vAlign w:val="bottom"/>
            <w:gridSpan w:val="2"/>
          </w:tcPr>
          <w:p>
            <w:pPr>
              <w:jc w:val="right"/>
              <w:ind w:right="20"/>
              <w:spacing w:after="0"/>
              <w:rPr>
                <w:sz w:val="20"/>
                <w:szCs w:val="20"/>
                <w:color w:val="auto"/>
              </w:rPr>
            </w:pPr>
            <w:r>
              <w:rPr>
                <w:rFonts w:ascii="Arial" w:cs="Arial" w:eastAsia="Arial" w:hAnsi="Arial"/>
                <w:sz w:val="18"/>
                <w:szCs w:val="18"/>
                <w:color w:val="auto"/>
              </w:rPr>
              <w:t>433</w:t>
            </w:r>
          </w:p>
        </w:tc>
        <w:tc>
          <w:tcPr>
            <w:tcW w:w="2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80" w:type="dxa"/>
            <w:vAlign w:val="bottom"/>
            <w:gridSpan w:val="2"/>
          </w:tcPr>
          <w:p>
            <w:pPr>
              <w:jc w:val="right"/>
              <w:ind w:right="240"/>
              <w:spacing w:after="0"/>
              <w:rPr>
                <w:sz w:val="20"/>
                <w:szCs w:val="20"/>
                <w:color w:val="auto"/>
              </w:rPr>
            </w:pPr>
            <w:r>
              <w:rPr>
                <w:rFonts w:ascii="Arial" w:cs="Arial" w:eastAsia="Arial" w:hAnsi="Arial"/>
                <w:sz w:val="18"/>
                <w:szCs w:val="18"/>
                <w:color w:val="auto"/>
              </w:rPr>
              <w:t>(1,081)</w:t>
            </w:r>
          </w:p>
        </w:tc>
        <w:tc>
          <w:tcPr>
            <w:tcW w:w="120" w:type="dxa"/>
            <w:vAlign w:val="bottom"/>
          </w:tcPr>
          <w:p>
            <w:pPr>
              <w:spacing w:after="0"/>
              <w:rPr>
                <w:sz w:val="18"/>
                <w:szCs w:val="18"/>
                <w:color w:val="auto"/>
              </w:rPr>
            </w:pPr>
          </w:p>
        </w:tc>
        <w:tc>
          <w:tcPr>
            <w:tcW w:w="840" w:type="dxa"/>
            <w:vAlign w:val="bottom"/>
            <w:gridSpan w:val="2"/>
          </w:tcPr>
          <w:p>
            <w:pPr>
              <w:jc w:val="right"/>
              <w:ind w:right="220"/>
              <w:spacing w:after="0"/>
              <w:rPr>
                <w:sz w:val="20"/>
                <w:szCs w:val="20"/>
                <w:color w:val="auto"/>
              </w:rPr>
            </w:pPr>
            <w:r>
              <w:rPr>
                <w:rFonts w:ascii="Arial" w:cs="Arial" w:eastAsia="Arial" w:hAnsi="Arial"/>
                <w:sz w:val="18"/>
                <w:szCs w:val="18"/>
                <w:color w:val="auto"/>
              </w:rPr>
              <w:t>523</w:t>
            </w:r>
          </w:p>
        </w:tc>
        <w:tc>
          <w:tcPr>
            <w:tcW w:w="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040" w:type="dxa"/>
            <w:vAlign w:val="bottom"/>
            <w:gridSpan w:val="2"/>
          </w:tcPr>
          <w:p>
            <w:pPr>
              <w:jc w:val="right"/>
              <w:ind w:right="240"/>
              <w:spacing w:after="0"/>
              <w:rPr>
                <w:sz w:val="20"/>
                <w:szCs w:val="20"/>
                <w:color w:val="auto"/>
              </w:rPr>
            </w:pPr>
            <w:r>
              <w:rPr>
                <w:rFonts w:ascii="Arial" w:cs="Arial" w:eastAsia="Arial" w:hAnsi="Arial"/>
                <w:sz w:val="18"/>
                <w:szCs w:val="18"/>
                <w:color w:val="auto"/>
              </w:rPr>
              <w:t>(183)</w:t>
            </w:r>
          </w:p>
        </w:tc>
        <w:tc>
          <w:tcPr>
            <w:tcW w:w="100" w:type="dxa"/>
            <w:vAlign w:val="bottom"/>
          </w:tcPr>
          <w:p>
            <w:pPr>
              <w:spacing w:after="0"/>
              <w:rPr>
                <w:sz w:val="18"/>
                <w:szCs w:val="18"/>
                <w:color w:val="auto"/>
              </w:rPr>
            </w:pPr>
          </w:p>
        </w:tc>
        <w:tc>
          <w:tcPr>
            <w:tcW w:w="920" w:type="dxa"/>
            <w:vAlign w:val="bottom"/>
            <w:gridSpan w:val="2"/>
          </w:tcPr>
          <w:p>
            <w:pPr>
              <w:jc w:val="right"/>
              <w:ind w:right="200"/>
              <w:spacing w:after="0"/>
              <w:rPr>
                <w:sz w:val="20"/>
                <w:szCs w:val="20"/>
                <w:color w:val="auto"/>
              </w:rPr>
            </w:pPr>
            <w:r>
              <w:rPr>
                <w:rFonts w:ascii="Arial" w:cs="Arial" w:eastAsia="Arial" w:hAnsi="Arial"/>
                <w:sz w:val="18"/>
                <w:szCs w:val="18"/>
                <w:color w:val="auto"/>
              </w:rPr>
              <w:t>4,556</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160" w:type="dxa"/>
            <w:vAlign w:val="bottom"/>
            <w:shd w:val="clear" w:color="auto" w:fill="CCEEFF"/>
          </w:tcPr>
          <w:p>
            <w:pPr>
              <w:spacing w:after="0"/>
              <w:rPr>
                <w:sz w:val="20"/>
                <w:szCs w:val="20"/>
                <w:color w:val="auto"/>
              </w:rPr>
            </w:pPr>
            <w:r>
              <w:rPr>
                <w:rFonts w:ascii="Arial" w:cs="Arial" w:eastAsia="Arial" w:hAnsi="Arial"/>
                <w:sz w:val="18"/>
                <w:szCs w:val="18"/>
                <w:color w:val="auto"/>
              </w:rPr>
              <w:t xml:space="preserve">Restructuring and other exit-related costs </w:t>
            </w:r>
            <w:r>
              <w:rPr>
                <w:rFonts w:ascii="Arial" w:cs="Arial" w:eastAsia="Arial" w:hAnsi="Arial"/>
                <w:sz w:val="18"/>
                <w:szCs w:val="18"/>
                <w:i w:val="1"/>
                <w:iCs w:val="1"/>
                <w:color w:val="auto"/>
              </w:rPr>
              <w:t>(b)</w:t>
            </w:r>
          </w:p>
        </w:tc>
        <w:tc>
          <w:tcPr>
            <w:tcW w:w="140" w:type="dxa"/>
            <w:vAlign w:val="bottom"/>
            <w:shd w:val="clear" w:color="auto" w:fill="CCEEFF"/>
          </w:tcPr>
          <w:p>
            <w:pPr>
              <w:spacing w:after="0"/>
              <w:rPr>
                <w:sz w:val="18"/>
                <w:szCs w:val="18"/>
                <w:color w:val="auto"/>
              </w:rPr>
            </w:pPr>
          </w:p>
        </w:tc>
        <w:tc>
          <w:tcPr>
            <w:tcW w:w="6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5,935</w:t>
            </w:r>
          </w:p>
        </w:tc>
        <w:tc>
          <w:tcPr>
            <w:tcW w:w="2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rPr>
              <w:t>178</w:t>
            </w:r>
          </w:p>
        </w:tc>
        <w:tc>
          <w:tcPr>
            <w:tcW w:w="120" w:type="dxa"/>
            <w:vAlign w:val="bottom"/>
            <w:shd w:val="clear" w:color="auto" w:fill="CCEEFF"/>
          </w:tcPr>
          <w:p>
            <w:pPr>
              <w:spacing w:after="0"/>
              <w:rPr>
                <w:sz w:val="18"/>
                <w:szCs w:val="18"/>
                <w:color w:val="auto"/>
              </w:rPr>
            </w:pPr>
          </w:p>
        </w:tc>
        <w:tc>
          <w:tcPr>
            <w:tcW w:w="84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129</w:t>
            </w:r>
          </w:p>
        </w:tc>
        <w:tc>
          <w:tcPr>
            <w:tcW w:w="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rPr>
              <w:t>6,341</w:t>
            </w:r>
          </w:p>
        </w:tc>
        <w:tc>
          <w:tcPr>
            <w:tcW w:w="10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1,103</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160" w:type="dxa"/>
            <w:vAlign w:val="bottom"/>
          </w:tcPr>
          <w:p>
            <w:pPr>
              <w:spacing w:after="0"/>
              <w:rPr>
                <w:sz w:val="20"/>
                <w:szCs w:val="20"/>
                <w:color w:val="auto"/>
              </w:rPr>
            </w:pPr>
            <w:r>
              <w:rPr>
                <w:rFonts w:ascii="Arial" w:cs="Arial" w:eastAsia="Arial" w:hAnsi="Arial"/>
                <w:sz w:val="18"/>
                <w:szCs w:val="18"/>
                <w:color w:val="auto"/>
              </w:rPr>
              <w:t xml:space="preserve">Legal/Tax related matters </w:t>
            </w:r>
            <w:r>
              <w:rPr>
                <w:rFonts w:ascii="Arial" w:cs="Arial" w:eastAsia="Arial" w:hAnsi="Arial"/>
                <w:sz w:val="18"/>
                <w:szCs w:val="18"/>
                <w:i w:val="1"/>
                <w:iCs w:val="1"/>
                <w:color w:val="auto"/>
              </w:rPr>
              <w:t>(c)</w:t>
            </w:r>
          </w:p>
        </w:tc>
        <w:tc>
          <w:tcPr>
            <w:tcW w:w="140" w:type="dxa"/>
            <w:vAlign w:val="bottom"/>
          </w:tcPr>
          <w:p>
            <w:pPr>
              <w:spacing w:after="0"/>
              <w:rPr>
                <w:sz w:val="18"/>
                <w:szCs w:val="18"/>
                <w:color w:val="auto"/>
              </w:rPr>
            </w:pPr>
          </w:p>
        </w:tc>
        <w:tc>
          <w:tcPr>
            <w:tcW w:w="640" w:type="dxa"/>
            <w:vAlign w:val="bottom"/>
          </w:tcPr>
          <w:p>
            <w:pPr>
              <w:jc w:val="right"/>
              <w:spacing w:after="0"/>
              <w:rPr>
                <w:sz w:val="20"/>
                <w:szCs w:val="20"/>
                <w:color w:val="auto"/>
              </w:rPr>
            </w:pPr>
            <w:r>
              <w:rPr>
                <w:rFonts w:ascii="Arial" w:cs="Arial" w:eastAsia="Arial" w:hAnsi="Arial"/>
                <w:sz w:val="18"/>
                <w:szCs w:val="18"/>
                <w:color w:val="auto"/>
              </w:rPr>
              <w:t>—</w:t>
            </w:r>
          </w:p>
        </w:tc>
        <w:tc>
          <w:tcPr>
            <w:tcW w:w="300" w:type="dxa"/>
            <w:vAlign w:val="bottom"/>
            <w:gridSpan w:val="2"/>
          </w:tcPr>
          <w:p>
            <w:pPr>
              <w:spacing w:after="0"/>
              <w:rPr>
                <w:sz w:val="18"/>
                <w:szCs w:val="18"/>
                <w:color w:val="auto"/>
              </w:rPr>
            </w:pPr>
          </w:p>
        </w:tc>
        <w:tc>
          <w:tcPr>
            <w:tcW w:w="100" w:type="dxa"/>
            <w:vAlign w:val="bottom"/>
          </w:tcPr>
          <w:p>
            <w:pPr>
              <w:spacing w:after="0"/>
              <w:rPr>
                <w:sz w:val="18"/>
                <w:szCs w:val="18"/>
                <w:color w:val="auto"/>
              </w:rPr>
            </w:pPr>
          </w:p>
        </w:tc>
        <w:tc>
          <w:tcPr>
            <w:tcW w:w="880" w:type="dxa"/>
            <w:vAlign w:val="bottom"/>
            <w:gridSpan w:val="2"/>
          </w:tcPr>
          <w:p>
            <w:pPr>
              <w:jc w:val="right"/>
              <w:ind w:right="300"/>
              <w:spacing w:after="0"/>
              <w:rPr>
                <w:sz w:val="20"/>
                <w:szCs w:val="20"/>
                <w:color w:val="auto"/>
              </w:rPr>
            </w:pPr>
            <w:r>
              <w:rPr>
                <w:rFonts w:ascii="Arial" w:cs="Arial" w:eastAsia="Arial" w:hAnsi="Arial"/>
                <w:sz w:val="18"/>
                <w:szCs w:val="18"/>
                <w:color w:val="auto"/>
              </w:rPr>
              <w:t>5,228</w:t>
            </w:r>
          </w:p>
        </w:tc>
        <w:tc>
          <w:tcPr>
            <w:tcW w:w="120" w:type="dxa"/>
            <w:vAlign w:val="bottom"/>
          </w:tcPr>
          <w:p>
            <w:pPr>
              <w:spacing w:after="0"/>
              <w:rPr>
                <w:sz w:val="18"/>
                <w:szCs w:val="18"/>
                <w:color w:val="auto"/>
              </w:rPr>
            </w:pPr>
          </w:p>
        </w:tc>
        <w:tc>
          <w:tcPr>
            <w:tcW w:w="840" w:type="dxa"/>
            <w:vAlign w:val="bottom"/>
            <w:gridSpan w:val="2"/>
          </w:tcPr>
          <w:p>
            <w:pPr>
              <w:jc w:val="right"/>
              <w:ind w:right="320"/>
              <w:spacing w:after="0"/>
              <w:rPr>
                <w:sz w:val="20"/>
                <w:szCs w:val="20"/>
                <w:color w:val="auto"/>
              </w:rPr>
            </w:pPr>
            <w:r>
              <w:rPr>
                <w:rFonts w:ascii="Arial" w:cs="Arial" w:eastAsia="Arial" w:hAnsi="Arial"/>
                <w:sz w:val="18"/>
                <w:szCs w:val="18"/>
                <w:color w:val="auto"/>
              </w:rPr>
              <w:t>—</w:t>
            </w:r>
          </w:p>
        </w:tc>
        <w:tc>
          <w:tcPr>
            <w:tcW w:w="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040" w:type="dxa"/>
            <w:vAlign w:val="bottom"/>
            <w:gridSpan w:val="2"/>
          </w:tcPr>
          <w:p>
            <w:pPr>
              <w:jc w:val="right"/>
              <w:ind w:right="300"/>
              <w:spacing w:after="0"/>
              <w:rPr>
                <w:sz w:val="20"/>
                <w:szCs w:val="20"/>
                <w:color w:val="auto"/>
              </w:rPr>
            </w:pPr>
            <w:r>
              <w:rPr>
                <w:rFonts w:ascii="Arial" w:cs="Arial" w:eastAsia="Arial" w:hAnsi="Arial"/>
                <w:sz w:val="18"/>
                <w:szCs w:val="18"/>
                <w:color w:val="auto"/>
              </w:rPr>
              <w:t>5,228</w:t>
            </w:r>
          </w:p>
        </w:tc>
        <w:tc>
          <w:tcPr>
            <w:tcW w:w="100" w:type="dxa"/>
            <w:vAlign w:val="bottom"/>
          </w:tcPr>
          <w:p>
            <w:pPr>
              <w:spacing w:after="0"/>
              <w:rPr>
                <w:sz w:val="18"/>
                <w:szCs w:val="18"/>
                <w:color w:val="auto"/>
              </w:rPr>
            </w:pPr>
          </w:p>
        </w:tc>
        <w:tc>
          <w:tcPr>
            <w:tcW w:w="920" w:type="dxa"/>
            <w:vAlign w:val="bottom"/>
            <w:gridSpan w:val="2"/>
          </w:tcPr>
          <w:p>
            <w:pPr>
              <w:jc w:val="right"/>
              <w:ind w:right="200"/>
              <w:spacing w:after="0"/>
              <w:rPr>
                <w:sz w:val="20"/>
                <w:szCs w:val="20"/>
                <w:color w:val="auto"/>
              </w:rPr>
            </w:pPr>
            <w:r>
              <w:rPr>
                <w:rFonts w:ascii="Arial" w:cs="Arial" w:eastAsia="Arial" w:hAnsi="Arial"/>
                <w:sz w:val="18"/>
                <w:szCs w:val="18"/>
                <w:color w:val="auto"/>
              </w:rPr>
              <w:t>250</w:t>
            </w:r>
          </w:p>
        </w:tc>
        <w:tc>
          <w:tcPr>
            <w:tcW w:w="0" w:type="dxa"/>
            <w:vAlign w:val="bottom"/>
          </w:tcPr>
          <w:p>
            <w:pPr>
              <w:spacing w:after="0"/>
              <w:rPr>
                <w:sz w:val="1"/>
                <w:szCs w:val="1"/>
                <w:color w:val="auto"/>
              </w:rPr>
            </w:pPr>
          </w:p>
        </w:tc>
      </w:tr>
      <w:tr>
        <w:trPr>
          <w:trHeight w:val="27"/>
        </w:trPr>
        <w:tc>
          <w:tcPr>
            <w:tcW w:w="20" w:type="dxa"/>
            <w:vAlign w:val="bottom"/>
            <w:vMerge w:val="restart"/>
          </w:tcPr>
          <w:p>
            <w:pPr>
              <w:spacing w:after="0"/>
              <w:rPr>
                <w:sz w:val="2"/>
                <w:szCs w:val="2"/>
                <w:color w:val="auto"/>
              </w:rPr>
            </w:pPr>
          </w:p>
        </w:tc>
        <w:tc>
          <w:tcPr>
            <w:tcW w:w="6160" w:type="dxa"/>
            <w:vAlign w:val="bottom"/>
          </w:tcPr>
          <w:p>
            <w:pPr>
              <w:spacing w:after="0"/>
              <w:rPr>
                <w:sz w:val="2"/>
                <w:szCs w:val="2"/>
                <w:color w:val="auto"/>
              </w:rPr>
            </w:pPr>
          </w:p>
        </w:tc>
        <w:tc>
          <w:tcPr>
            <w:tcW w:w="140" w:type="dxa"/>
            <w:vAlign w:val="bottom"/>
            <w:shd w:val="clear" w:color="auto" w:fill="000000"/>
          </w:tcPr>
          <w:p>
            <w:pPr>
              <w:spacing w:after="0"/>
              <w:rPr>
                <w:sz w:val="2"/>
                <w:szCs w:val="2"/>
                <w:color w:val="auto"/>
              </w:rPr>
            </w:pPr>
          </w:p>
        </w:tc>
        <w:tc>
          <w:tcPr>
            <w:tcW w:w="640" w:type="dxa"/>
            <w:vAlign w:val="bottom"/>
            <w:shd w:val="clear" w:color="auto" w:fill="000000"/>
          </w:tcPr>
          <w:p>
            <w:pPr>
              <w:spacing w:after="0"/>
              <w:rPr>
                <w:sz w:val="2"/>
                <w:szCs w:val="2"/>
                <w:color w:val="auto"/>
              </w:rPr>
            </w:pPr>
          </w:p>
        </w:tc>
        <w:tc>
          <w:tcPr>
            <w:tcW w:w="20" w:type="dxa"/>
            <w:vAlign w:val="bottom"/>
          </w:tcPr>
          <w:p>
            <w:pPr>
              <w:spacing w:after="0"/>
              <w:rPr>
                <w:sz w:val="2"/>
                <w:szCs w:val="2"/>
                <w:color w:val="auto"/>
              </w:rPr>
            </w:pPr>
          </w:p>
        </w:tc>
        <w:tc>
          <w:tcPr>
            <w:tcW w:w="28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580" w:type="dxa"/>
            <w:vAlign w:val="bottom"/>
            <w:shd w:val="clear" w:color="auto" w:fill="000000"/>
          </w:tcPr>
          <w:p>
            <w:pPr>
              <w:spacing w:after="0"/>
              <w:rPr>
                <w:sz w:val="2"/>
                <w:szCs w:val="2"/>
                <w:color w:val="auto"/>
              </w:rPr>
            </w:pPr>
          </w:p>
        </w:tc>
        <w:tc>
          <w:tcPr>
            <w:tcW w:w="300" w:type="dxa"/>
            <w:vAlign w:val="bottom"/>
          </w:tcPr>
          <w:p>
            <w:pPr>
              <w:spacing w:after="0"/>
              <w:rPr>
                <w:sz w:val="2"/>
                <w:szCs w:val="2"/>
                <w:color w:val="auto"/>
              </w:rPr>
            </w:pPr>
          </w:p>
        </w:tc>
        <w:tc>
          <w:tcPr>
            <w:tcW w:w="120" w:type="dxa"/>
            <w:vAlign w:val="bottom"/>
            <w:shd w:val="clear" w:color="auto" w:fill="000000"/>
          </w:tcPr>
          <w:p>
            <w:pPr>
              <w:spacing w:after="0"/>
              <w:rPr>
                <w:sz w:val="2"/>
                <w:szCs w:val="2"/>
                <w:color w:val="auto"/>
              </w:rPr>
            </w:pPr>
          </w:p>
        </w:tc>
        <w:tc>
          <w:tcPr>
            <w:tcW w:w="620" w:type="dxa"/>
            <w:vAlign w:val="bottom"/>
            <w:shd w:val="clear" w:color="auto" w:fill="000000"/>
          </w:tcPr>
          <w:p>
            <w:pPr>
              <w:spacing w:after="0"/>
              <w:rPr>
                <w:sz w:val="2"/>
                <w:szCs w:val="2"/>
                <w:color w:val="auto"/>
              </w:rPr>
            </w:pPr>
          </w:p>
        </w:tc>
        <w:tc>
          <w:tcPr>
            <w:tcW w:w="220" w:type="dxa"/>
            <w:vAlign w:val="bottom"/>
          </w:tcPr>
          <w:p>
            <w:pPr>
              <w:spacing w:after="0"/>
              <w:rPr>
                <w:sz w:val="2"/>
                <w:szCs w:val="2"/>
                <w:color w:val="auto"/>
              </w:rPr>
            </w:pPr>
          </w:p>
        </w:tc>
        <w:tc>
          <w:tcPr>
            <w:tcW w:w="8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740" w:type="dxa"/>
            <w:vAlign w:val="bottom"/>
            <w:shd w:val="clear" w:color="auto" w:fill="000000"/>
          </w:tcPr>
          <w:p>
            <w:pPr>
              <w:spacing w:after="0"/>
              <w:rPr>
                <w:sz w:val="2"/>
                <w:szCs w:val="2"/>
                <w:color w:val="auto"/>
              </w:rPr>
            </w:pPr>
          </w:p>
        </w:tc>
        <w:tc>
          <w:tcPr>
            <w:tcW w:w="30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720" w:type="dxa"/>
            <w:vAlign w:val="bottom"/>
            <w:shd w:val="clear" w:color="auto" w:fill="000000"/>
          </w:tcPr>
          <w:p>
            <w:pPr>
              <w:spacing w:after="0"/>
              <w:rPr>
                <w:sz w:val="2"/>
                <w:szCs w:val="2"/>
                <w:color w:val="auto"/>
              </w:rPr>
            </w:pPr>
          </w:p>
        </w:tc>
        <w:tc>
          <w:tcPr>
            <w:tcW w:w="2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6160" w:type="dxa"/>
            <w:vAlign w:val="bottom"/>
            <w:shd w:val="clear" w:color="auto" w:fill="CCEEFF"/>
          </w:tcPr>
          <w:p>
            <w:pPr>
              <w:spacing w:after="0"/>
              <w:rPr>
                <w:sz w:val="20"/>
                <w:szCs w:val="20"/>
                <w:color w:val="auto"/>
              </w:rPr>
            </w:pPr>
            <w:r>
              <w:rPr>
                <w:rFonts w:ascii="Arial" w:cs="Arial" w:eastAsia="Arial" w:hAnsi="Arial"/>
                <w:sz w:val="18"/>
                <w:szCs w:val="18"/>
                <w:color w:val="auto"/>
              </w:rPr>
              <w:t>Non-GAAP net income</w:t>
            </w:r>
          </w:p>
        </w:tc>
        <w:tc>
          <w:tcPr>
            <w:tcW w:w="14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6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5"/>
              </w:rPr>
              <w:t>163,370</w:t>
            </w:r>
          </w:p>
        </w:tc>
        <w:tc>
          <w:tcPr>
            <w:tcW w:w="2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100" w:type="dxa"/>
            <w:vAlign w:val="bottom"/>
            <w:shd w:val="clear" w:color="auto" w:fill="CCEEFF"/>
          </w:tcPr>
          <w:p>
            <w:pPr>
              <w:jc w:val="right"/>
              <w:spacing w:after="0"/>
              <w:rPr>
                <w:sz w:val="20"/>
                <w:szCs w:val="20"/>
                <w:color w:val="auto"/>
              </w:rPr>
            </w:pPr>
            <w:r>
              <w:rPr>
                <w:rFonts w:ascii="Arial" w:cs="Arial" w:eastAsia="Arial" w:hAnsi="Arial"/>
                <w:sz w:val="18"/>
                <w:szCs w:val="18"/>
                <w:u w:val="single" w:color="auto"/>
                <w:color w:val="auto"/>
                <w:w w:val="79"/>
              </w:rPr>
              <w:t>$</w:t>
            </w:r>
          </w:p>
        </w:tc>
        <w:tc>
          <w:tcPr>
            <w:tcW w:w="88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w w:val="86"/>
              </w:rPr>
              <w:t>117,880</w:t>
            </w:r>
          </w:p>
        </w:tc>
        <w:tc>
          <w:tcPr>
            <w:tcW w:w="120" w:type="dxa"/>
            <w:vAlign w:val="bottom"/>
            <w:shd w:val="clear" w:color="auto" w:fill="CCEEFF"/>
          </w:tcPr>
          <w:p>
            <w:pPr>
              <w:spacing w:after="0"/>
              <w:rPr>
                <w:sz w:val="20"/>
                <w:szCs w:val="20"/>
                <w:color w:val="auto"/>
              </w:rPr>
            </w:pPr>
            <w:r>
              <w:rPr>
                <w:rFonts w:ascii="Arial" w:cs="Arial" w:eastAsia="Arial" w:hAnsi="Arial"/>
                <w:sz w:val="18"/>
                <w:szCs w:val="18"/>
                <w:color w:val="auto"/>
                <w:w w:val="99"/>
              </w:rPr>
              <w:t>$</w:t>
            </w:r>
          </w:p>
        </w:tc>
        <w:tc>
          <w:tcPr>
            <w:tcW w:w="84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w w:val="92"/>
              </w:rPr>
              <w:t>112,896</w:t>
            </w:r>
          </w:p>
        </w:tc>
        <w:tc>
          <w:tcPr>
            <w:tcW w:w="1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04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rPr>
              <w:t>379,351</w:t>
            </w: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92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393,568</w:t>
            </w:r>
          </w:p>
        </w:tc>
        <w:tc>
          <w:tcPr>
            <w:tcW w:w="0" w:type="dxa"/>
            <w:vAlign w:val="bottom"/>
          </w:tcPr>
          <w:p>
            <w:pPr>
              <w:spacing w:after="0"/>
              <w:rPr>
                <w:sz w:val="1"/>
                <w:szCs w:val="1"/>
                <w:color w:val="auto"/>
              </w:rPr>
            </w:pPr>
          </w:p>
        </w:tc>
      </w:tr>
      <w:tr>
        <w:trPr>
          <w:trHeight w:val="20"/>
        </w:trPr>
        <w:tc>
          <w:tcPr>
            <w:tcW w:w="6180" w:type="dxa"/>
            <w:vAlign w:val="bottom"/>
            <w:gridSpan w:val="2"/>
            <w:vMerge w:val="restart"/>
          </w:tcPr>
          <w:p>
            <w:pPr>
              <w:spacing w:after="0"/>
              <w:rPr>
                <w:sz w:val="20"/>
                <w:szCs w:val="20"/>
                <w:color w:val="auto"/>
              </w:rPr>
            </w:pPr>
            <w:r>
              <w:rPr>
                <w:rFonts w:ascii="Arial" w:cs="Arial" w:eastAsia="Arial" w:hAnsi="Arial"/>
                <w:sz w:val="18"/>
                <w:szCs w:val="18"/>
                <w:color w:val="auto"/>
              </w:rPr>
              <w:t>GAAP weighted average shares - diluted</w:t>
            </w:r>
          </w:p>
        </w:tc>
        <w:tc>
          <w:tcPr>
            <w:tcW w:w="140" w:type="dxa"/>
            <w:vAlign w:val="bottom"/>
            <w:tcBorders>
              <w:top w:val="single" w:sz="8" w:color="auto"/>
              <w:bottom w:val="single" w:sz="8" w:color="auto"/>
            </w:tcBorders>
          </w:tcPr>
          <w:p>
            <w:pPr>
              <w:spacing w:after="0" w:line="20" w:lineRule="exact"/>
              <w:rPr>
                <w:sz w:val="1"/>
                <w:szCs w:val="1"/>
                <w:color w:val="auto"/>
              </w:rPr>
            </w:pPr>
          </w:p>
        </w:tc>
        <w:tc>
          <w:tcPr>
            <w:tcW w:w="64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62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740" w:type="dxa"/>
            <w:vAlign w:val="bottom"/>
            <w:tcBorders>
              <w:top w:val="single" w:sz="8" w:color="auto"/>
              <w:bottom w:val="single" w:sz="8" w:color="auto"/>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0"/>
        </w:trPr>
        <w:tc>
          <w:tcPr>
            <w:tcW w:w="6180" w:type="dxa"/>
            <w:vAlign w:val="bottom"/>
            <w:gridSpan w:val="2"/>
            <w:vMerge w:val="continue"/>
          </w:tcPr>
          <w:p>
            <w:pPr>
              <w:spacing w:after="0"/>
              <w:rPr>
                <w:sz w:val="18"/>
                <w:szCs w:val="18"/>
                <w:color w:val="auto"/>
              </w:rPr>
            </w:pPr>
          </w:p>
        </w:tc>
        <w:tc>
          <w:tcPr>
            <w:tcW w:w="140" w:type="dxa"/>
            <w:vAlign w:val="bottom"/>
          </w:tcPr>
          <w:p>
            <w:pPr>
              <w:spacing w:after="0"/>
              <w:rPr>
                <w:sz w:val="18"/>
                <w:szCs w:val="18"/>
                <w:color w:val="auto"/>
              </w:rPr>
            </w:pPr>
          </w:p>
        </w:tc>
        <w:tc>
          <w:tcPr>
            <w:tcW w:w="640" w:type="dxa"/>
            <w:vAlign w:val="bottom"/>
          </w:tcPr>
          <w:p>
            <w:pPr>
              <w:jc w:val="right"/>
              <w:spacing w:after="0"/>
              <w:rPr>
                <w:sz w:val="20"/>
                <w:szCs w:val="20"/>
                <w:color w:val="auto"/>
              </w:rPr>
            </w:pPr>
            <w:r>
              <w:rPr>
                <w:rFonts w:ascii="Arial" w:cs="Arial" w:eastAsia="Arial" w:hAnsi="Arial"/>
                <w:sz w:val="18"/>
                <w:szCs w:val="18"/>
                <w:color w:val="auto"/>
                <w:w w:val="95"/>
              </w:rPr>
              <w:t>501,189</w:t>
            </w:r>
          </w:p>
        </w:tc>
        <w:tc>
          <w:tcPr>
            <w:tcW w:w="2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w w:val="86"/>
              </w:rPr>
              <w:t>500,625</w:t>
            </w:r>
          </w:p>
        </w:tc>
        <w:tc>
          <w:tcPr>
            <w:tcW w:w="3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620" w:type="dxa"/>
            <w:vAlign w:val="bottom"/>
          </w:tcPr>
          <w:p>
            <w:pPr>
              <w:jc w:val="right"/>
              <w:spacing w:after="0"/>
              <w:rPr>
                <w:sz w:val="20"/>
                <w:szCs w:val="20"/>
                <w:color w:val="auto"/>
              </w:rPr>
            </w:pPr>
            <w:r>
              <w:rPr>
                <w:rFonts w:ascii="Arial" w:cs="Arial" w:eastAsia="Arial" w:hAnsi="Arial"/>
                <w:sz w:val="18"/>
                <w:szCs w:val="18"/>
                <w:color w:val="auto"/>
                <w:w w:val="92"/>
              </w:rPr>
              <w:t>559,348</w:t>
            </w:r>
          </w:p>
        </w:tc>
        <w:tc>
          <w:tcPr>
            <w:tcW w:w="2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40" w:type="dxa"/>
            <w:vAlign w:val="bottom"/>
          </w:tcPr>
          <w:p>
            <w:pPr>
              <w:jc w:val="right"/>
              <w:spacing w:after="0"/>
              <w:rPr>
                <w:sz w:val="20"/>
                <w:szCs w:val="20"/>
                <w:color w:val="auto"/>
              </w:rPr>
            </w:pPr>
            <w:r>
              <w:rPr>
                <w:rFonts w:ascii="Arial" w:cs="Arial" w:eastAsia="Arial" w:hAnsi="Arial"/>
                <w:sz w:val="18"/>
                <w:szCs w:val="18"/>
                <w:color w:val="auto"/>
              </w:rPr>
              <w:t>502,401</w:t>
            </w:r>
          </w:p>
        </w:tc>
        <w:tc>
          <w:tcPr>
            <w:tcW w:w="3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574,804</w:t>
            </w:r>
          </w:p>
        </w:tc>
        <w:tc>
          <w:tcPr>
            <w:tcW w:w="2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160" w:type="dxa"/>
            <w:vAlign w:val="bottom"/>
            <w:shd w:val="clear" w:color="auto" w:fill="CCEEFF"/>
          </w:tcPr>
          <w:p>
            <w:pPr>
              <w:ind w:left="340"/>
              <w:spacing w:after="0"/>
              <w:rPr>
                <w:sz w:val="20"/>
                <w:szCs w:val="20"/>
                <w:color w:val="auto"/>
              </w:rPr>
            </w:pPr>
            <w:r>
              <w:rPr>
                <w:rFonts w:ascii="Arial" w:cs="Arial" w:eastAsia="Arial" w:hAnsi="Arial"/>
                <w:sz w:val="18"/>
                <w:szCs w:val="18"/>
                <w:color w:val="auto"/>
              </w:rPr>
              <w:t>Non-GAAP adjustment</w:t>
            </w:r>
          </w:p>
        </w:tc>
        <w:tc>
          <w:tcPr>
            <w:tcW w:w="140" w:type="dxa"/>
            <w:vAlign w:val="bottom"/>
            <w:shd w:val="clear" w:color="auto" w:fill="CCEEFF"/>
          </w:tcPr>
          <w:p>
            <w:pPr>
              <w:spacing w:after="0"/>
              <w:rPr>
                <w:sz w:val="18"/>
                <w:szCs w:val="18"/>
                <w:color w:val="auto"/>
              </w:rPr>
            </w:pPr>
          </w:p>
        </w:tc>
        <w:tc>
          <w:tcPr>
            <w:tcW w:w="66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13,014</w:t>
            </w:r>
          </w:p>
        </w:tc>
        <w:tc>
          <w:tcPr>
            <w:tcW w:w="2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rPr>
              <w:t>15,021</w:t>
            </w:r>
          </w:p>
        </w:tc>
        <w:tc>
          <w:tcPr>
            <w:tcW w:w="120" w:type="dxa"/>
            <w:vAlign w:val="bottom"/>
            <w:shd w:val="clear" w:color="auto" w:fill="CCEEFF"/>
          </w:tcPr>
          <w:p>
            <w:pPr>
              <w:spacing w:after="0"/>
              <w:rPr>
                <w:sz w:val="18"/>
                <w:szCs w:val="18"/>
                <w:color w:val="auto"/>
              </w:rPr>
            </w:pPr>
          </w:p>
        </w:tc>
        <w:tc>
          <w:tcPr>
            <w:tcW w:w="84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18,452</w:t>
            </w:r>
          </w:p>
        </w:tc>
        <w:tc>
          <w:tcPr>
            <w:tcW w:w="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rPr>
              <w:t>15,042</w:t>
            </w:r>
          </w:p>
        </w:tc>
        <w:tc>
          <w:tcPr>
            <w:tcW w:w="10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15,190</w:t>
            </w:r>
          </w:p>
        </w:tc>
        <w:tc>
          <w:tcPr>
            <w:tcW w:w="0" w:type="dxa"/>
            <w:vAlign w:val="bottom"/>
          </w:tcPr>
          <w:p>
            <w:pPr>
              <w:spacing w:after="0"/>
              <w:rPr>
                <w:sz w:val="1"/>
                <w:szCs w:val="1"/>
                <w:color w:val="auto"/>
              </w:rPr>
            </w:pPr>
          </w:p>
        </w:tc>
      </w:tr>
      <w:tr>
        <w:trPr>
          <w:trHeight w:val="223"/>
        </w:trPr>
        <w:tc>
          <w:tcPr>
            <w:tcW w:w="6180" w:type="dxa"/>
            <w:vAlign w:val="bottom"/>
            <w:gridSpan w:val="2"/>
          </w:tcPr>
          <w:p>
            <w:pPr>
              <w:spacing w:after="0"/>
              <w:rPr>
                <w:sz w:val="20"/>
                <w:szCs w:val="20"/>
                <w:color w:val="auto"/>
              </w:rPr>
            </w:pPr>
            <w:r>
              <w:rPr>
                <w:rFonts w:ascii="Arial" w:cs="Arial" w:eastAsia="Arial" w:hAnsi="Arial"/>
                <w:sz w:val="18"/>
                <w:szCs w:val="18"/>
                <w:color w:val="auto"/>
              </w:rPr>
              <w:t xml:space="preserve">Non-GAAP weighted average shares diluted </w:t>
            </w:r>
            <w:r>
              <w:rPr>
                <w:rFonts w:ascii="Arial" w:cs="Arial" w:eastAsia="Arial" w:hAnsi="Arial"/>
                <w:sz w:val="18"/>
                <w:szCs w:val="18"/>
                <w:i w:val="1"/>
                <w:iCs w:val="1"/>
                <w:color w:val="auto"/>
              </w:rPr>
              <w:t>(d)</w:t>
            </w:r>
          </w:p>
        </w:tc>
        <w:tc>
          <w:tcPr>
            <w:tcW w:w="140" w:type="dxa"/>
            <w:vAlign w:val="bottom"/>
            <w:tcBorders>
              <w:top w:val="single" w:sz="8" w:color="auto"/>
              <w:bottom w:val="single" w:sz="8" w:color="auto"/>
            </w:tcBorders>
          </w:tcPr>
          <w:p>
            <w:pPr>
              <w:spacing w:after="0"/>
              <w:rPr>
                <w:sz w:val="19"/>
                <w:szCs w:val="19"/>
                <w:color w:val="auto"/>
              </w:rPr>
            </w:pPr>
          </w:p>
        </w:tc>
        <w:tc>
          <w:tcPr>
            <w:tcW w:w="64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95"/>
              </w:rPr>
              <w:t>514,203</w:t>
            </w:r>
          </w:p>
        </w:tc>
        <w:tc>
          <w:tcPr>
            <w:tcW w:w="2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100" w:type="dxa"/>
            <w:vAlign w:val="bottom"/>
            <w:tcBorders>
              <w:top w:val="single" w:sz="8" w:color="auto"/>
              <w:bottom w:val="single" w:sz="8" w:color="auto"/>
            </w:tcBorders>
          </w:tcPr>
          <w:p>
            <w:pPr>
              <w:spacing w:after="0"/>
              <w:rPr>
                <w:sz w:val="19"/>
                <w:szCs w:val="19"/>
                <w:color w:val="auto"/>
              </w:rPr>
            </w:pPr>
          </w:p>
        </w:tc>
        <w:tc>
          <w:tcPr>
            <w:tcW w:w="58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86"/>
              </w:rPr>
              <w:t>515,646</w:t>
            </w:r>
          </w:p>
        </w:tc>
        <w:tc>
          <w:tcPr>
            <w:tcW w:w="300" w:type="dxa"/>
            <w:vAlign w:val="bottom"/>
          </w:tcPr>
          <w:p>
            <w:pPr>
              <w:spacing w:after="0"/>
              <w:rPr>
                <w:sz w:val="19"/>
                <w:szCs w:val="19"/>
                <w:color w:val="auto"/>
              </w:rPr>
            </w:pPr>
          </w:p>
        </w:tc>
        <w:tc>
          <w:tcPr>
            <w:tcW w:w="120" w:type="dxa"/>
            <w:vAlign w:val="bottom"/>
            <w:tcBorders>
              <w:top w:val="single" w:sz="8" w:color="auto"/>
              <w:bottom w:val="single" w:sz="8" w:color="auto"/>
            </w:tcBorders>
          </w:tcPr>
          <w:p>
            <w:pPr>
              <w:spacing w:after="0"/>
              <w:rPr>
                <w:sz w:val="19"/>
                <w:szCs w:val="19"/>
                <w:color w:val="auto"/>
              </w:rPr>
            </w:pPr>
          </w:p>
        </w:tc>
        <w:tc>
          <w:tcPr>
            <w:tcW w:w="6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92"/>
              </w:rPr>
              <w:t>577,800</w:t>
            </w:r>
          </w:p>
        </w:tc>
        <w:tc>
          <w:tcPr>
            <w:tcW w:w="22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80" w:type="dxa"/>
            <w:vAlign w:val="bottom"/>
            <w:tcBorders>
              <w:top w:val="single" w:sz="8" w:color="auto"/>
              <w:bottom w:val="single" w:sz="8" w:color="auto"/>
            </w:tcBorders>
          </w:tcPr>
          <w:p>
            <w:pPr>
              <w:spacing w:after="0"/>
              <w:rPr>
                <w:sz w:val="19"/>
                <w:szCs w:val="19"/>
                <w:color w:val="auto"/>
              </w:rPr>
            </w:pPr>
          </w:p>
        </w:tc>
        <w:tc>
          <w:tcPr>
            <w:tcW w:w="74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517,443</w:t>
            </w:r>
          </w:p>
        </w:tc>
        <w:tc>
          <w:tcPr>
            <w:tcW w:w="300" w:type="dxa"/>
            <w:vAlign w:val="bottom"/>
          </w:tcPr>
          <w:p>
            <w:pPr>
              <w:spacing w:after="0"/>
              <w:rPr>
                <w:sz w:val="19"/>
                <w:szCs w:val="19"/>
                <w:color w:val="auto"/>
              </w:rPr>
            </w:pPr>
          </w:p>
        </w:tc>
        <w:tc>
          <w:tcPr>
            <w:tcW w:w="100" w:type="dxa"/>
            <w:vAlign w:val="bottom"/>
            <w:tcBorders>
              <w:top w:val="single" w:sz="8" w:color="auto"/>
              <w:bottom w:val="single" w:sz="8" w:color="auto"/>
            </w:tcBorders>
          </w:tcPr>
          <w:p>
            <w:pPr>
              <w:spacing w:after="0"/>
              <w:rPr>
                <w:sz w:val="19"/>
                <w:szCs w:val="19"/>
                <w:color w:val="auto"/>
              </w:rPr>
            </w:pPr>
          </w:p>
        </w:tc>
        <w:tc>
          <w:tcPr>
            <w:tcW w:w="7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589,994</w:t>
            </w:r>
          </w:p>
        </w:tc>
        <w:tc>
          <w:tcPr>
            <w:tcW w:w="2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6160" w:type="dxa"/>
            <w:vAlign w:val="bottom"/>
          </w:tcPr>
          <w:p>
            <w:pPr>
              <w:spacing w:after="0" w:line="20" w:lineRule="exact"/>
              <w:rPr>
                <w:sz w:val="1"/>
                <w:szCs w:val="1"/>
                <w:color w:val="auto"/>
              </w:rPr>
            </w:pPr>
          </w:p>
        </w:tc>
        <w:tc>
          <w:tcPr>
            <w:tcW w:w="140" w:type="dxa"/>
            <w:vAlign w:val="bottom"/>
            <w:tcBorders>
              <w:bottom w:val="single" w:sz="8" w:color="auto"/>
            </w:tcBorders>
          </w:tcPr>
          <w:p>
            <w:pPr>
              <w:spacing w:after="0" w:line="20" w:lineRule="exact"/>
              <w:rPr>
                <w:sz w:val="1"/>
                <w:szCs w:val="1"/>
                <w:color w:val="auto"/>
              </w:rPr>
            </w:pPr>
          </w:p>
        </w:tc>
        <w:tc>
          <w:tcPr>
            <w:tcW w:w="640" w:type="dxa"/>
            <w:vAlign w:val="bottom"/>
            <w:tcBorders>
              <w:bottom w:val="single" w:sz="8" w:color="auto"/>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580" w:type="dxa"/>
            <w:vAlign w:val="bottom"/>
            <w:tcBorders>
              <w:bottom w:val="single" w:sz="8" w:color="auto"/>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20" w:type="dxa"/>
            <w:vAlign w:val="bottom"/>
            <w:tcBorders>
              <w:bottom w:val="single" w:sz="8" w:color="auto"/>
            </w:tcBorders>
          </w:tcPr>
          <w:p>
            <w:pPr>
              <w:spacing w:after="0" w:line="20" w:lineRule="exact"/>
              <w:rPr>
                <w:sz w:val="1"/>
                <w:szCs w:val="1"/>
                <w:color w:val="auto"/>
              </w:rPr>
            </w:pPr>
          </w:p>
        </w:tc>
        <w:tc>
          <w:tcPr>
            <w:tcW w:w="620" w:type="dxa"/>
            <w:vAlign w:val="bottom"/>
            <w:tcBorders>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80" w:type="dxa"/>
            <w:vAlign w:val="bottom"/>
            <w:tcBorders>
              <w:bottom w:val="single" w:sz="8" w:color="auto"/>
            </w:tcBorders>
          </w:tcPr>
          <w:p>
            <w:pPr>
              <w:spacing w:after="0" w:line="20" w:lineRule="exact"/>
              <w:rPr>
                <w:sz w:val="1"/>
                <w:szCs w:val="1"/>
                <w:color w:val="auto"/>
              </w:rPr>
            </w:pPr>
          </w:p>
        </w:tc>
        <w:tc>
          <w:tcPr>
            <w:tcW w:w="740" w:type="dxa"/>
            <w:vAlign w:val="bottom"/>
            <w:tcBorders>
              <w:bottom w:val="single" w:sz="8" w:color="auto"/>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720" w:type="dxa"/>
            <w:vAlign w:val="bottom"/>
            <w:tcBorders>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0"/>
        </w:trPr>
        <w:tc>
          <w:tcPr>
            <w:tcW w:w="20" w:type="dxa"/>
            <w:vAlign w:val="bottom"/>
          </w:tcPr>
          <w:p>
            <w:pPr>
              <w:spacing w:after="0"/>
              <w:rPr>
                <w:sz w:val="18"/>
                <w:szCs w:val="18"/>
                <w:color w:val="auto"/>
              </w:rPr>
            </w:pPr>
          </w:p>
        </w:tc>
        <w:tc>
          <w:tcPr>
            <w:tcW w:w="6160" w:type="dxa"/>
            <w:vAlign w:val="bottom"/>
            <w:shd w:val="clear" w:color="auto" w:fill="CCEEFF"/>
          </w:tcPr>
          <w:p>
            <w:pPr>
              <w:spacing w:after="0"/>
              <w:rPr>
                <w:sz w:val="20"/>
                <w:szCs w:val="20"/>
                <w:color w:val="auto"/>
              </w:rPr>
            </w:pPr>
            <w:r>
              <w:rPr>
                <w:rFonts w:ascii="Arial" w:cs="Arial" w:eastAsia="Arial" w:hAnsi="Arial"/>
                <w:sz w:val="18"/>
                <w:szCs w:val="18"/>
                <w:color w:val="auto"/>
              </w:rPr>
              <w:t>GAAP diluted net income per share</w:t>
            </w:r>
          </w:p>
        </w:tc>
        <w:tc>
          <w:tcPr>
            <w:tcW w:w="14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6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0.21</w:t>
            </w:r>
          </w:p>
        </w:tc>
        <w:tc>
          <w:tcPr>
            <w:tcW w:w="2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1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88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rPr>
              <w:t>0.12</w:t>
            </w:r>
          </w:p>
        </w:tc>
        <w:tc>
          <w:tcPr>
            <w:tcW w:w="120" w:type="dxa"/>
            <w:vAlign w:val="bottom"/>
            <w:shd w:val="clear" w:color="auto" w:fill="CCEEFF"/>
          </w:tcPr>
          <w:p>
            <w:pPr>
              <w:spacing w:after="0"/>
              <w:rPr>
                <w:sz w:val="20"/>
                <w:szCs w:val="20"/>
                <w:color w:val="auto"/>
              </w:rPr>
            </w:pPr>
            <w:r>
              <w:rPr>
                <w:rFonts w:ascii="Arial" w:cs="Arial" w:eastAsia="Arial" w:hAnsi="Arial"/>
                <w:sz w:val="18"/>
                <w:szCs w:val="18"/>
                <w:color w:val="auto"/>
                <w:w w:val="99"/>
              </w:rPr>
              <w:t>$</w:t>
            </w:r>
          </w:p>
        </w:tc>
        <w:tc>
          <w:tcPr>
            <w:tcW w:w="84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0.12</w:t>
            </w:r>
          </w:p>
        </w:tc>
        <w:tc>
          <w:tcPr>
            <w:tcW w:w="1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04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rPr>
              <w:t>0.43</w:t>
            </w: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92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0.45</w:t>
            </w:r>
          </w:p>
        </w:tc>
        <w:tc>
          <w:tcPr>
            <w:tcW w:w="0" w:type="dxa"/>
            <w:vAlign w:val="bottom"/>
          </w:tcPr>
          <w:p>
            <w:pPr>
              <w:spacing w:after="0"/>
              <w:rPr>
                <w:sz w:val="1"/>
                <w:szCs w:val="1"/>
                <w:color w:val="auto"/>
              </w:rPr>
            </w:pPr>
          </w:p>
        </w:tc>
      </w:tr>
      <w:tr>
        <w:trPr>
          <w:trHeight w:val="20"/>
        </w:trPr>
        <w:tc>
          <w:tcPr>
            <w:tcW w:w="6180" w:type="dxa"/>
            <w:vAlign w:val="bottom"/>
            <w:gridSpan w:val="2"/>
            <w:vMerge w:val="restart"/>
          </w:tcPr>
          <w:p>
            <w:pPr>
              <w:spacing w:after="0"/>
              <w:rPr>
                <w:sz w:val="20"/>
                <w:szCs w:val="20"/>
                <w:color w:val="auto"/>
              </w:rPr>
            </w:pPr>
            <w:r>
              <w:rPr>
                <w:rFonts w:ascii="Arial" w:cs="Arial" w:eastAsia="Arial" w:hAnsi="Arial"/>
                <w:sz w:val="18"/>
                <w:szCs w:val="18"/>
                <w:color w:val="auto"/>
              </w:rPr>
              <w:t>Non-GAAP diluted net income per share</w:t>
            </w:r>
          </w:p>
        </w:tc>
        <w:tc>
          <w:tcPr>
            <w:tcW w:w="140" w:type="dxa"/>
            <w:vAlign w:val="bottom"/>
            <w:tcBorders>
              <w:top w:val="single" w:sz="8" w:color="auto"/>
              <w:bottom w:val="single" w:sz="8" w:color="auto"/>
            </w:tcBorders>
          </w:tcPr>
          <w:p>
            <w:pPr>
              <w:spacing w:after="0" w:line="20" w:lineRule="exact"/>
              <w:rPr>
                <w:sz w:val="1"/>
                <w:szCs w:val="1"/>
                <w:color w:val="auto"/>
              </w:rPr>
            </w:pPr>
          </w:p>
        </w:tc>
        <w:tc>
          <w:tcPr>
            <w:tcW w:w="64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62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740" w:type="dxa"/>
            <w:vAlign w:val="bottom"/>
            <w:tcBorders>
              <w:top w:val="single" w:sz="8" w:color="auto"/>
              <w:bottom w:val="single" w:sz="8" w:color="auto"/>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0"/>
        </w:trPr>
        <w:tc>
          <w:tcPr>
            <w:tcW w:w="6180" w:type="dxa"/>
            <w:vAlign w:val="bottom"/>
            <w:gridSpan w:val="2"/>
            <w:vMerge w:val="continue"/>
          </w:tcPr>
          <w:p>
            <w:pPr>
              <w:spacing w:after="0"/>
              <w:rPr>
                <w:sz w:val="18"/>
                <w:szCs w:val="18"/>
                <w:color w:val="auto"/>
              </w:rPr>
            </w:pPr>
          </w:p>
        </w:tc>
        <w:tc>
          <w:tcPr>
            <w:tcW w:w="140" w:type="dxa"/>
            <w:vAlign w:val="bottom"/>
            <w:tcBorders>
              <w:bottom w:val="single" w:sz="8" w:color="auto"/>
            </w:tcBorders>
          </w:tcPr>
          <w:p>
            <w:pPr>
              <w:spacing w:after="0"/>
              <w:rPr>
                <w:sz w:val="20"/>
                <w:szCs w:val="20"/>
                <w:color w:val="auto"/>
              </w:rPr>
            </w:pPr>
            <w:r>
              <w:rPr>
                <w:rFonts w:ascii="Arial" w:cs="Arial" w:eastAsia="Arial" w:hAnsi="Arial"/>
                <w:sz w:val="18"/>
                <w:szCs w:val="18"/>
                <w:color w:val="auto"/>
              </w:rPr>
              <w:t>$</w:t>
            </w:r>
          </w:p>
        </w:tc>
        <w:tc>
          <w:tcPr>
            <w:tcW w:w="6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0.32</w:t>
            </w:r>
          </w:p>
        </w:tc>
        <w:tc>
          <w:tcPr>
            <w:tcW w:w="2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1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79"/>
              </w:rPr>
              <w:t>$</w:t>
            </w:r>
          </w:p>
        </w:tc>
        <w:tc>
          <w:tcPr>
            <w:tcW w:w="5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0.23</w:t>
            </w:r>
          </w:p>
        </w:tc>
        <w:tc>
          <w:tcPr>
            <w:tcW w:w="300" w:type="dxa"/>
            <w:vAlign w:val="bottom"/>
          </w:tcPr>
          <w:p>
            <w:pPr>
              <w:spacing w:after="0"/>
              <w:rPr>
                <w:sz w:val="18"/>
                <w:szCs w:val="18"/>
                <w:color w:val="auto"/>
              </w:rPr>
            </w:pPr>
          </w:p>
        </w:tc>
        <w:tc>
          <w:tcPr>
            <w:tcW w:w="120" w:type="dxa"/>
            <w:vAlign w:val="bottom"/>
            <w:tcBorders>
              <w:bottom w:val="single" w:sz="8" w:color="auto"/>
            </w:tcBorders>
          </w:tcPr>
          <w:p>
            <w:pPr>
              <w:spacing w:after="0"/>
              <w:rPr>
                <w:sz w:val="20"/>
                <w:szCs w:val="20"/>
                <w:color w:val="auto"/>
              </w:rPr>
            </w:pPr>
            <w:r>
              <w:rPr>
                <w:rFonts w:ascii="Arial" w:cs="Arial" w:eastAsia="Arial" w:hAnsi="Arial"/>
                <w:sz w:val="18"/>
                <w:szCs w:val="18"/>
                <w:color w:val="auto"/>
                <w:w w:val="99"/>
              </w:rPr>
              <w:t>$</w:t>
            </w:r>
          </w:p>
        </w:tc>
        <w:tc>
          <w:tcPr>
            <w:tcW w:w="6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0.20</w:t>
            </w:r>
          </w:p>
        </w:tc>
        <w:tc>
          <w:tcPr>
            <w:tcW w:w="2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80" w:type="dxa"/>
            <w:vAlign w:val="bottom"/>
            <w:tcBorders>
              <w:bottom w:val="single" w:sz="8" w:color="auto"/>
            </w:tcBorders>
          </w:tcPr>
          <w:p>
            <w:pPr>
              <w:jc w:val="right"/>
              <w:spacing w:after="0"/>
              <w:rPr>
                <w:sz w:val="20"/>
                <w:szCs w:val="20"/>
                <w:color w:val="auto"/>
              </w:rPr>
            </w:pPr>
            <w:r>
              <w:rPr>
                <w:rFonts w:ascii="Arial" w:cs="Arial" w:eastAsia="Arial" w:hAnsi="Arial"/>
                <w:sz w:val="15"/>
                <w:szCs w:val="15"/>
                <w:color w:val="auto"/>
                <w:w w:val="71"/>
              </w:rPr>
              <w:t>$</w:t>
            </w:r>
          </w:p>
        </w:tc>
        <w:tc>
          <w:tcPr>
            <w:tcW w:w="7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0.73</w:t>
            </w:r>
          </w:p>
        </w:tc>
        <w:tc>
          <w:tcPr>
            <w:tcW w:w="300" w:type="dxa"/>
            <w:vAlign w:val="bottom"/>
          </w:tcPr>
          <w:p>
            <w:pPr>
              <w:spacing w:after="0"/>
              <w:rPr>
                <w:sz w:val="18"/>
                <w:szCs w:val="18"/>
                <w:color w:val="auto"/>
              </w:rPr>
            </w:pPr>
          </w:p>
        </w:tc>
        <w:tc>
          <w:tcPr>
            <w:tcW w:w="100" w:type="dxa"/>
            <w:vAlign w:val="bottom"/>
            <w:tcBorders>
              <w:bottom w:val="single" w:sz="8" w:color="auto"/>
            </w:tcBorders>
          </w:tcPr>
          <w:p>
            <w:pPr>
              <w:jc w:val="right"/>
              <w:spacing w:after="0"/>
              <w:rPr>
                <w:sz w:val="20"/>
                <w:szCs w:val="20"/>
                <w:color w:val="auto"/>
              </w:rPr>
            </w:pPr>
            <w:r>
              <w:rPr>
                <w:rFonts w:ascii="Arial" w:cs="Arial" w:eastAsia="Arial" w:hAnsi="Arial"/>
                <w:sz w:val="15"/>
                <w:szCs w:val="15"/>
                <w:color w:val="auto"/>
                <w:w w:val="71"/>
              </w:rPr>
              <w:t>$</w:t>
            </w:r>
          </w:p>
        </w:tc>
        <w:tc>
          <w:tcPr>
            <w:tcW w:w="7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0.67</w:t>
            </w:r>
          </w:p>
        </w:tc>
        <w:tc>
          <w:tcPr>
            <w:tcW w:w="2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6160" w:type="dxa"/>
            <w:vAlign w:val="bottom"/>
          </w:tcPr>
          <w:p>
            <w:pPr>
              <w:spacing w:after="0" w:line="20" w:lineRule="exact"/>
              <w:rPr>
                <w:sz w:val="1"/>
                <w:szCs w:val="1"/>
                <w:color w:val="auto"/>
              </w:rPr>
            </w:pPr>
          </w:p>
        </w:tc>
        <w:tc>
          <w:tcPr>
            <w:tcW w:w="140" w:type="dxa"/>
            <w:vAlign w:val="bottom"/>
            <w:tcBorders>
              <w:bottom w:val="single" w:sz="8" w:color="auto"/>
            </w:tcBorders>
          </w:tcPr>
          <w:p>
            <w:pPr>
              <w:spacing w:after="0" w:line="20" w:lineRule="exact"/>
              <w:rPr>
                <w:sz w:val="1"/>
                <w:szCs w:val="1"/>
                <w:color w:val="auto"/>
              </w:rPr>
            </w:pPr>
          </w:p>
        </w:tc>
        <w:tc>
          <w:tcPr>
            <w:tcW w:w="640" w:type="dxa"/>
            <w:vAlign w:val="bottom"/>
            <w:tcBorders>
              <w:bottom w:val="single" w:sz="8" w:color="auto"/>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580" w:type="dxa"/>
            <w:vAlign w:val="bottom"/>
            <w:tcBorders>
              <w:bottom w:val="single" w:sz="8" w:color="auto"/>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20" w:type="dxa"/>
            <w:vAlign w:val="bottom"/>
            <w:tcBorders>
              <w:bottom w:val="single" w:sz="8" w:color="auto"/>
            </w:tcBorders>
          </w:tcPr>
          <w:p>
            <w:pPr>
              <w:spacing w:after="0" w:line="20" w:lineRule="exact"/>
              <w:rPr>
                <w:sz w:val="1"/>
                <w:szCs w:val="1"/>
                <w:color w:val="auto"/>
              </w:rPr>
            </w:pPr>
          </w:p>
        </w:tc>
        <w:tc>
          <w:tcPr>
            <w:tcW w:w="620" w:type="dxa"/>
            <w:vAlign w:val="bottom"/>
            <w:tcBorders>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80" w:type="dxa"/>
            <w:vAlign w:val="bottom"/>
            <w:tcBorders>
              <w:bottom w:val="single" w:sz="8" w:color="auto"/>
            </w:tcBorders>
          </w:tcPr>
          <w:p>
            <w:pPr>
              <w:spacing w:after="0" w:line="20" w:lineRule="exact"/>
              <w:rPr>
                <w:sz w:val="1"/>
                <w:szCs w:val="1"/>
                <w:color w:val="auto"/>
              </w:rPr>
            </w:pPr>
          </w:p>
        </w:tc>
        <w:tc>
          <w:tcPr>
            <w:tcW w:w="740" w:type="dxa"/>
            <w:vAlign w:val="bottom"/>
            <w:tcBorders>
              <w:bottom w:val="single" w:sz="8" w:color="auto"/>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720" w:type="dxa"/>
            <w:vAlign w:val="bottom"/>
            <w:tcBorders>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0"/>
        </w:trPr>
        <w:tc>
          <w:tcPr>
            <w:tcW w:w="20" w:type="dxa"/>
            <w:vAlign w:val="bottom"/>
          </w:tcPr>
          <w:p>
            <w:pPr>
              <w:spacing w:after="0"/>
              <w:rPr>
                <w:sz w:val="18"/>
                <w:szCs w:val="18"/>
                <w:color w:val="auto"/>
              </w:rPr>
            </w:pPr>
          </w:p>
        </w:tc>
        <w:tc>
          <w:tcPr>
            <w:tcW w:w="6160" w:type="dxa"/>
            <w:vAlign w:val="bottom"/>
            <w:shd w:val="clear" w:color="auto" w:fill="CCEEFF"/>
          </w:tcPr>
          <w:p>
            <w:pPr>
              <w:spacing w:after="0"/>
              <w:rPr>
                <w:sz w:val="20"/>
                <w:szCs w:val="20"/>
                <w:color w:val="auto"/>
              </w:rPr>
            </w:pPr>
            <w:r>
              <w:rPr>
                <w:rFonts w:ascii="Arial" w:cs="Arial" w:eastAsia="Arial" w:hAnsi="Arial"/>
                <w:sz w:val="18"/>
                <w:szCs w:val="18"/>
                <w:color w:val="auto"/>
              </w:rPr>
              <w:t>GAAP gross profit:</w:t>
            </w:r>
          </w:p>
        </w:tc>
        <w:tc>
          <w:tcPr>
            <w:tcW w:w="14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6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5"/>
              </w:rPr>
              <w:t>466,245</w:t>
            </w:r>
          </w:p>
        </w:tc>
        <w:tc>
          <w:tcPr>
            <w:tcW w:w="2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1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88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w w:val="86"/>
              </w:rPr>
              <w:t>420,997</w:t>
            </w:r>
          </w:p>
        </w:tc>
        <w:tc>
          <w:tcPr>
            <w:tcW w:w="120" w:type="dxa"/>
            <w:vAlign w:val="bottom"/>
            <w:shd w:val="clear" w:color="auto" w:fill="CCEEFF"/>
          </w:tcPr>
          <w:p>
            <w:pPr>
              <w:spacing w:after="0"/>
              <w:rPr>
                <w:sz w:val="20"/>
                <w:szCs w:val="20"/>
                <w:color w:val="auto"/>
              </w:rPr>
            </w:pPr>
            <w:r>
              <w:rPr>
                <w:rFonts w:ascii="Arial" w:cs="Arial" w:eastAsia="Arial" w:hAnsi="Arial"/>
                <w:sz w:val="18"/>
                <w:szCs w:val="18"/>
                <w:color w:val="auto"/>
                <w:w w:val="99"/>
              </w:rPr>
              <w:t>$</w:t>
            </w:r>
          </w:p>
        </w:tc>
        <w:tc>
          <w:tcPr>
            <w:tcW w:w="84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w w:val="92"/>
              </w:rPr>
              <w:t>406,378</w:t>
            </w:r>
          </w:p>
        </w:tc>
        <w:tc>
          <w:tcPr>
            <w:tcW w:w="1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9"/>
              </w:rPr>
              <w:t>1,286,173</w:t>
            </w:r>
          </w:p>
        </w:tc>
        <w:tc>
          <w:tcPr>
            <w:tcW w:w="300" w:type="dxa"/>
            <w:vAlign w:val="bottom"/>
            <w:shd w:val="clear" w:color="auto" w:fill="CCEEFF"/>
          </w:tcPr>
          <w:p>
            <w:pPr>
              <w:spacing w:after="0"/>
              <w:rPr>
                <w:sz w:val="18"/>
                <w:szCs w:val="18"/>
                <w:color w:val="auto"/>
              </w:rPr>
            </w:pP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92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w w:val="87"/>
              </w:rPr>
              <w:t>1,270,672</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160" w:type="dxa"/>
            <w:vAlign w:val="bottom"/>
          </w:tcPr>
          <w:p>
            <w:pPr>
              <w:ind w:left="340"/>
              <w:spacing w:after="0"/>
              <w:rPr>
                <w:sz w:val="20"/>
                <w:szCs w:val="20"/>
                <w:color w:val="auto"/>
              </w:rPr>
            </w:pPr>
            <w:r>
              <w:rPr>
                <w:rFonts w:ascii="Arial" w:cs="Arial" w:eastAsia="Arial" w:hAnsi="Arial"/>
                <w:sz w:val="18"/>
                <w:szCs w:val="18"/>
                <w:color w:val="auto"/>
              </w:rPr>
              <w:t>Stock-based compensation</w:t>
            </w:r>
          </w:p>
        </w:tc>
        <w:tc>
          <w:tcPr>
            <w:tcW w:w="140" w:type="dxa"/>
            <w:vAlign w:val="bottom"/>
          </w:tcPr>
          <w:p>
            <w:pPr>
              <w:spacing w:after="0"/>
              <w:rPr>
                <w:sz w:val="18"/>
                <w:szCs w:val="18"/>
                <w:color w:val="auto"/>
              </w:rPr>
            </w:pPr>
          </w:p>
        </w:tc>
        <w:tc>
          <w:tcPr>
            <w:tcW w:w="640" w:type="dxa"/>
            <w:vAlign w:val="bottom"/>
          </w:tcPr>
          <w:p>
            <w:pPr>
              <w:jc w:val="right"/>
              <w:spacing w:after="0"/>
              <w:rPr>
                <w:sz w:val="20"/>
                <w:szCs w:val="20"/>
                <w:color w:val="auto"/>
              </w:rPr>
            </w:pPr>
            <w:r>
              <w:rPr>
                <w:rFonts w:ascii="Arial" w:cs="Arial" w:eastAsia="Arial" w:hAnsi="Arial"/>
                <w:sz w:val="18"/>
                <w:szCs w:val="18"/>
                <w:color w:val="auto"/>
              </w:rPr>
              <w:t>2,531</w:t>
            </w:r>
          </w:p>
        </w:tc>
        <w:tc>
          <w:tcPr>
            <w:tcW w:w="2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80" w:type="dxa"/>
            <w:vAlign w:val="bottom"/>
            <w:gridSpan w:val="2"/>
          </w:tcPr>
          <w:p>
            <w:pPr>
              <w:jc w:val="right"/>
              <w:ind w:right="300"/>
              <w:spacing w:after="0"/>
              <w:rPr>
                <w:sz w:val="20"/>
                <w:szCs w:val="20"/>
                <w:color w:val="auto"/>
              </w:rPr>
            </w:pPr>
            <w:r>
              <w:rPr>
                <w:rFonts w:ascii="Arial" w:cs="Arial" w:eastAsia="Arial" w:hAnsi="Arial"/>
                <w:sz w:val="18"/>
                <w:szCs w:val="18"/>
                <w:color w:val="auto"/>
              </w:rPr>
              <w:t>1,868</w:t>
            </w:r>
          </w:p>
        </w:tc>
        <w:tc>
          <w:tcPr>
            <w:tcW w:w="120" w:type="dxa"/>
            <w:vAlign w:val="bottom"/>
          </w:tcPr>
          <w:p>
            <w:pPr>
              <w:spacing w:after="0"/>
              <w:rPr>
                <w:sz w:val="18"/>
                <w:szCs w:val="18"/>
                <w:color w:val="auto"/>
              </w:rPr>
            </w:pPr>
          </w:p>
        </w:tc>
        <w:tc>
          <w:tcPr>
            <w:tcW w:w="840" w:type="dxa"/>
            <w:vAlign w:val="bottom"/>
            <w:gridSpan w:val="2"/>
          </w:tcPr>
          <w:p>
            <w:pPr>
              <w:jc w:val="right"/>
              <w:ind w:right="220"/>
              <w:spacing w:after="0"/>
              <w:rPr>
                <w:sz w:val="20"/>
                <w:szCs w:val="20"/>
                <w:color w:val="auto"/>
              </w:rPr>
            </w:pPr>
            <w:r>
              <w:rPr>
                <w:rFonts w:ascii="Arial" w:cs="Arial" w:eastAsia="Arial" w:hAnsi="Arial"/>
                <w:sz w:val="18"/>
                <w:szCs w:val="18"/>
                <w:color w:val="auto"/>
              </w:rPr>
              <w:t>1,944</w:t>
            </w:r>
          </w:p>
        </w:tc>
        <w:tc>
          <w:tcPr>
            <w:tcW w:w="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040" w:type="dxa"/>
            <w:vAlign w:val="bottom"/>
            <w:gridSpan w:val="2"/>
          </w:tcPr>
          <w:p>
            <w:pPr>
              <w:jc w:val="right"/>
              <w:ind w:right="300"/>
              <w:spacing w:after="0"/>
              <w:rPr>
                <w:sz w:val="20"/>
                <w:szCs w:val="20"/>
                <w:color w:val="auto"/>
              </w:rPr>
            </w:pPr>
            <w:r>
              <w:rPr>
                <w:rFonts w:ascii="Arial" w:cs="Arial" w:eastAsia="Arial" w:hAnsi="Arial"/>
                <w:sz w:val="18"/>
                <w:szCs w:val="18"/>
                <w:color w:val="auto"/>
              </w:rPr>
              <w:t>6,266</w:t>
            </w:r>
          </w:p>
        </w:tc>
        <w:tc>
          <w:tcPr>
            <w:tcW w:w="100" w:type="dxa"/>
            <w:vAlign w:val="bottom"/>
          </w:tcPr>
          <w:p>
            <w:pPr>
              <w:spacing w:after="0"/>
              <w:rPr>
                <w:sz w:val="18"/>
                <w:szCs w:val="18"/>
                <w:color w:val="auto"/>
              </w:rPr>
            </w:pPr>
          </w:p>
        </w:tc>
        <w:tc>
          <w:tcPr>
            <w:tcW w:w="920" w:type="dxa"/>
            <w:vAlign w:val="bottom"/>
            <w:gridSpan w:val="2"/>
          </w:tcPr>
          <w:p>
            <w:pPr>
              <w:jc w:val="right"/>
              <w:ind w:right="200"/>
              <w:spacing w:after="0"/>
              <w:rPr>
                <w:sz w:val="20"/>
                <w:szCs w:val="20"/>
                <w:color w:val="auto"/>
              </w:rPr>
            </w:pPr>
            <w:r>
              <w:rPr>
                <w:rFonts w:ascii="Arial" w:cs="Arial" w:eastAsia="Arial" w:hAnsi="Arial"/>
                <w:sz w:val="18"/>
                <w:szCs w:val="18"/>
                <w:color w:val="auto"/>
              </w:rPr>
              <w:t>5,842</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160" w:type="dxa"/>
            <w:vAlign w:val="bottom"/>
            <w:shd w:val="clear" w:color="auto" w:fill="CCEEFF"/>
          </w:tcPr>
          <w:p>
            <w:pPr>
              <w:ind w:left="340"/>
              <w:spacing w:after="0"/>
              <w:rPr>
                <w:sz w:val="20"/>
                <w:szCs w:val="20"/>
                <w:color w:val="auto"/>
              </w:rPr>
            </w:pPr>
            <w:r>
              <w:rPr>
                <w:rFonts w:ascii="Arial" w:cs="Arial" w:eastAsia="Arial" w:hAnsi="Arial"/>
                <w:sz w:val="18"/>
                <w:szCs w:val="18"/>
                <w:color w:val="auto"/>
              </w:rPr>
              <w:t xml:space="preserve">Acquisition-related costs </w:t>
            </w:r>
            <w:r>
              <w:rPr>
                <w:rFonts w:ascii="Arial" w:cs="Arial" w:eastAsia="Arial" w:hAnsi="Arial"/>
                <w:sz w:val="18"/>
                <w:szCs w:val="18"/>
                <w:i w:val="1"/>
                <w:iCs w:val="1"/>
                <w:color w:val="auto"/>
              </w:rPr>
              <w:t>(a)</w:t>
            </w:r>
          </w:p>
        </w:tc>
        <w:tc>
          <w:tcPr>
            <w:tcW w:w="140" w:type="dxa"/>
            <w:vAlign w:val="bottom"/>
            <w:shd w:val="clear" w:color="auto" w:fill="CCEEFF"/>
          </w:tcPr>
          <w:p>
            <w:pPr>
              <w:spacing w:after="0"/>
              <w:rPr>
                <w:sz w:val="18"/>
                <w:szCs w:val="18"/>
                <w:color w:val="auto"/>
              </w:rPr>
            </w:pPr>
          </w:p>
        </w:tc>
        <w:tc>
          <w:tcPr>
            <w:tcW w:w="940" w:type="dxa"/>
            <w:vAlign w:val="bottom"/>
            <w:gridSpan w:val="3"/>
            <w:shd w:val="clear" w:color="auto" w:fill="CCEEFF"/>
          </w:tcPr>
          <w:p>
            <w:pPr>
              <w:jc w:val="right"/>
              <w:ind w:right="380"/>
              <w:spacing w:after="0"/>
              <w:rPr>
                <w:sz w:val="20"/>
                <w:szCs w:val="20"/>
                <w:color w:val="auto"/>
              </w:rPr>
            </w:pPr>
            <w:r>
              <w:rPr>
                <w:rFonts w:ascii="Arial" w:cs="Arial" w:eastAsia="Arial" w:hAnsi="Arial"/>
                <w:sz w:val="18"/>
                <w:szCs w:val="18"/>
                <w:color w:val="auto"/>
              </w:rPr>
              <w:t>—</w:t>
            </w:r>
          </w:p>
        </w:tc>
        <w:tc>
          <w:tcPr>
            <w:tcW w:w="10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380"/>
              <w:spacing w:after="0"/>
              <w:rPr>
                <w:sz w:val="20"/>
                <w:szCs w:val="20"/>
                <w:color w:val="auto"/>
              </w:rPr>
            </w:pPr>
            <w:r>
              <w:rPr>
                <w:rFonts w:ascii="Arial" w:cs="Arial" w:eastAsia="Arial" w:hAnsi="Arial"/>
                <w:sz w:val="18"/>
                <w:szCs w:val="18"/>
                <w:color w:val="auto"/>
              </w:rPr>
              <w:t>—</w:t>
            </w:r>
          </w:p>
        </w:tc>
        <w:tc>
          <w:tcPr>
            <w:tcW w:w="120" w:type="dxa"/>
            <w:vAlign w:val="bottom"/>
            <w:shd w:val="clear" w:color="auto" w:fill="CCEEFF"/>
          </w:tcPr>
          <w:p>
            <w:pPr>
              <w:spacing w:after="0"/>
              <w:rPr>
                <w:sz w:val="18"/>
                <w:szCs w:val="18"/>
                <w:color w:val="auto"/>
              </w:rPr>
            </w:pPr>
          </w:p>
        </w:tc>
        <w:tc>
          <w:tcPr>
            <w:tcW w:w="84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w:t>
            </w:r>
          </w:p>
        </w:tc>
        <w:tc>
          <w:tcPr>
            <w:tcW w:w="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400"/>
              <w:spacing w:after="0"/>
              <w:rPr>
                <w:sz w:val="20"/>
                <w:szCs w:val="20"/>
                <w:color w:val="auto"/>
              </w:rPr>
            </w:pPr>
            <w:r>
              <w:rPr>
                <w:rFonts w:ascii="Arial" w:cs="Arial" w:eastAsia="Arial" w:hAnsi="Arial"/>
                <w:sz w:val="18"/>
                <w:szCs w:val="18"/>
                <w:color w:val="auto"/>
              </w:rPr>
              <w:t>—</w:t>
            </w:r>
          </w:p>
        </w:tc>
        <w:tc>
          <w:tcPr>
            <w:tcW w:w="10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2,983</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160" w:type="dxa"/>
            <w:vAlign w:val="bottom"/>
          </w:tcPr>
          <w:p>
            <w:pPr>
              <w:ind w:left="340"/>
              <w:spacing w:after="0"/>
              <w:rPr>
                <w:sz w:val="20"/>
                <w:szCs w:val="20"/>
                <w:color w:val="auto"/>
              </w:rPr>
            </w:pPr>
            <w:r>
              <w:rPr>
                <w:rFonts w:ascii="Arial" w:cs="Arial" w:eastAsia="Arial" w:hAnsi="Arial"/>
                <w:sz w:val="18"/>
                <w:szCs w:val="18"/>
                <w:color w:val="auto"/>
              </w:rPr>
              <w:t xml:space="preserve">Legal/Tax related matters </w:t>
            </w:r>
            <w:r>
              <w:rPr>
                <w:rFonts w:ascii="Arial" w:cs="Arial" w:eastAsia="Arial" w:hAnsi="Arial"/>
                <w:sz w:val="18"/>
                <w:szCs w:val="18"/>
                <w:i w:val="1"/>
                <w:iCs w:val="1"/>
                <w:color w:val="auto"/>
              </w:rPr>
              <w:t>(c)</w:t>
            </w:r>
          </w:p>
        </w:tc>
        <w:tc>
          <w:tcPr>
            <w:tcW w:w="140" w:type="dxa"/>
            <w:vAlign w:val="bottom"/>
          </w:tcPr>
          <w:p>
            <w:pPr>
              <w:spacing w:after="0"/>
              <w:rPr>
                <w:sz w:val="18"/>
                <w:szCs w:val="18"/>
                <w:color w:val="auto"/>
              </w:rPr>
            </w:pPr>
          </w:p>
        </w:tc>
        <w:tc>
          <w:tcPr>
            <w:tcW w:w="640" w:type="dxa"/>
            <w:vAlign w:val="bottom"/>
          </w:tcPr>
          <w:p>
            <w:pPr>
              <w:jc w:val="right"/>
              <w:spacing w:after="0"/>
              <w:rPr>
                <w:sz w:val="20"/>
                <w:szCs w:val="20"/>
                <w:color w:val="auto"/>
              </w:rPr>
            </w:pPr>
            <w:r>
              <w:rPr>
                <w:rFonts w:ascii="Arial" w:cs="Arial" w:eastAsia="Arial" w:hAnsi="Arial"/>
                <w:sz w:val="18"/>
                <w:szCs w:val="18"/>
                <w:color w:val="auto"/>
              </w:rPr>
              <w:t>—</w:t>
            </w:r>
          </w:p>
        </w:tc>
        <w:tc>
          <w:tcPr>
            <w:tcW w:w="300" w:type="dxa"/>
            <w:vAlign w:val="bottom"/>
            <w:gridSpan w:val="2"/>
          </w:tcPr>
          <w:p>
            <w:pPr>
              <w:spacing w:after="0"/>
              <w:rPr>
                <w:sz w:val="18"/>
                <w:szCs w:val="18"/>
                <w:color w:val="auto"/>
              </w:rPr>
            </w:pPr>
          </w:p>
        </w:tc>
        <w:tc>
          <w:tcPr>
            <w:tcW w:w="100" w:type="dxa"/>
            <w:vAlign w:val="bottom"/>
          </w:tcPr>
          <w:p>
            <w:pPr>
              <w:spacing w:after="0"/>
              <w:rPr>
                <w:sz w:val="18"/>
                <w:szCs w:val="18"/>
                <w:color w:val="auto"/>
              </w:rPr>
            </w:pPr>
          </w:p>
        </w:tc>
        <w:tc>
          <w:tcPr>
            <w:tcW w:w="880" w:type="dxa"/>
            <w:vAlign w:val="bottom"/>
            <w:gridSpan w:val="2"/>
          </w:tcPr>
          <w:p>
            <w:pPr>
              <w:jc w:val="right"/>
              <w:ind w:right="300"/>
              <w:spacing w:after="0"/>
              <w:rPr>
                <w:sz w:val="20"/>
                <w:szCs w:val="20"/>
                <w:color w:val="auto"/>
              </w:rPr>
            </w:pPr>
            <w:r>
              <w:rPr>
                <w:rFonts w:ascii="Arial" w:cs="Arial" w:eastAsia="Arial" w:hAnsi="Arial"/>
                <w:sz w:val="18"/>
                <w:szCs w:val="18"/>
                <w:color w:val="auto"/>
              </w:rPr>
              <w:t>4,728</w:t>
            </w:r>
          </w:p>
        </w:tc>
        <w:tc>
          <w:tcPr>
            <w:tcW w:w="120" w:type="dxa"/>
            <w:vAlign w:val="bottom"/>
          </w:tcPr>
          <w:p>
            <w:pPr>
              <w:spacing w:after="0"/>
              <w:rPr>
                <w:sz w:val="18"/>
                <w:szCs w:val="18"/>
                <w:color w:val="auto"/>
              </w:rPr>
            </w:pPr>
          </w:p>
        </w:tc>
        <w:tc>
          <w:tcPr>
            <w:tcW w:w="840" w:type="dxa"/>
            <w:vAlign w:val="bottom"/>
            <w:gridSpan w:val="2"/>
          </w:tcPr>
          <w:p>
            <w:pPr>
              <w:jc w:val="right"/>
              <w:ind w:right="320"/>
              <w:spacing w:after="0"/>
              <w:rPr>
                <w:sz w:val="20"/>
                <w:szCs w:val="20"/>
                <w:color w:val="auto"/>
              </w:rPr>
            </w:pPr>
            <w:r>
              <w:rPr>
                <w:rFonts w:ascii="Arial" w:cs="Arial" w:eastAsia="Arial" w:hAnsi="Arial"/>
                <w:sz w:val="18"/>
                <w:szCs w:val="18"/>
                <w:color w:val="auto"/>
              </w:rPr>
              <w:t>—</w:t>
            </w:r>
          </w:p>
        </w:tc>
        <w:tc>
          <w:tcPr>
            <w:tcW w:w="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040" w:type="dxa"/>
            <w:vAlign w:val="bottom"/>
            <w:gridSpan w:val="2"/>
          </w:tcPr>
          <w:p>
            <w:pPr>
              <w:jc w:val="right"/>
              <w:ind w:right="300"/>
              <w:spacing w:after="0"/>
              <w:rPr>
                <w:sz w:val="20"/>
                <w:szCs w:val="20"/>
                <w:color w:val="auto"/>
              </w:rPr>
            </w:pPr>
            <w:r>
              <w:rPr>
                <w:rFonts w:ascii="Arial" w:cs="Arial" w:eastAsia="Arial" w:hAnsi="Arial"/>
                <w:sz w:val="18"/>
                <w:szCs w:val="18"/>
                <w:color w:val="auto"/>
              </w:rPr>
              <w:t>4,728</w:t>
            </w:r>
          </w:p>
        </w:tc>
        <w:tc>
          <w:tcPr>
            <w:tcW w:w="100" w:type="dxa"/>
            <w:vAlign w:val="bottom"/>
          </w:tcPr>
          <w:p>
            <w:pPr>
              <w:spacing w:after="0"/>
              <w:rPr>
                <w:sz w:val="18"/>
                <w:szCs w:val="18"/>
                <w:color w:val="auto"/>
              </w:rPr>
            </w:pPr>
          </w:p>
        </w:tc>
        <w:tc>
          <w:tcPr>
            <w:tcW w:w="920" w:type="dxa"/>
            <w:vAlign w:val="bottom"/>
            <w:gridSpan w:val="2"/>
          </w:tcPr>
          <w:p>
            <w:pPr>
              <w:jc w:val="right"/>
              <w:ind w:right="30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7"/>
        </w:trPr>
        <w:tc>
          <w:tcPr>
            <w:tcW w:w="20" w:type="dxa"/>
            <w:vAlign w:val="bottom"/>
            <w:vMerge w:val="restart"/>
          </w:tcPr>
          <w:p>
            <w:pPr>
              <w:spacing w:after="0"/>
              <w:rPr>
                <w:sz w:val="2"/>
                <w:szCs w:val="2"/>
                <w:color w:val="auto"/>
              </w:rPr>
            </w:pPr>
          </w:p>
        </w:tc>
        <w:tc>
          <w:tcPr>
            <w:tcW w:w="6160" w:type="dxa"/>
            <w:vAlign w:val="bottom"/>
          </w:tcPr>
          <w:p>
            <w:pPr>
              <w:spacing w:after="0"/>
              <w:rPr>
                <w:sz w:val="2"/>
                <w:szCs w:val="2"/>
                <w:color w:val="auto"/>
              </w:rPr>
            </w:pPr>
          </w:p>
        </w:tc>
        <w:tc>
          <w:tcPr>
            <w:tcW w:w="140" w:type="dxa"/>
            <w:vAlign w:val="bottom"/>
            <w:shd w:val="clear" w:color="auto" w:fill="000000"/>
          </w:tcPr>
          <w:p>
            <w:pPr>
              <w:spacing w:after="0"/>
              <w:rPr>
                <w:sz w:val="2"/>
                <w:szCs w:val="2"/>
                <w:color w:val="auto"/>
              </w:rPr>
            </w:pPr>
          </w:p>
        </w:tc>
        <w:tc>
          <w:tcPr>
            <w:tcW w:w="640" w:type="dxa"/>
            <w:vAlign w:val="bottom"/>
            <w:shd w:val="clear" w:color="auto" w:fill="000000"/>
          </w:tcPr>
          <w:p>
            <w:pPr>
              <w:spacing w:after="0"/>
              <w:rPr>
                <w:sz w:val="2"/>
                <w:szCs w:val="2"/>
                <w:color w:val="auto"/>
              </w:rPr>
            </w:pPr>
          </w:p>
        </w:tc>
        <w:tc>
          <w:tcPr>
            <w:tcW w:w="20" w:type="dxa"/>
            <w:vAlign w:val="bottom"/>
          </w:tcPr>
          <w:p>
            <w:pPr>
              <w:spacing w:after="0"/>
              <w:rPr>
                <w:sz w:val="2"/>
                <w:szCs w:val="2"/>
                <w:color w:val="auto"/>
              </w:rPr>
            </w:pPr>
          </w:p>
        </w:tc>
        <w:tc>
          <w:tcPr>
            <w:tcW w:w="28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580" w:type="dxa"/>
            <w:vAlign w:val="bottom"/>
            <w:shd w:val="clear" w:color="auto" w:fill="000000"/>
          </w:tcPr>
          <w:p>
            <w:pPr>
              <w:spacing w:after="0"/>
              <w:rPr>
                <w:sz w:val="2"/>
                <w:szCs w:val="2"/>
                <w:color w:val="auto"/>
              </w:rPr>
            </w:pPr>
          </w:p>
        </w:tc>
        <w:tc>
          <w:tcPr>
            <w:tcW w:w="300" w:type="dxa"/>
            <w:vAlign w:val="bottom"/>
          </w:tcPr>
          <w:p>
            <w:pPr>
              <w:spacing w:after="0"/>
              <w:rPr>
                <w:sz w:val="2"/>
                <w:szCs w:val="2"/>
                <w:color w:val="auto"/>
              </w:rPr>
            </w:pPr>
          </w:p>
        </w:tc>
        <w:tc>
          <w:tcPr>
            <w:tcW w:w="120" w:type="dxa"/>
            <w:vAlign w:val="bottom"/>
            <w:shd w:val="clear" w:color="auto" w:fill="000000"/>
          </w:tcPr>
          <w:p>
            <w:pPr>
              <w:spacing w:after="0"/>
              <w:rPr>
                <w:sz w:val="2"/>
                <w:szCs w:val="2"/>
                <w:color w:val="auto"/>
              </w:rPr>
            </w:pPr>
          </w:p>
        </w:tc>
        <w:tc>
          <w:tcPr>
            <w:tcW w:w="620" w:type="dxa"/>
            <w:vAlign w:val="bottom"/>
            <w:shd w:val="clear" w:color="auto" w:fill="000000"/>
          </w:tcPr>
          <w:p>
            <w:pPr>
              <w:spacing w:after="0"/>
              <w:rPr>
                <w:sz w:val="2"/>
                <w:szCs w:val="2"/>
                <w:color w:val="auto"/>
              </w:rPr>
            </w:pPr>
          </w:p>
        </w:tc>
        <w:tc>
          <w:tcPr>
            <w:tcW w:w="220" w:type="dxa"/>
            <w:vAlign w:val="bottom"/>
          </w:tcPr>
          <w:p>
            <w:pPr>
              <w:spacing w:after="0"/>
              <w:rPr>
                <w:sz w:val="2"/>
                <w:szCs w:val="2"/>
                <w:color w:val="auto"/>
              </w:rPr>
            </w:pPr>
          </w:p>
        </w:tc>
        <w:tc>
          <w:tcPr>
            <w:tcW w:w="8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740" w:type="dxa"/>
            <w:vAlign w:val="bottom"/>
            <w:shd w:val="clear" w:color="auto" w:fill="000000"/>
          </w:tcPr>
          <w:p>
            <w:pPr>
              <w:spacing w:after="0"/>
              <w:rPr>
                <w:sz w:val="2"/>
                <w:szCs w:val="2"/>
                <w:color w:val="auto"/>
              </w:rPr>
            </w:pPr>
          </w:p>
        </w:tc>
        <w:tc>
          <w:tcPr>
            <w:tcW w:w="30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720" w:type="dxa"/>
            <w:vAlign w:val="bottom"/>
            <w:shd w:val="clear" w:color="auto" w:fill="000000"/>
          </w:tcPr>
          <w:p>
            <w:pPr>
              <w:spacing w:after="0"/>
              <w:rPr>
                <w:sz w:val="2"/>
                <w:szCs w:val="2"/>
                <w:color w:val="auto"/>
              </w:rPr>
            </w:pPr>
          </w:p>
        </w:tc>
        <w:tc>
          <w:tcPr>
            <w:tcW w:w="2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6160" w:type="dxa"/>
            <w:vAlign w:val="bottom"/>
            <w:shd w:val="clear" w:color="auto" w:fill="CCEEFF"/>
          </w:tcPr>
          <w:p>
            <w:pPr>
              <w:spacing w:after="0"/>
              <w:rPr>
                <w:sz w:val="20"/>
                <w:szCs w:val="20"/>
                <w:color w:val="auto"/>
              </w:rPr>
            </w:pPr>
            <w:r>
              <w:rPr>
                <w:rFonts w:ascii="Arial" w:cs="Arial" w:eastAsia="Arial" w:hAnsi="Arial"/>
                <w:sz w:val="18"/>
                <w:szCs w:val="18"/>
                <w:color w:val="auto"/>
              </w:rPr>
              <w:t>Non-GAAP gross profit</w:t>
            </w:r>
          </w:p>
        </w:tc>
        <w:tc>
          <w:tcPr>
            <w:tcW w:w="14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6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5"/>
              </w:rPr>
              <w:t>468,776</w:t>
            </w:r>
          </w:p>
        </w:tc>
        <w:tc>
          <w:tcPr>
            <w:tcW w:w="2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100" w:type="dxa"/>
            <w:vAlign w:val="bottom"/>
            <w:shd w:val="clear" w:color="auto" w:fill="CCEEFF"/>
          </w:tcPr>
          <w:p>
            <w:pPr>
              <w:jc w:val="right"/>
              <w:spacing w:after="0"/>
              <w:rPr>
                <w:sz w:val="20"/>
                <w:szCs w:val="20"/>
                <w:color w:val="auto"/>
              </w:rPr>
            </w:pPr>
            <w:r>
              <w:rPr>
                <w:rFonts w:ascii="Arial" w:cs="Arial" w:eastAsia="Arial" w:hAnsi="Arial"/>
                <w:sz w:val="18"/>
                <w:szCs w:val="18"/>
                <w:u w:val="single" w:color="auto"/>
                <w:color w:val="auto"/>
                <w:w w:val="79"/>
              </w:rPr>
              <w:t>$</w:t>
            </w:r>
          </w:p>
        </w:tc>
        <w:tc>
          <w:tcPr>
            <w:tcW w:w="88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w w:val="86"/>
              </w:rPr>
              <w:t>427,593</w:t>
            </w:r>
          </w:p>
        </w:tc>
        <w:tc>
          <w:tcPr>
            <w:tcW w:w="120" w:type="dxa"/>
            <w:vAlign w:val="bottom"/>
            <w:shd w:val="clear" w:color="auto" w:fill="CCEEFF"/>
          </w:tcPr>
          <w:p>
            <w:pPr>
              <w:spacing w:after="0"/>
              <w:rPr>
                <w:sz w:val="20"/>
                <w:szCs w:val="20"/>
                <w:color w:val="auto"/>
              </w:rPr>
            </w:pPr>
            <w:r>
              <w:rPr>
                <w:rFonts w:ascii="Arial" w:cs="Arial" w:eastAsia="Arial" w:hAnsi="Arial"/>
                <w:sz w:val="18"/>
                <w:szCs w:val="18"/>
                <w:color w:val="auto"/>
                <w:w w:val="99"/>
              </w:rPr>
              <w:t>$</w:t>
            </w:r>
          </w:p>
        </w:tc>
        <w:tc>
          <w:tcPr>
            <w:tcW w:w="84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w w:val="92"/>
              </w:rPr>
              <w:t>408,322</w:t>
            </w:r>
          </w:p>
        </w:tc>
        <w:tc>
          <w:tcPr>
            <w:tcW w:w="160" w:type="dxa"/>
            <w:vAlign w:val="bottom"/>
            <w:gridSpan w:val="2"/>
            <w:shd w:val="clear" w:color="auto" w:fill="CCEEFF"/>
          </w:tcPr>
          <w:p>
            <w:pPr>
              <w:jc w:val="right"/>
              <w:spacing w:after="0"/>
              <w:rPr>
                <w:sz w:val="20"/>
                <w:szCs w:val="20"/>
                <w:color w:val="auto"/>
              </w:rPr>
            </w:pPr>
            <w:r>
              <w:rPr>
                <w:rFonts w:ascii="Arial" w:cs="Arial" w:eastAsia="Arial" w:hAnsi="Arial"/>
                <w:sz w:val="18"/>
                <w:szCs w:val="18"/>
                <w:u w:val="single" w:color="auto"/>
                <w:color w:val="auto"/>
              </w:rPr>
              <w:t>$</w:t>
            </w:r>
          </w:p>
        </w:tc>
        <w:tc>
          <w:tcPr>
            <w:tcW w:w="7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9"/>
              </w:rPr>
              <w:t>1,297,167</w:t>
            </w:r>
          </w:p>
        </w:tc>
        <w:tc>
          <w:tcPr>
            <w:tcW w:w="300" w:type="dxa"/>
            <w:vAlign w:val="bottom"/>
            <w:shd w:val="clear" w:color="auto" w:fill="CCEEFF"/>
          </w:tcPr>
          <w:p>
            <w:pPr>
              <w:spacing w:after="0"/>
              <w:rPr>
                <w:sz w:val="18"/>
                <w:szCs w:val="18"/>
                <w:color w:val="auto"/>
              </w:rPr>
            </w:pP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u w:val="single" w:color="auto"/>
                <w:color w:val="auto"/>
                <w:w w:val="71"/>
              </w:rPr>
              <w:t>$</w:t>
            </w:r>
          </w:p>
        </w:tc>
        <w:tc>
          <w:tcPr>
            <w:tcW w:w="92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w w:val="87"/>
              </w:rPr>
              <w:t>1,279,497</w:t>
            </w:r>
          </w:p>
        </w:tc>
        <w:tc>
          <w:tcPr>
            <w:tcW w:w="0" w:type="dxa"/>
            <w:vAlign w:val="bottom"/>
          </w:tcPr>
          <w:p>
            <w:pPr>
              <w:spacing w:after="0"/>
              <w:rPr>
                <w:sz w:val="1"/>
                <w:szCs w:val="1"/>
                <w:color w:val="auto"/>
              </w:rPr>
            </w:pPr>
          </w:p>
        </w:tc>
      </w:tr>
      <w:tr>
        <w:trPr>
          <w:trHeight w:val="20"/>
        </w:trPr>
        <w:tc>
          <w:tcPr>
            <w:tcW w:w="6180" w:type="dxa"/>
            <w:vAlign w:val="bottom"/>
            <w:gridSpan w:val="2"/>
            <w:vMerge w:val="restart"/>
          </w:tcPr>
          <w:p>
            <w:pPr>
              <w:spacing w:after="0"/>
              <w:rPr>
                <w:sz w:val="20"/>
                <w:szCs w:val="20"/>
                <w:color w:val="auto"/>
              </w:rPr>
            </w:pPr>
            <w:r>
              <w:rPr>
                <w:rFonts w:ascii="Arial" w:cs="Arial" w:eastAsia="Arial" w:hAnsi="Arial"/>
                <w:sz w:val="18"/>
                <w:szCs w:val="18"/>
                <w:color w:val="auto"/>
              </w:rPr>
              <w:t>GAAP gross margin</w:t>
            </w:r>
          </w:p>
        </w:tc>
        <w:tc>
          <w:tcPr>
            <w:tcW w:w="140" w:type="dxa"/>
            <w:vAlign w:val="bottom"/>
            <w:tcBorders>
              <w:top w:val="single" w:sz="8" w:color="auto"/>
              <w:bottom w:val="single" w:sz="8" w:color="auto"/>
            </w:tcBorders>
          </w:tcPr>
          <w:p>
            <w:pPr>
              <w:spacing w:after="0" w:line="20" w:lineRule="exact"/>
              <w:rPr>
                <w:sz w:val="1"/>
                <w:szCs w:val="1"/>
                <w:color w:val="auto"/>
              </w:rPr>
            </w:pPr>
          </w:p>
        </w:tc>
        <w:tc>
          <w:tcPr>
            <w:tcW w:w="64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62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740" w:type="dxa"/>
            <w:vAlign w:val="bottom"/>
            <w:tcBorders>
              <w:top w:val="single" w:sz="8" w:color="auto"/>
              <w:bottom w:val="single" w:sz="8" w:color="auto"/>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0"/>
        </w:trPr>
        <w:tc>
          <w:tcPr>
            <w:tcW w:w="6180" w:type="dxa"/>
            <w:vAlign w:val="bottom"/>
            <w:gridSpan w:val="2"/>
            <w:vMerge w:val="continue"/>
          </w:tcPr>
          <w:p>
            <w:pPr>
              <w:spacing w:after="0"/>
              <w:rPr>
                <w:sz w:val="18"/>
                <w:szCs w:val="18"/>
                <w:color w:val="auto"/>
              </w:rPr>
            </w:pPr>
          </w:p>
        </w:tc>
        <w:tc>
          <w:tcPr>
            <w:tcW w:w="140" w:type="dxa"/>
            <w:vAlign w:val="bottom"/>
          </w:tcPr>
          <w:p>
            <w:pPr>
              <w:spacing w:after="0"/>
              <w:rPr>
                <w:sz w:val="18"/>
                <w:szCs w:val="18"/>
                <w:color w:val="auto"/>
              </w:rPr>
            </w:pPr>
          </w:p>
        </w:tc>
        <w:tc>
          <w:tcPr>
            <w:tcW w:w="940" w:type="dxa"/>
            <w:vAlign w:val="bottom"/>
            <w:gridSpan w:val="3"/>
          </w:tcPr>
          <w:p>
            <w:pPr>
              <w:jc w:val="right"/>
              <w:ind w:right="140"/>
              <w:spacing w:after="0"/>
              <w:rPr>
                <w:sz w:val="20"/>
                <w:szCs w:val="20"/>
                <w:color w:val="auto"/>
              </w:rPr>
            </w:pPr>
            <w:r>
              <w:rPr>
                <w:rFonts w:ascii="Arial" w:cs="Arial" w:eastAsia="Arial" w:hAnsi="Arial"/>
                <w:sz w:val="18"/>
                <w:szCs w:val="18"/>
                <w:color w:val="auto"/>
              </w:rPr>
              <w:t>50.1%</w:t>
            </w:r>
          </w:p>
        </w:tc>
        <w:tc>
          <w:tcPr>
            <w:tcW w:w="100" w:type="dxa"/>
            <w:vAlign w:val="bottom"/>
          </w:tcPr>
          <w:p>
            <w:pPr>
              <w:spacing w:after="0"/>
              <w:rPr>
                <w:sz w:val="18"/>
                <w:szCs w:val="18"/>
                <w:color w:val="auto"/>
              </w:rPr>
            </w:pPr>
          </w:p>
        </w:tc>
        <w:tc>
          <w:tcPr>
            <w:tcW w:w="880" w:type="dxa"/>
            <w:vAlign w:val="bottom"/>
            <w:gridSpan w:val="2"/>
          </w:tcPr>
          <w:p>
            <w:pPr>
              <w:jc w:val="right"/>
              <w:ind w:right="140"/>
              <w:spacing w:after="0"/>
              <w:rPr>
                <w:sz w:val="20"/>
                <w:szCs w:val="20"/>
                <w:color w:val="auto"/>
              </w:rPr>
            </w:pPr>
            <w:r>
              <w:rPr>
                <w:rFonts w:ascii="Arial" w:cs="Arial" w:eastAsia="Arial" w:hAnsi="Arial"/>
                <w:sz w:val="18"/>
                <w:szCs w:val="18"/>
                <w:color w:val="auto"/>
              </w:rPr>
              <w:t>52.2%</w:t>
            </w:r>
          </w:p>
        </w:tc>
        <w:tc>
          <w:tcPr>
            <w:tcW w:w="120" w:type="dxa"/>
            <w:vAlign w:val="bottom"/>
          </w:tcPr>
          <w:p>
            <w:pPr>
              <w:spacing w:after="0"/>
              <w:rPr>
                <w:sz w:val="18"/>
                <w:szCs w:val="18"/>
                <w:color w:val="auto"/>
              </w:rPr>
            </w:pPr>
          </w:p>
        </w:tc>
        <w:tc>
          <w:tcPr>
            <w:tcW w:w="840" w:type="dxa"/>
            <w:vAlign w:val="bottom"/>
            <w:gridSpan w:val="2"/>
          </w:tcPr>
          <w:p>
            <w:pPr>
              <w:jc w:val="right"/>
              <w:ind w:right="80"/>
              <w:spacing w:after="0"/>
              <w:rPr>
                <w:sz w:val="20"/>
                <w:szCs w:val="20"/>
                <w:color w:val="auto"/>
              </w:rPr>
            </w:pPr>
            <w:r>
              <w:rPr>
                <w:rFonts w:ascii="Arial" w:cs="Arial" w:eastAsia="Arial" w:hAnsi="Arial"/>
                <w:sz w:val="18"/>
                <w:szCs w:val="18"/>
                <w:color w:val="auto"/>
              </w:rPr>
              <w:t>52.0%</w:t>
            </w:r>
          </w:p>
        </w:tc>
        <w:tc>
          <w:tcPr>
            <w:tcW w:w="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040" w:type="dxa"/>
            <w:vAlign w:val="bottom"/>
            <w:gridSpan w:val="2"/>
          </w:tcPr>
          <w:p>
            <w:pPr>
              <w:jc w:val="right"/>
              <w:ind w:right="160"/>
              <w:spacing w:after="0"/>
              <w:rPr>
                <w:sz w:val="20"/>
                <w:szCs w:val="20"/>
                <w:color w:val="auto"/>
              </w:rPr>
            </w:pPr>
            <w:r>
              <w:rPr>
                <w:rFonts w:ascii="Arial" w:cs="Arial" w:eastAsia="Arial" w:hAnsi="Arial"/>
                <w:sz w:val="18"/>
                <w:szCs w:val="18"/>
                <w:color w:val="auto"/>
              </w:rPr>
              <w:t>52.0%</w:t>
            </w:r>
          </w:p>
        </w:tc>
        <w:tc>
          <w:tcPr>
            <w:tcW w:w="100" w:type="dxa"/>
            <w:vAlign w:val="bottom"/>
          </w:tcPr>
          <w:p>
            <w:pPr>
              <w:spacing w:after="0"/>
              <w:rPr>
                <w:sz w:val="18"/>
                <w:szCs w:val="18"/>
                <w:color w:val="auto"/>
              </w:rPr>
            </w:pPr>
          </w:p>
        </w:tc>
        <w:tc>
          <w:tcPr>
            <w:tcW w:w="920" w:type="dxa"/>
            <w:vAlign w:val="bottom"/>
            <w:gridSpan w:val="2"/>
          </w:tcPr>
          <w:p>
            <w:pPr>
              <w:jc w:val="right"/>
              <w:ind w:right="60"/>
              <w:spacing w:after="0"/>
              <w:rPr>
                <w:sz w:val="20"/>
                <w:szCs w:val="20"/>
                <w:color w:val="auto"/>
              </w:rPr>
            </w:pPr>
            <w:r>
              <w:rPr>
                <w:rFonts w:ascii="Arial" w:cs="Arial" w:eastAsia="Arial" w:hAnsi="Arial"/>
                <w:sz w:val="18"/>
                <w:szCs w:val="18"/>
                <w:color w:val="auto"/>
              </w:rPr>
              <w:t>53.1%</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160" w:type="dxa"/>
            <w:vAlign w:val="bottom"/>
            <w:shd w:val="clear" w:color="auto" w:fill="CCEEFF"/>
          </w:tcPr>
          <w:p>
            <w:pPr>
              <w:ind w:left="340"/>
              <w:spacing w:after="0"/>
              <w:rPr>
                <w:sz w:val="20"/>
                <w:szCs w:val="20"/>
                <w:color w:val="auto"/>
              </w:rPr>
            </w:pPr>
            <w:r>
              <w:rPr>
                <w:rFonts w:ascii="Arial" w:cs="Arial" w:eastAsia="Arial" w:hAnsi="Arial"/>
                <w:sz w:val="18"/>
                <w:szCs w:val="18"/>
                <w:color w:val="auto"/>
              </w:rPr>
              <w:t>Stock-based compensation</w:t>
            </w:r>
          </w:p>
        </w:tc>
        <w:tc>
          <w:tcPr>
            <w:tcW w:w="140" w:type="dxa"/>
            <w:vAlign w:val="bottom"/>
            <w:shd w:val="clear" w:color="auto" w:fill="CCEEFF"/>
          </w:tcPr>
          <w:p>
            <w:pPr>
              <w:spacing w:after="0"/>
              <w:rPr>
                <w:sz w:val="18"/>
                <w:szCs w:val="18"/>
                <w:color w:val="auto"/>
              </w:rPr>
            </w:pPr>
          </w:p>
        </w:tc>
        <w:tc>
          <w:tcPr>
            <w:tcW w:w="940" w:type="dxa"/>
            <w:vAlign w:val="bottom"/>
            <w:gridSpan w:val="3"/>
            <w:shd w:val="clear" w:color="auto" w:fill="CCEEFF"/>
          </w:tcPr>
          <w:p>
            <w:pPr>
              <w:jc w:val="right"/>
              <w:ind w:right="140"/>
              <w:spacing w:after="0"/>
              <w:rPr>
                <w:sz w:val="20"/>
                <w:szCs w:val="20"/>
                <w:color w:val="auto"/>
              </w:rPr>
            </w:pPr>
            <w:r>
              <w:rPr>
                <w:rFonts w:ascii="Arial" w:cs="Arial" w:eastAsia="Arial" w:hAnsi="Arial"/>
                <w:sz w:val="18"/>
                <w:szCs w:val="18"/>
                <w:color w:val="auto"/>
              </w:rPr>
              <w:t>0.2%</w:t>
            </w:r>
          </w:p>
        </w:tc>
        <w:tc>
          <w:tcPr>
            <w:tcW w:w="10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0.2%</w:t>
            </w:r>
          </w:p>
        </w:tc>
        <w:tc>
          <w:tcPr>
            <w:tcW w:w="120" w:type="dxa"/>
            <w:vAlign w:val="bottom"/>
            <w:shd w:val="clear" w:color="auto" w:fill="CCEEFF"/>
          </w:tcPr>
          <w:p>
            <w:pPr>
              <w:spacing w:after="0"/>
              <w:rPr>
                <w:sz w:val="18"/>
                <w:szCs w:val="18"/>
                <w:color w:val="auto"/>
              </w:rPr>
            </w:pPr>
          </w:p>
        </w:tc>
        <w:tc>
          <w:tcPr>
            <w:tcW w:w="840" w:type="dxa"/>
            <w:vAlign w:val="bottom"/>
            <w:gridSpan w:val="2"/>
            <w:shd w:val="clear" w:color="auto" w:fill="CCEEFF"/>
          </w:tcPr>
          <w:p>
            <w:pPr>
              <w:jc w:val="right"/>
              <w:ind w:right="80"/>
              <w:spacing w:after="0"/>
              <w:rPr>
                <w:sz w:val="20"/>
                <w:szCs w:val="20"/>
                <w:color w:val="auto"/>
              </w:rPr>
            </w:pPr>
            <w:r>
              <w:rPr>
                <w:rFonts w:ascii="Arial" w:cs="Arial" w:eastAsia="Arial" w:hAnsi="Arial"/>
                <w:sz w:val="18"/>
                <w:szCs w:val="18"/>
                <w:color w:val="auto"/>
              </w:rPr>
              <w:t>0.3%</w:t>
            </w:r>
          </w:p>
        </w:tc>
        <w:tc>
          <w:tcPr>
            <w:tcW w:w="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0.3%</w:t>
            </w:r>
          </w:p>
        </w:tc>
        <w:tc>
          <w:tcPr>
            <w:tcW w:w="10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0.2%</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160" w:type="dxa"/>
            <w:vAlign w:val="bottom"/>
          </w:tcPr>
          <w:p>
            <w:pPr>
              <w:ind w:left="340"/>
              <w:spacing w:after="0"/>
              <w:rPr>
                <w:sz w:val="20"/>
                <w:szCs w:val="20"/>
                <w:color w:val="auto"/>
              </w:rPr>
            </w:pPr>
            <w:r>
              <w:rPr>
                <w:rFonts w:ascii="Arial" w:cs="Arial" w:eastAsia="Arial" w:hAnsi="Arial"/>
                <w:sz w:val="18"/>
                <w:szCs w:val="18"/>
                <w:color w:val="auto"/>
              </w:rPr>
              <w:t xml:space="preserve">Acquisition-related costs </w:t>
            </w:r>
            <w:r>
              <w:rPr>
                <w:rFonts w:ascii="Arial" w:cs="Arial" w:eastAsia="Arial" w:hAnsi="Arial"/>
                <w:sz w:val="18"/>
                <w:szCs w:val="18"/>
                <w:i w:val="1"/>
                <w:iCs w:val="1"/>
                <w:color w:val="auto"/>
              </w:rPr>
              <w:t>(a)</w:t>
            </w:r>
          </w:p>
        </w:tc>
        <w:tc>
          <w:tcPr>
            <w:tcW w:w="140" w:type="dxa"/>
            <w:vAlign w:val="bottom"/>
          </w:tcPr>
          <w:p>
            <w:pPr>
              <w:spacing w:after="0"/>
              <w:rPr>
                <w:sz w:val="18"/>
                <w:szCs w:val="18"/>
                <w:color w:val="auto"/>
              </w:rPr>
            </w:pPr>
          </w:p>
        </w:tc>
        <w:tc>
          <w:tcPr>
            <w:tcW w:w="940" w:type="dxa"/>
            <w:vAlign w:val="bottom"/>
            <w:gridSpan w:val="3"/>
          </w:tcPr>
          <w:p>
            <w:pPr>
              <w:jc w:val="right"/>
              <w:ind w:right="380"/>
              <w:spacing w:after="0"/>
              <w:rPr>
                <w:sz w:val="20"/>
                <w:szCs w:val="20"/>
                <w:color w:val="auto"/>
              </w:rPr>
            </w:pPr>
            <w:r>
              <w:rPr>
                <w:rFonts w:ascii="Arial" w:cs="Arial" w:eastAsia="Arial" w:hAnsi="Arial"/>
                <w:sz w:val="18"/>
                <w:szCs w:val="18"/>
                <w:color w:val="auto"/>
              </w:rPr>
              <w:t>—</w:t>
            </w:r>
          </w:p>
        </w:tc>
        <w:tc>
          <w:tcPr>
            <w:tcW w:w="100" w:type="dxa"/>
            <w:vAlign w:val="bottom"/>
          </w:tcPr>
          <w:p>
            <w:pPr>
              <w:spacing w:after="0"/>
              <w:rPr>
                <w:sz w:val="18"/>
                <w:szCs w:val="18"/>
                <w:color w:val="auto"/>
              </w:rPr>
            </w:pPr>
          </w:p>
        </w:tc>
        <w:tc>
          <w:tcPr>
            <w:tcW w:w="880" w:type="dxa"/>
            <w:vAlign w:val="bottom"/>
            <w:gridSpan w:val="2"/>
          </w:tcPr>
          <w:p>
            <w:pPr>
              <w:jc w:val="right"/>
              <w:ind w:right="380"/>
              <w:spacing w:after="0"/>
              <w:rPr>
                <w:sz w:val="20"/>
                <w:szCs w:val="20"/>
                <w:color w:val="auto"/>
              </w:rPr>
            </w:pPr>
            <w:r>
              <w:rPr>
                <w:rFonts w:ascii="Arial" w:cs="Arial" w:eastAsia="Arial" w:hAnsi="Arial"/>
                <w:sz w:val="18"/>
                <w:szCs w:val="18"/>
                <w:color w:val="auto"/>
              </w:rPr>
              <w:t>—</w:t>
            </w:r>
          </w:p>
        </w:tc>
        <w:tc>
          <w:tcPr>
            <w:tcW w:w="120" w:type="dxa"/>
            <w:vAlign w:val="bottom"/>
          </w:tcPr>
          <w:p>
            <w:pPr>
              <w:spacing w:after="0"/>
              <w:rPr>
                <w:sz w:val="18"/>
                <w:szCs w:val="18"/>
                <w:color w:val="auto"/>
              </w:rPr>
            </w:pPr>
          </w:p>
        </w:tc>
        <w:tc>
          <w:tcPr>
            <w:tcW w:w="840" w:type="dxa"/>
            <w:vAlign w:val="bottom"/>
            <w:gridSpan w:val="2"/>
          </w:tcPr>
          <w:p>
            <w:pPr>
              <w:jc w:val="right"/>
              <w:ind w:right="320"/>
              <w:spacing w:after="0"/>
              <w:rPr>
                <w:sz w:val="20"/>
                <w:szCs w:val="20"/>
                <w:color w:val="auto"/>
              </w:rPr>
            </w:pPr>
            <w:r>
              <w:rPr>
                <w:rFonts w:ascii="Arial" w:cs="Arial" w:eastAsia="Arial" w:hAnsi="Arial"/>
                <w:sz w:val="18"/>
                <w:szCs w:val="18"/>
                <w:color w:val="auto"/>
              </w:rPr>
              <w:t>—</w:t>
            </w:r>
          </w:p>
        </w:tc>
        <w:tc>
          <w:tcPr>
            <w:tcW w:w="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040" w:type="dxa"/>
            <w:vAlign w:val="bottom"/>
            <w:gridSpan w:val="2"/>
          </w:tcPr>
          <w:p>
            <w:pPr>
              <w:jc w:val="right"/>
              <w:ind w:right="400"/>
              <w:spacing w:after="0"/>
              <w:rPr>
                <w:sz w:val="20"/>
                <w:szCs w:val="20"/>
                <w:color w:val="auto"/>
              </w:rPr>
            </w:pPr>
            <w:r>
              <w:rPr>
                <w:rFonts w:ascii="Arial" w:cs="Arial" w:eastAsia="Arial" w:hAnsi="Arial"/>
                <w:sz w:val="18"/>
                <w:szCs w:val="18"/>
                <w:color w:val="auto"/>
              </w:rPr>
              <w:t>—</w:t>
            </w:r>
          </w:p>
        </w:tc>
        <w:tc>
          <w:tcPr>
            <w:tcW w:w="100" w:type="dxa"/>
            <w:vAlign w:val="bottom"/>
          </w:tcPr>
          <w:p>
            <w:pPr>
              <w:spacing w:after="0"/>
              <w:rPr>
                <w:sz w:val="18"/>
                <w:szCs w:val="18"/>
                <w:color w:val="auto"/>
              </w:rPr>
            </w:pPr>
          </w:p>
        </w:tc>
        <w:tc>
          <w:tcPr>
            <w:tcW w:w="920" w:type="dxa"/>
            <w:vAlign w:val="bottom"/>
            <w:gridSpan w:val="2"/>
          </w:tcPr>
          <w:p>
            <w:pPr>
              <w:jc w:val="right"/>
              <w:ind w:right="60"/>
              <w:spacing w:after="0"/>
              <w:rPr>
                <w:sz w:val="20"/>
                <w:szCs w:val="20"/>
                <w:color w:val="auto"/>
              </w:rPr>
            </w:pPr>
            <w:r>
              <w:rPr>
                <w:rFonts w:ascii="Arial" w:cs="Arial" w:eastAsia="Arial" w:hAnsi="Arial"/>
                <w:sz w:val="18"/>
                <w:szCs w:val="18"/>
                <w:color w:val="auto"/>
              </w:rPr>
              <w:t>0.2%</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160" w:type="dxa"/>
            <w:vAlign w:val="bottom"/>
            <w:shd w:val="clear" w:color="auto" w:fill="CCEEFF"/>
          </w:tcPr>
          <w:p>
            <w:pPr>
              <w:ind w:left="340"/>
              <w:spacing w:after="0"/>
              <w:rPr>
                <w:sz w:val="20"/>
                <w:szCs w:val="20"/>
                <w:color w:val="auto"/>
              </w:rPr>
            </w:pPr>
            <w:r>
              <w:rPr>
                <w:rFonts w:ascii="Arial" w:cs="Arial" w:eastAsia="Arial" w:hAnsi="Arial"/>
                <w:sz w:val="18"/>
                <w:szCs w:val="18"/>
                <w:color w:val="auto"/>
              </w:rPr>
              <w:t xml:space="preserve">Legal/Tax related matters </w:t>
            </w:r>
            <w:r>
              <w:rPr>
                <w:rFonts w:ascii="Arial" w:cs="Arial" w:eastAsia="Arial" w:hAnsi="Arial"/>
                <w:sz w:val="18"/>
                <w:szCs w:val="18"/>
                <w:i w:val="1"/>
                <w:iCs w:val="1"/>
                <w:color w:val="auto"/>
              </w:rPr>
              <w:t>(c)</w:t>
            </w:r>
          </w:p>
        </w:tc>
        <w:tc>
          <w:tcPr>
            <w:tcW w:w="140" w:type="dxa"/>
            <w:vAlign w:val="bottom"/>
            <w:shd w:val="clear" w:color="auto" w:fill="CCEEFF"/>
          </w:tcPr>
          <w:p>
            <w:pPr>
              <w:spacing w:after="0"/>
              <w:rPr>
                <w:sz w:val="18"/>
                <w:szCs w:val="18"/>
                <w:color w:val="auto"/>
              </w:rPr>
            </w:pPr>
          </w:p>
        </w:tc>
        <w:tc>
          <w:tcPr>
            <w:tcW w:w="6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300" w:type="dxa"/>
            <w:vAlign w:val="bottom"/>
            <w:gridSpan w:val="2"/>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0.6%</w:t>
            </w:r>
          </w:p>
        </w:tc>
        <w:tc>
          <w:tcPr>
            <w:tcW w:w="120" w:type="dxa"/>
            <w:vAlign w:val="bottom"/>
            <w:shd w:val="clear" w:color="auto" w:fill="CCEEFF"/>
          </w:tcPr>
          <w:p>
            <w:pPr>
              <w:spacing w:after="0"/>
              <w:rPr>
                <w:sz w:val="18"/>
                <w:szCs w:val="18"/>
                <w:color w:val="auto"/>
              </w:rPr>
            </w:pPr>
          </w:p>
        </w:tc>
        <w:tc>
          <w:tcPr>
            <w:tcW w:w="84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w:t>
            </w:r>
          </w:p>
        </w:tc>
        <w:tc>
          <w:tcPr>
            <w:tcW w:w="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0.2%</w:t>
            </w:r>
          </w:p>
        </w:tc>
        <w:tc>
          <w:tcPr>
            <w:tcW w:w="10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0"/>
        </w:trPr>
        <w:tc>
          <w:tcPr>
            <w:tcW w:w="6180" w:type="dxa"/>
            <w:vAlign w:val="bottom"/>
            <w:gridSpan w:val="2"/>
            <w:vMerge w:val="restart"/>
          </w:tcPr>
          <w:p>
            <w:pPr>
              <w:spacing w:after="0"/>
              <w:rPr>
                <w:sz w:val="20"/>
                <w:szCs w:val="20"/>
                <w:color w:val="auto"/>
              </w:rPr>
            </w:pPr>
            <w:r>
              <w:rPr>
                <w:rFonts w:ascii="Arial" w:cs="Arial" w:eastAsia="Arial" w:hAnsi="Arial"/>
                <w:sz w:val="18"/>
                <w:szCs w:val="18"/>
                <w:color w:val="auto"/>
              </w:rPr>
              <w:t>Non-GAAP gross margin</w:t>
            </w:r>
          </w:p>
        </w:tc>
        <w:tc>
          <w:tcPr>
            <w:tcW w:w="140" w:type="dxa"/>
            <w:vAlign w:val="bottom"/>
            <w:shd w:val="clear" w:color="auto" w:fill="000000"/>
          </w:tcPr>
          <w:p>
            <w:pPr>
              <w:spacing w:after="0" w:line="20" w:lineRule="exact"/>
              <w:rPr>
                <w:sz w:val="1"/>
                <w:szCs w:val="1"/>
                <w:color w:val="auto"/>
              </w:rPr>
            </w:pPr>
          </w:p>
        </w:tc>
        <w:tc>
          <w:tcPr>
            <w:tcW w:w="640" w:type="dxa"/>
            <w:vAlign w:val="bottom"/>
            <w:shd w:val="clear" w:color="auto" w:fill="000000"/>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580" w:type="dxa"/>
            <w:vAlign w:val="bottom"/>
            <w:shd w:val="clear" w:color="auto" w:fill="000000"/>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20" w:type="dxa"/>
            <w:vAlign w:val="bottom"/>
            <w:shd w:val="clear" w:color="auto" w:fill="000000"/>
          </w:tcPr>
          <w:p>
            <w:pPr>
              <w:spacing w:after="0" w:line="20" w:lineRule="exact"/>
              <w:rPr>
                <w:sz w:val="1"/>
                <w:szCs w:val="1"/>
                <w:color w:val="auto"/>
              </w:rPr>
            </w:pPr>
          </w:p>
        </w:tc>
        <w:tc>
          <w:tcPr>
            <w:tcW w:w="620" w:type="dxa"/>
            <w:vAlign w:val="bottom"/>
            <w:shd w:val="clear" w:color="auto" w:fill="000000"/>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80" w:type="dxa"/>
            <w:vAlign w:val="bottom"/>
            <w:shd w:val="clear" w:color="auto" w:fill="000000"/>
          </w:tcPr>
          <w:p>
            <w:pPr>
              <w:spacing w:after="0" w:line="20" w:lineRule="exact"/>
              <w:rPr>
                <w:sz w:val="1"/>
                <w:szCs w:val="1"/>
                <w:color w:val="auto"/>
              </w:rPr>
            </w:pPr>
          </w:p>
        </w:tc>
        <w:tc>
          <w:tcPr>
            <w:tcW w:w="740" w:type="dxa"/>
            <w:vAlign w:val="bottom"/>
            <w:shd w:val="clear" w:color="auto" w:fill="000000"/>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720" w:type="dxa"/>
            <w:vAlign w:val="bottom"/>
            <w:shd w:val="clear" w:color="auto" w:fill="000000"/>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3"/>
        </w:trPr>
        <w:tc>
          <w:tcPr>
            <w:tcW w:w="6180" w:type="dxa"/>
            <w:vAlign w:val="bottom"/>
            <w:gridSpan w:val="2"/>
            <w:vMerge w:val="continue"/>
          </w:tcPr>
          <w:p>
            <w:pPr>
              <w:spacing w:after="0"/>
              <w:rPr>
                <w:sz w:val="19"/>
                <w:szCs w:val="19"/>
                <w:color w:val="auto"/>
              </w:rPr>
            </w:pPr>
          </w:p>
        </w:tc>
        <w:tc>
          <w:tcPr>
            <w:tcW w:w="140" w:type="dxa"/>
            <w:vAlign w:val="bottom"/>
          </w:tcPr>
          <w:p>
            <w:pPr>
              <w:spacing w:after="0"/>
              <w:rPr>
                <w:sz w:val="19"/>
                <w:szCs w:val="19"/>
                <w:color w:val="auto"/>
              </w:rPr>
            </w:pPr>
          </w:p>
        </w:tc>
        <w:tc>
          <w:tcPr>
            <w:tcW w:w="940" w:type="dxa"/>
            <w:vAlign w:val="bottom"/>
            <w:gridSpan w:val="3"/>
          </w:tcPr>
          <w:p>
            <w:pPr>
              <w:jc w:val="right"/>
              <w:ind w:right="140"/>
              <w:spacing w:after="0"/>
              <w:rPr>
                <w:sz w:val="20"/>
                <w:szCs w:val="20"/>
                <w:color w:val="auto"/>
              </w:rPr>
            </w:pPr>
            <w:r>
              <w:rPr>
                <w:rFonts w:ascii="Arial" w:cs="Arial" w:eastAsia="Arial" w:hAnsi="Arial"/>
                <w:sz w:val="18"/>
                <w:szCs w:val="18"/>
                <w:color w:val="auto"/>
              </w:rPr>
              <w:t>50.3%</w:t>
            </w:r>
          </w:p>
        </w:tc>
        <w:tc>
          <w:tcPr>
            <w:tcW w:w="100" w:type="dxa"/>
            <w:vAlign w:val="bottom"/>
          </w:tcPr>
          <w:p>
            <w:pPr>
              <w:spacing w:after="0"/>
              <w:rPr>
                <w:sz w:val="19"/>
                <w:szCs w:val="19"/>
                <w:color w:val="auto"/>
              </w:rPr>
            </w:pPr>
          </w:p>
        </w:tc>
        <w:tc>
          <w:tcPr>
            <w:tcW w:w="880" w:type="dxa"/>
            <w:vAlign w:val="bottom"/>
            <w:gridSpan w:val="2"/>
          </w:tcPr>
          <w:p>
            <w:pPr>
              <w:jc w:val="right"/>
              <w:ind w:right="140"/>
              <w:spacing w:after="0"/>
              <w:rPr>
                <w:sz w:val="20"/>
                <w:szCs w:val="20"/>
                <w:color w:val="auto"/>
              </w:rPr>
            </w:pPr>
            <w:r>
              <w:rPr>
                <w:rFonts w:ascii="Arial" w:cs="Arial" w:eastAsia="Arial" w:hAnsi="Arial"/>
                <w:sz w:val="18"/>
                <w:szCs w:val="18"/>
                <w:color w:val="auto"/>
              </w:rPr>
              <w:t>53.0%</w:t>
            </w:r>
          </w:p>
        </w:tc>
        <w:tc>
          <w:tcPr>
            <w:tcW w:w="120" w:type="dxa"/>
            <w:vAlign w:val="bottom"/>
          </w:tcPr>
          <w:p>
            <w:pPr>
              <w:spacing w:after="0"/>
              <w:rPr>
                <w:sz w:val="19"/>
                <w:szCs w:val="19"/>
                <w:color w:val="auto"/>
              </w:rPr>
            </w:pPr>
          </w:p>
        </w:tc>
        <w:tc>
          <w:tcPr>
            <w:tcW w:w="840" w:type="dxa"/>
            <w:vAlign w:val="bottom"/>
            <w:gridSpan w:val="2"/>
          </w:tcPr>
          <w:p>
            <w:pPr>
              <w:jc w:val="right"/>
              <w:ind w:right="80"/>
              <w:spacing w:after="0"/>
              <w:rPr>
                <w:sz w:val="20"/>
                <w:szCs w:val="20"/>
                <w:color w:val="auto"/>
              </w:rPr>
            </w:pPr>
            <w:r>
              <w:rPr>
                <w:rFonts w:ascii="Arial" w:cs="Arial" w:eastAsia="Arial" w:hAnsi="Arial"/>
                <w:sz w:val="18"/>
                <w:szCs w:val="18"/>
                <w:color w:val="auto"/>
              </w:rPr>
              <w:t>52.3%</w:t>
            </w:r>
          </w:p>
        </w:tc>
        <w:tc>
          <w:tcPr>
            <w:tcW w:w="8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1040" w:type="dxa"/>
            <w:vAlign w:val="bottom"/>
            <w:gridSpan w:val="2"/>
          </w:tcPr>
          <w:p>
            <w:pPr>
              <w:jc w:val="right"/>
              <w:ind w:right="160"/>
              <w:spacing w:after="0"/>
              <w:rPr>
                <w:sz w:val="20"/>
                <w:szCs w:val="20"/>
                <w:color w:val="auto"/>
              </w:rPr>
            </w:pPr>
            <w:r>
              <w:rPr>
                <w:rFonts w:ascii="Arial" w:cs="Arial" w:eastAsia="Arial" w:hAnsi="Arial"/>
                <w:sz w:val="18"/>
                <w:szCs w:val="18"/>
                <w:color w:val="auto"/>
              </w:rPr>
              <w:t>52.5%</w:t>
            </w:r>
          </w:p>
        </w:tc>
        <w:tc>
          <w:tcPr>
            <w:tcW w:w="100" w:type="dxa"/>
            <w:vAlign w:val="bottom"/>
          </w:tcPr>
          <w:p>
            <w:pPr>
              <w:spacing w:after="0"/>
              <w:rPr>
                <w:sz w:val="19"/>
                <w:szCs w:val="19"/>
                <w:color w:val="auto"/>
              </w:rPr>
            </w:pPr>
          </w:p>
        </w:tc>
        <w:tc>
          <w:tcPr>
            <w:tcW w:w="920" w:type="dxa"/>
            <w:vAlign w:val="bottom"/>
            <w:gridSpan w:val="2"/>
          </w:tcPr>
          <w:p>
            <w:pPr>
              <w:jc w:val="right"/>
              <w:ind w:right="60"/>
              <w:spacing w:after="0"/>
              <w:rPr>
                <w:sz w:val="20"/>
                <w:szCs w:val="20"/>
                <w:color w:val="auto"/>
              </w:rPr>
            </w:pPr>
            <w:r>
              <w:rPr>
                <w:rFonts w:ascii="Arial" w:cs="Arial" w:eastAsia="Arial" w:hAnsi="Arial"/>
                <w:sz w:val="18"/>
                <w:szCs w:val="18"/>
                <w:color w:val="auto"/>
              </w:rPr>
              <w:t>53.5%</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616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64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62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740" w:type="dxa"/>
            <w:vAlign w:val="bottom"/>
            <w:tcBorders>
              <w:top w:val="single" w:sz="8" w:color="auto"/>
              <w:bottom w:val="single" w:sz="8" w:color="auto"/>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0"/>
        </w:trPr>
        <w:tc>
          <w:tcPr>
            <w:tcW w:w="20" w:type="dxa"/>
            <w:vAlign w:val="bottom"/>
          </w:tcPr>
          <w:p>
            <w:pPr>
              <w:spacing w:after="0"/>
              <w:rPr>
                <w:sz w:val="18"/>
                <w:szCs w:val="18"/>
                <w:color w:val="auto"/>
              </w:rPr>
            </w:pPr>
          </w:p>
        </w:tc>
        <w:tc>
          <w:tcPr>
            <w:tcW w:w="6160" w:type="dxa"/>
            <w:vAlign w:val="bottom"/>
            <w:shd w:val="clear" w:color="auto" w:fill="CCEEFF"/>
          </w:tcPr>
          <w:p>
            <w:pPr>
              <w:spacing w:after="0"/>
              <w:rPr>
                <w:sz w:val="20"/>
                <w:szCs w:val="20"/>
                <w:color w:val="auto"/>
              </w:rPr>
            </w:pPr>
            <w:r>
              <w:rPr>
                <w:rFonts w:ascii="Arial" w:cs="Arial" w:eastAsia="Arial" w:hAnsi="Arial"/>
                <w:sz w:val="18"/>
                <w:szCs w:val="18"/>
                <w:color w:val="auto"/>
              </w:rPr>
              <w:t>GAAP research and development:</w:t>
            </w:r>
          </w:p>
        </w:tc>
        <w:tc>
          <w:tcPr>
            <w:tcW w:w="14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6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5"/>
              </w:rPr>
              <w:t>296,291</w:t>
            </w:r>
          </w:p>
        </w:tc>
        <w:tc>
          <w:tcPr>
            <w:tcW w:w="2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1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88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w w:val="86"/>
              </w:rPr>
              <w:t>292,642</w:t>
            </w:r>
          </w:p>
        </w:tc>
        <w:tc>
          <w:tcPr>
            <w:tcW w:w="120" w:type="dxa"/>
            <w:vAlign w:val="bottom"/>
            <w:shd w:val="clear" w:color="auto" w:fill="CCEEFF"/>
          </w:tcPr>
          <w:p>
            <w:pPr>
              <w:spacing w:after="0"/>
              <w:rPr>
                <w:sz w:val="20"/>
                <w:szCs w:val="20"/>
                <w:color w:val="auto"/>
              </w:rPr>
            </w:pPr>
            <w:r>
              <w:rPr>
                <w:rFonts w:ascii="Arial" w:cs="Arial" w:eastAsia="Arial" w:hAnsi="Arial"/>
                <w:sz w:val="18"/>
                <w:szCs w:val="18"/>
                <w:color w:val="auto"/>
                <w:w w:val="99"/>
              </w:rPr>
              <w:t>$</w:t>
            </w:r>
          </w:p>
        </w:tc>
        <w:tc>
          <w:tcPr>
            <w:tcW w:w="84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w w:val="92"/>
              </w:rPr>
              <w:t>263,615</w:t>
            </w:r>
          </w:p>
        </w:tc>
        <w:tc>
          <w:tcPr>
            <w:tcW w:w="1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04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rPr>
              <w:t>867,985</w:t>
            </w: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92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783,760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160" w:type="dxa"/>
            <w:vAlign w:val="bottom"/>
          </w:tcPr>
          <w:p>
            <w:pPr>
              <w:ind w:left="340"/>
              <w:spacing w:after="0"/>
              <w:rPr>
                <w:sz w:val="20"/>
                <w:szCs w:val="20"/>
                <w:color w:val="auto"/>
              </w:rPr>
            </w:pPr>
            <w:r>
              <w:rPr>
                <w:rFonts w:ascii="Arial" w:cs="Arial" w:eastAsia="Arial" w:hAnsi="Arial"/>
                <w:sz w:val="18"/>
                <w:szCs w:val="18"/>
                <w:color w:val="auto"/>
              </w:rPr>
              <w:t>Stock-based compensation</w:t>
            </w:r>
          </w:p>
        </w:tc>
        <w:tc>
          <w:tcPr>
            <w:tcW w:w="140" w:type="dxa"/>
            <w:vAlign w:val="bottom"/>
          </w:tcPr>
          <w:p>
            <w:pPr>
              <w:spacing w:after="0"/>
              <w:rPr>
                <w:sz w:val="18"/>
                <w:szCs w:val="18"/>
                <w:color w:val="auto"/>
              </w:rPr>
            </w:pPr>
          </w:p>
        </w:tc>
        <w:tc>
          <w:tcPr>
            <w:tcW w:w="940" w:type="dxa"/>
            <w:vAlign w:val="bottom"/>
            <w:gridSpan w:val="3"/>
          </w:tcPr>
          <w:p>
            <w:pPr>
              <w:jc w:val="right"/>
              <w:ind w:right="240"/>
              <w:spacing w:after="0"/>
              <w:rPr>
                <w:sz w:val="20"/>
                <w:szCs w:val="20"/>
                <w:color w:val="auto"/>
              </w:rPr>
            </w:pPr>
            <w:r>
              <w:rPr>
                <w:rFonts w:ascii="Arial" w:cs="Arial" w:eastAsia="Arial" w:hAnsi="Arial"/>
                <w:sz w:val="18"/>
                <w:szCs w:val="18"/>
                <w:color w:val="auto"/>
              </w:rPr>
              <w:t>(30,084)</w:t>
            </w:r>
          </w:p>
        </w:tc>
        <w:tc>
          <w:tcPr>
            <w:tcW w:w="100" w:type="dxa"/>
            <w:vAlign w:val="bottom"/>
          </w:tcPr>
          <w:p>
            <w:pPr>
              <w:spacing w:after="0"/>
              <w:rPr>
                <w:sz w:val="18"/>
                <w:szCs w:val="18"/>
                <w:color w:val="auto"/>
              </w:rPr>
            </w:pPr>
          </w:p>
        </w:tc>
        <w:tc>
          <w:tcPr>
            <w:tcW w:w="880" w:type="dxa"/>
            <w:vAlign w:val="bottom"/>
            <w:gridSpan w:val="2"/>
          </w:tcPr>
          <w:p>
            <w:pPr>
              <w:jc w:val="right"/>
              <w:ind w:right="240"/>
              <w:spacing w:after="0"/>
              <w:rPr>
                <w:sz w:val="20"/>
                <w:szCs w:val="20"/>
                <w:color w:val="auto"/>
              </w:rPr>
            </w:pPr>
            <w:r>
              <w:rPr>
                <w:rFonts w:ascii="Arial" w:cs="Arial" w:eastAsia="Arial" w:hAnsi="Arial"/>
                <w:sz w:val="18"/>
                <w:szCs w:val="18"/>
                <w:color w:val="auto"/>
                <w:w w:val="92"/>
              </w:rPr>
              <w:t>(28,982)</w:t>
            </w:r>
          </w:p>
        </w:tc>
        <w:tc>
          <w:tcPr>
            <w:tcW w:w="120" w:type="dxa"/>
            <w:vAlign w:val="bottom"/>
          </w:tcPr>
          <w:p>
            <w:pPr>
              <w:spacing w:after="0"/>
              <w:rPr>
                <w:sz w:val="18"/>
                <w:szCs w:val="18"/>
                <w:color w:val="auto"/>
              </w:rPr>
            </w:pPr>
          </w:p>
        </w:tc>
        <w:tc>
          <w:tcPr>
            <w:tcW w:w="840" w:type="dxa"/>
            <w:vAlign w:val="bottom"/>
            <w:gridSpan w:val="2"/>
          </w:tcPr>
          <w:p>
            <w:pPr>
              <w:jc w:val="right"/>
              <w:ind w:right="160"/>
              <w:spacing w:after="0"/>
              <w:rPr>
                <w:sz w:val="20"/>
                <w:szCs w:val="20"/>
                <w:color w:val="auto"/>
              </w:rPr>
            </w:pPr>
            <w:r>
              <w:rPr>
                <w:rFonts w:ascii="Arial" w:cs="Arial" w:eastAsia="Arial" w:hAnsi="Arial"/>
                <w:sz w:val="18"/>
                <w:szCs w:val="18"/>
                <w:color w:val="auto"/>
                <w:w w:val="98"/>
              </w:rPr>
              <w:t>(22,565)</w:t>
            </w:r>
          </w:p>
        </w:tc>
        <w:tc>
          <w:tcPr>
            <w:tcW w:w="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040" w:type="dxa"/>
            <w:vAlign w:val="bottom"/>
            <w:gridSpan w:val="2"/>
          </w:tcPr>
          <w:p>
            <w:pPr>
              <w:jc w:val="right"/>
              <w:ind w:right="240"/>
              <w:spacing w:after="0"/>
              <w:rPr>
                <w:sz w:val="20"/>
                <w:szCs w:val="20"/>
                <w:color w:val="auto"/>
              </w:rPr>
            </w:pPr>
            <w:r>
              <w:rPr>
                <w:rFonts w:ascii="Arial" w:cs="Arial" w:eastAsia="Arial" w:hAnsi="Arial"/>
                <w:sz w:val="18"/>
                <w:szCs w:val="18"/>
                <w:color w:val="auto"/>
              </w:rPr>
              <w:t>(82,345)</w:t>
            </w:r>
          </w:p>
        </w:tc>
        <w:tc>
          <w:tcPr>
            <w:tcW w:w="100" w:type="dxa"/>
            <w:vAlign w:val="bottom"/>
          </w:tcPr>
          <w:p>
            <w:pPr>
              <w:spacing w:after="0"/>
              <w:rPr>
                <w:sz w:val="18"/>
                <w:szCs w:val="18"/>
                <w:color w:val="auto"/>
              </w:rPr>
            </w:pPr>
          </w:p>
        </w:tc>
        <w:tc>
          <w:tcPr>
            <w:tcW w:w="920" w:type="dxa"/>
            <w:vAlign w:val="bottom"/>
            <w:gridSpan w:val="2"/>
          </w:tcPr>
          <w:p>
            <w:pPr>
              <w:jc w:val="right"/>
              <w:ind w:right="140"/>
              <w:spacing w:after="0"/>
              <w:rPr>
                <w:sz w:val="20"/>
                <w:szCs w:val="20"/>
                <w:color w:val="auto"/>
              </w:rPr>
            </w:pPr>
            <w:r>
              <w:rPr>
                <w:rFonts w:ascii="Arial" w:cs="Arial" w:eastAsia="Arial" w:hAnsi="Arial"/>
                <w:sz w:val="18"/>
                <w:szCs w:val="18"/>
                <w:color w:val="auto"/>
              </w:rPr>
              <w:t>(62,152)</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160" w:type="dxa"/>
            <w:vAlign w:val="bottom"/>
            <w:shd w:val="clear" w:color="auto" w:fill="CCEEFF"/>
          </w:tcPr>
          <w:p>
            <w:pPr>
              <w:ind w:left="340"/>
              <w:spacing w:after="0"/>
              <w:rPr>
                <w:sz w:val="20"/>
                <w:szCs w:val="20"/>
                <w:color w:val="auto"/>
              </w:rPr>
            </w:pPr>
            <w:r>
              <w:rPr>
                <w:rFonts w:ascii="Arial" w:cs="Arial" w:eastAsia="Arial" w:hAnsi="Arial"/>
                <w:sz w:val="18"/>
                <w:szCs w:val="18"/>
                <w:color w:val="auto"/>
              </w:rPr>
              <w:t xml:space="preserve">Acquisition-related costs </w:t>
            </w:r>
            <w:r>
              <w:rPr>
                <w:rFonts w:ascii="Arial" w:cs="Arial" w:eastAsia="Arial" w:hAnsi="Arial"/>
                <w:sz w:val="18"/>
                <w:szCs w:val="18"/>
                <w:i w:val="1"/>
                <w:iCs w:val="1"/>
                <w:color w:val="auto"/>
              </w:rPr>
              <w:t>(a)</w:t>
            </w:r>
          </w:p>
        </w:tc>
        <w:tc>
          <w:tcPr>
            <w:tcW w:w="140" w:type="dxa"/>
            <w:vAlign w:val="bottom"/>
            <w:shd w:val="clear" w:color="auto" w:fill="CCEEFF"/>
          </w:tcPr>
          <w:p>
            <w:pPr>
              <w:spacing w:after="0"/>
              <w:rPr>
                <w:sz w:val="18"/>
                <w:szCs w:val="18"/>
                <w:color w:val="auto"/>
              </w:rPr>
            </w:pPr>
          </w:p>
        </w:tc>
        <w:tc>
          <w:tcPr>
            <w:tcW w:w="940" w:type="dxa"/>
            <w:vAlign w:val="bottom"/>
            <w:gridSpan w:val="3"/>
            <w:shd w:val="clear" w:color="auto" w:fill="CCEEFF"/>
          </w:tcPr>
          <w:p>
            <w:pPr>
              <w:jc w:val="right"/>
              <w:ind w:right="240"/>
              <w:spacing w:after="0"/>
              <w:rPr>
                <w:sz w:val="20"/>
                <w:szCs w:val="20"/>
                <w:color w:val="auto"/>
              </w:rPr>
            </w:pPr>
            <w:r>
              <w:rPr>
                <w:rFonts w:ascii="Arial" w:cs="Arial" w:eastAsia="Arial" w:hAnsi="Arial"/>
                <w:sz w:val="18"/>
                <w:szCs w:val="18"/>
                <w:color w:val="auto"/>
              </w:rPr>
              <w:t>(414)</w:t>
            </w:r>
          </w:p>
        </w:tc>
        <w:tc>
          <w:tcPr>
            <w:tcW w:w="10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rPr>
              <w:t>1,135</w:t>
            </w:r>
          </w:p>
        </w:tc>
        <w:tc>
          <w:tcPr>
            <w:tcW w:w="120" w:type="dxa"/>
            <w:vAlign w:val="bottom"/>
            <w:shd w:val="clear" w:color="auto" w:fill="CCEEFF"/>
          </w:tcPr>
          <w:p>
            <w:pPr>
              <w:spacing w:after="0"/>
              <w:rPr>
                <w:sz w:val="18"/>
                <w:szCs w:val="18"/>
                <w:color w:val="auto"/>
              </w:rPr>
            </w:pPr>
          </w:p>
        </w:tc>
        <w:tc>
          <w:tcPr>
            <w:tcW w:w="84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(458)</w:t>
            </w:r>
          </w:p>
        </w:tc>
        <w:tc>
          <w:tcPr>
            <w:tcW w:w="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rPr>
              <w:t>321</w:t>
            </w:r>
          </w:p>
        </w:tc>
        <w:tc>
          <w:tcPr>
            <w:tcW w:w="10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(1,366)</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160" w:type="dxa"/>
            <w:vAlign w:val="bottom"/>
          </w:tcPr>
          <w:p>
            <w:pPr>
              <w:ind w:left="340"/>
              <w:spacing w:after="0"/>
              <w:rPr>
                <w:sz w:val="20"/>
                <w:szCs w:val="20"/>
                <w:color w:val="auto"/>
              </w:rPr>
            </w:pPr>
            <w:r>
              <w:rPr>
                <w:rFonts w:ascii="Arial" w:cs="Arial" w:eastAsia="Arial" w:hAnsi="Arial"/>
                <w:sz w:val="18"/>
                <w:szCs w:val="18"/>
                <w:color w:val="auto"/>
              </w:rPr>
              <w:t xml:space="preserve">Restructuring and other exit-related costs </w:t>
            </w:r>
            <w:r>
              <w:rPr>
                <w:rFonts w:ascii="Arial" w:cs="Arial" w:eastAsia="Arial" w:hAnsi="Arial"/>
                <w:sz w:val="18"/>
                <w:szCs w:val="18"/>
                <w:i w:val="1"/>
                <w:iCs w:val="1"/>
                <w:color w:val="auto"/>
              </w:rPr>
              <w:t>(b)</w:t>
            </w:r>
          </w:p>
        </w:tc>
        <w:tc>
          <w:tcPr>
            <w:tcW w:w="140" w:type="dxa"/>
            <w:vAlign w:val="bottom"/>
          </w:tcPr>
          <w:p>
            <w:pPr>
              <w:spacing w:after="0"/>
              <w:rPr>
                <w:sz w:val="18"/>
                <w:szCs w:val="18"/>
                <w:color w:val="auto"/>
              </w:rPr>
            </w:pPr>
          </w:p>
        </w:tc>
        <w:tc>
          <w:tcPr>
            <w:tcW w:w="940" w:type="dxa"/>
            <w:vAlign w:val="bottom"/>
            <w:gridSpan w:val="3"/>
          </w:tcPr>
          <w:p>
            <w:pPr>
              <w:jc w:val="right"/>
              <w:ind w:right="240"/>
              <w:spacing w:after="0"/>
              <w:rPr>
                <w:sz w:val="20"/>
                <w:szCs w:val="20"/>
                <w:color w:val="auto"/>
              </w:rPr>
            </w:pPr>
            <w:r>
              <w:rPr>
                <w:rFonts w:ascii="Arial" w:cs="Arial" w:eastAsia="Arial" w:hAnsi="Arial"/>
                <w:sz w:val="18"/>
                <w:szCs w:val="18"/>
                <w:color w:val="auto"/>
              </w:rPr>
              <w:t>(4,613)</w:t>
            </w:r>
          </w:p>
        </w:tc>
        <w:tc>
          <w:tcPr>
            <w:tcW w:w="100" w:type="dxa"/>
            <w:vAlign w:val="bottom"/>
          </w:tcPr>
          <w:p>
            <w:pPr>
              <w:spacing w:after="0"/>
              <w:rPr>
                <w:sz w:val="18"/>
                <w:szCs w:val="18"/>
                <w:color w:val="auto"/>
              </w:rPr>
            </w:pPr>
          </w:p>
        </w:tc>
        <w:tc>
          <w:tcPr>
            <w:tcW w:w="880" w:type="dxa"/>
            <w:vAlign w:val="bottom"/>
            <w:gridSpan w:val="2"/>
          </w:tcPr>
          <w:p>
            <w:pPr>
              <w:jc w:val="right"/>
              <w:ind w:right="380"/>
              <w:spacing w:after="0"/>
              <w:rPr>
                <w:sz w:val="20"/>
                <w:szCs w:val="20"/>
                <w:color w:val="auto"/>
              </w:rPr>
            </w:pPr>
            <w:r>
              <w:rPr>
                <w:rFonts w:ascii="Arial" w:cs="Arial" w:eastAsia="Arial" w:hAnsi="Arial"/>
                <w:sz w:val="18"/>
                <w:szCs w:val="18"/>
                <w:color w:val="auto"/>
              </w:rPr>
              <w:t>—</w:t>
            </w:r>
          </w:p>
        </w:tc>
        <w:tc>
          <w:tcPr>
            <w:tcW w:w="120" w:type="dxa"/>
            <w:vAlign w:val="bottom"/>
          </w:tcPr>
          <w:p>
            <w:pPr>
              <w:spacing w:after="0"/>
              <w:rPr>
                <w:sz w:val="18"/>
                <w:szCs w:val="18"/>
                <w:color w:val="auto"/>
              </w:rPr>
            </w:pPr>
          </w:p>
        </w:tc>
        <w:tc>
          <w:tcPr>
            <w:tcW w:w="840" w:type="dxa"/>
            <w:vAlign w:val="bottom"/>
            <w:gridSpan w:val="2"/>
          </w:tcPr>
          <w:p>
            <w:pPr>
              <w:jc w:val="right"/>
              <w:ind w:right="160"/>
              <w:spacing w:after="0"/>
              <w:rPr>
                <w:sz w:val="20"/>
                <w:szCs w:val="20"/>
                <w:color w:val="auto"/>
              </w:rPr>
            </w:pPr>
            <w:r>
              <w:rPr>
                <w:rFonts w:ascii="Arial" w:cs="Arial" w:eastAsia="Arial" w:hAnsi="Arial"/>
                <w:sz w:val="18"/>
                <w:szCs w:val="18"/>
                <w:color w:val="auto"/>
              </w:rPr>
              <w:t>(2)</w:t>
            </w:r>
          </w:p>
        </w:tc>
        <w:tc>
          <w:tcPr>
            <w:tcW w:w="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040" w:type="dxa"/>
            <w:vAlign w:val="bottom"/>
            <w:gridSpan w:val="2"/>
          </w:tcPr>
          <w:p>
            <w:pPr>
              <w:jc w:val="right"/>
              <w:ind w:right="240"/>
              <w:spacing w:after="0"/>
              <w:rPr>
                <w:sz w:val="20"/>
                <w:szCs w:val="20"/>
                <w:color w:val="auto"/>
              </w:rPr>
            </w:pPr>
            <w:r>
              <w:rPr>
                <w:rFonts w:ascii="Arial" w:cs="Arial" w:eastAsia="Arial" w:hAnsi="Arial"/>
                <w:sz w:val="18"/>
                <w:szCs w:val="18"/>
                <w:color w:val="auto"/>
              </w:rPr>
              <w:t>(4,613)</w:t>
            </w:r>
          </w:p>
        </w:tc>
        <w:tc>
          <w:tcPr>
            <w:tcW w:w="100" w:type="dxa"/>
            <w:vAlign w:val="bottom"/>
          </w:tcPr>
          <w:p>
            <w:pPr>
              <w:spacing w:after="0"/>
              <w:rPr>
                <w:sz w:val="18"/>
                <w:szCs w:val="18"/>
                <w:color w:val="auto"/>
              </w:rPr>
            </w:pPr>
          </w:p>
        </w:tc>
        <w:tc>
          <w:tcPr>
            <w:tcW w:w="920" w:type="dxa"/>
            <w:vAlign w:val="bottom"/>
            <w:gridSpan w:val="2"/>
          </w:tcPr>
          <w:p>
            <w:pPr>
              <w:jc w:val="right"/>
              <w:ind w:right="140"/>
              <w:spacing w:after="0"/>
              <w:rPr>
                <w:sz w:val="20"/>
                <w:szCs w:val="20"/>
                <w:color w:val="auto"/>
              </w:rPr>
            </w:pPr>
            <w:r>
              <w:rPr>
                <w:rFonts w:ascii="Arial" w:cs="Arial" w:eastAsia="Arial" w:hAnsi="Arial"/>
                <w:sz w:val="18"/>
                <w:szCs w:val="18"/>
                <w:color w:val="auto"/>
              </w:rPr>
              <w:t>(46)</w:t>
            </w:r>
          </w:p>
        </w:tc>
        <w:tc>
          <w:tcPr>
            <w:tcW w:w="0" w:type="dxa"/>
            <w:vAlign w:val="bottom"/>
          </w:tcPr>
          <w:p>
            <w:pPr>
              <w:spacing w:after="0"/>
              <w:rPr>
                <w:sz w:val="1"/>
                <w:szCs w:val="1"/>
                <w:color w:val="auto"/>
              </w:rPr>
            </w:pPr>
          </w:p>
        </w:tc>
      </w:tr>
      <w:tr>
        <w:trPr>
          <w:trHeight w:val="27"/>
        </w:trPr>
        <w:tc>
          <w:tcPr>
            <w:tcW w:w="20" w:type="dxa"/>
            <w:vAlign w:val="bottom"/>
            <w:vMerge w:val="restart"/>
          </w:tcPr>
          <w:p>
            <w:pPr>
              <w:spacing w:after="0"/>
              <w:rPr>
                <w:sz w:val="2"/>
                <w:szCs w:val="2"/>
                <w:color w:val="auto"/>
              </w:rPr>
            </w:pPr>
          </w:p>
        </w:tc>
        <w:tc>
          <w:tcPr>
            <w:tcW w:w="6160" w:type="dxa"/>
            <w:vAlign w:val="bottom"/>
          </w:tcPr>
          <w:p>
            <w:pPr>
              <w:spacing w:after="0"/>
              <w:rPr>
                <w:sz w:val="2"/>
                <w:szCs w:val="2"/>
                <w:color w:val="auto"/>
              </w:rPr>
            </w:pPr>
          </w:p>
        </w:tc>
        <w:tc>
          <w:tcPr>
            <w:tcW w:w="140" w:type="dxa"/>
            <w:vAlign w:val="bottom"/>
            <w:shd w:val="clear" w:color="auto" w:fill="000000"/>
          </w:tcPr>
          <w:p>
            <w:pPr>
              <w:spacing w:after="0"/>
              <w:rPr>
                <w:sz w:val="2"/>
                <w:szCs w:val="2"/>
                <w:color w:val="auto"/>
              </w:rPr>
            </w:pPr>
          </w:p>
        </w:tc>
        <w:tc>
          <w:tcPr>
            <w:tcW w:w="640" w:type="dxa"/>
            <w:vAlign w:val="bottom"/>
            <w:shd w:val="clear" w:color="auto" w:fill="000000"/>
          </w:tcPr>
          <w:p>
            <w:pPr>
              <w:spacing w:after="0"/>
              <w:rPr>
                <w:sz w:val="2"/>
                <w:szCs w:val="2"/>
                <w:color w:val="auto"/>
              </w:rPr>
            </w:pPr>
          </w:p>
        </w:tc>
        <w:tc>
          <w:tcPr>
            <w:tcW w:w="20" w:type="dxa"/>
            <w:vAlign w:val="bottom"/>
          </w:tcPr>
          <w:p>
            <w:pPr>
              <w:spacing w:after="0"/>
              <w:rPr>
                <w:sz w:val="2"/>
                <w:szCs w:val="2"/>
                <w:color w:val="auto"/>
              </w:rPr>
            </w:pPr>
          </w:p>
        </w:tc>
        <w:tc>
          <w:tcPr>
            <w:tcW w:w="28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580" w:type="dxa"/>
            <w:vAlign w:val="bottom"/>
            <w:shd w:val="clear" w:color="auto" w:fill="000000"/>
          </w:tcPr>
          <w:p>
            <w:pPr>
              <w:spacing w:after="0"/>
              <w:rPr>
                <w:sz w:val="2"/>
                <w:szCs w:val="2"/>
                <w:color w:val="auto"/>
              </w:rPr>
            </w:pPr>
          </w:p>
        </w:tc>
        <w:tc>
          <w:tcPr>
            <w:tcW w:w="300" w:type="dxa"/>
            <w:vAlign w:val="bottom"/>
          </w:tcPr>
          <w:p>
            <w:pPr>
              <w:spacing w:after="0"/>
              <w:rPr>
                <w:sz w:val="2"/>
                <w:szCs w:val="2"/>
                <w:color w:val="auto"/>
              </w:rPr>
            </w:pPr>
          </w:p>
        </w:tc>
        <w:tc>
          <w:tcPr>
            <w:tcW w:w="120" w:type="dxa"/>
            <w:vAlign w:val="bottom"/>
            <w:shd w:val="clear" w:color="auto" w:fill="000000"/>
          </w:tcPr>
          <w:p>
            <w:pPr>
              <w:spacing w:after="0"/>
              <w:rPr>
                <w:sz w:val="2"/>
                <w:szCs w:val="2"/>
                <w:color w:val="auto"/>
              </w:rPr>
            </w:pPr>
          </w:p>
        </w:tc>
        <w:tc>
          <w:tcPr>
            <w:tcW w:w="620" w:type="dxa"/>
            <w:vAlign w:val="bottom"/>
            <w:shd w:val="clear" w:color="auto" w:fill="000000"/>
          </w:tcPr>
          <w:p>
            <w:pPr>
              <w:spacing w:after="0"/>
              <w:rPr>
                <w:sz w:val="2"/>
                <w:szCs w:val="2"/>
                <w:color w:val="auto"/>
              </w:rPr>
            </w:pPr>
          </w:p>
        </w:tc>
        <w:tc>
          <w:tcPr>
            <w:tcW w:w="220" w:type="dxa"/>
            <w:vAlign w:val="bottom"/>
          </w:tcPr>
          <w:p>
            <w:pPr>
              <w:spacing w:after="0"/>
              <w:rPr>
                <w:sz w:val="2"/>
                <w:szCs w:val="2"/>
                <w:color w:val="auto"/>
              </w:rPr>
            </w:pPr>
          </w:p>
        </w:tc>
        <w:tc>
          <w:tcPr>
            <w:tcW w:w="8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740" w:type="dxa"/>
            <w:vAlign w:val="bottom"/>
            <w:shd w:val="clear" w:color="auto" w:fill="000000"/>
          </w:tcPr>
          <w:p>
            <w:pPr>
              <w:spacing w:after="0"/>
              <w:rPr>
                <w:sz w:val="2"/>
                <w:szCs w:val="2"/>
                <w:color w:val="auto"/>
              </w:rPr>
            </w:pPr>
          </w:p>
        </w:tc>
        <w:tc>
          <w:tcPr>
            <w:tcW w:w="30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720" w:type="dxa"/>
            <w:vAlign w:val="bottom"/>
            <w:shd w:val="clear" w:color="auto" w:fill="000000"/>
          </w:tcPr>
          <w:p>
            <w:pPr>
              <w:spacing w:after="0"/>
              <w:rPr>
                <w:sz w:val="2"/>
                <w:szCs w:val="2"/>
                <w:color w:val="auto"/>
              </w:rPr>
            </w:pPr>
          </w:p>
        </w:tc>
        <w:tc>
          <w:tcPr>
            <w:tcW w:w="2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6160" w:type="dxa"/>
            <w:vAlign w:val="bottom"/>
            <w:shd w:val="clear" w:color="auto" w:fill="CCEEFF"/>
          </w:tcPr>
          <w:p>
            <w:pPr>
              <w:spacing w:after="0"/>
              <w:rPr>
                <w:sz w:val="20"/>
                <w:szCs w:val="20"/>
                <w:color w:val="auto"/>
              </w:rPr>
            </w:pPr>
            <w:r>
              <w:rPr>
                <w:rFonts w:ascii="Arial" w:cs="Arial" w:eastAsia="Arial" w:hAnsi="Arial"/>
                <w:sz w:val="18"/>
                <w:szCs w:val="18"/>
                <w:color w:val="auto"/>
              </w:rPr>
              <w:t>Non-GAAP research and development</w:t>
            </w:r>
          </w:p>
        </w:tc>
        <w:tc>
          <w:tcPr>
            <w:tcW w:w="14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6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5"/>
              </w:rPr>
              <w:t>261,180</w:t>
            </w:r>
          </w:p>
        </w:tc>
        <w:tc>
          <w:tcPr>
            <w:tcW w:w="2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100" w:type="dxa"/>
            <w:vAlign w:val="bottom"/>
            <w:shd w:val="clear" w:color="auto" w:fill="CCEEFF"/>
          </w:tcPr>
          <w:p>
            <w:pPr>
              <w:jc w:val="right"/>
              <w:spacing w:after="0"/>
              <w:rPr>
                <w:sz w:val="20"/>
                <w:szCs w:val="20"/>
                <w:color w:val="auto"/>
              </w:rPr>
            </w:pPr>
            <w:r>
              <w:rPr>
                <w:rFonts w:ascii="Arial" w:cs="Arial" w:eastAsia="Arial" w:hAnsi="Arial"/>
                <w:sz w:val="18"/>
                <w:szCs w:val="18"/>
                <w:u w:val="single" w:color="auto"/>
                <w:color w:val="auto"/>
                <w:w w:val="79"/>
              </w:rPr>
              <w:t>$</w:t>
            </w:r>
          </w:p>
        </w:tc>
        <w:tc>
          <w:tcPr>
            <w:tcW w:w="88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w w:val="86"/>
              </w:rPr>
              <w:t>264,795</w:t>
            </w:r>
          </w:p>
        </w:tc>
        <w:tc>
          <w:tcPr>
            <w:tcW w:w="120" w:type="dxa"/>
            <w:vAlign w:val="bottom"/>
            <w:shd w:val="clear" w:color="auto" w:fill="CCEEFF"/>
          </w:tcPr>
          <w:p>
            <w:pPr>
              <w:spacing w:after="0"/>
              <w:rPr>
                <w:sz w:val="20"/>
                <w:szCs w:val="20"/>
                <w:color w:val="auto"/>
              </w:rPr>
            </w:pPr>
            <w:r>
              <w:rPr>
                <w:rFonts w:ascii="Arial" w:cs="Arial" w:eastAsia="Arial" w:hAnsi="Arial"/>
                <w:sz w:val="18"/>
                <w:szCs w:val="18"/>
                <w:color w:val="auto"/>
                <w:w w:val="99"/>
              </w:rPr>
              <w:t>$</w:t>
            </w:r>
          </w:p>
        </w:tc>
        <w:tc>
          <w:tcPr>
            <w:tcW w:w="84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w w:val="92"/>
              </w:rPr>
              <w:t>240,590</w:t>
            </w:r>
          </w:p>
        </w:tc>
        <w:tc>
          <w:tcPr>
            <w:tcW w:w="1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04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rPr>
              <w:t>781,348</w:t>
            </w: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92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720,196</w:t>
            </w:r>
          </w:p>
        </w:tc>
        <w:tc>
          <w:tcPr>
            <w:tcW w:w="0" w:type="dxa"/>
            <w:vAlign w:val="bottom"/>
          </w:tcPr>
          <w:p>
            <w:pPr>
              <w:spacing w:after="0"/>
              <w:rPr>
                <w:sz w:val="1"/>
                <w:szCs w:val="1"/>
                <w:color w:val="auto"/>
              </w:rPr>
            </w:pPr>
          </w:p>
        </w:tc>
      </w:tr>
      <w:tr>
        <w:trPr>
          <w:trHeight w:val="20"/>
        </w:trPr>
        <w:tc>
          <w:tcPr>
            <w:tcW w:w="6180" w:type="dxa"/>
            <w:vAlign w:val="bottom"/>
            <w:gridSpan w:val="2"/>
            <w:vMerge w:val="restart"/>
          </w:tcPr>
          <w:p>
            <w:pPr>
              <w:spacing w:after="0"/>
              <w:rPr>
                <w:sz w:val="20"/>
                <w:szCs w:val="20"/>
                <w:color w:val="auto"/>
              </w:rPr>
            </w:pPr>
            <w:r>
              <w:rPr>
                <w:rFonts w:ascii="Arial" w:cs="Arial" w:eastAsia="Arial" w:hAnsi="Arial"/>
                <w:sz w:val="18"/>
                <w:szCs w:val="18"/>
                <w:color w:val="auto"/>
              </w:rPr>
              <w:t>GAAP selling and marketing:</w:t>
            </w:r>
          </w:p>
        </w:tc>
        <w:tc>
          <w:tcPr>
            <w:tcW w:w="140" w:type="dxa"/>
            <w:vAlign w:val="bottom"/>
            <w:tcBorders>
              <w:top w:val="single" w:sz="8" w:color="auto"/>
              <w:bottom w:val="single" w:sz="8" w:color="auto"/>
            </w:tcBorders>
          </w:tcPr>
          <w:p>
            <w:pPr>
              <w:spacing w:after="0" w:line="20" w:lineRule="exact"/>
              <w:rPr>
                <w:sz w:val="1"/>
                <w:szCs w:val="1"/>
                <w:color w:val="auto"/>
              </w:rPr>
            </w:pPr>
          </w:p>
        </w:tc>
        <w:tc>
          <w:tcPr>
            <w:tcW w:w="64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62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740" w:type="dxa"/>
            <w:vAlign w:val="bottom"/>
            <w:tcBorders>
              <w:top w:val="single" w:sz="8" w:color="auto"/>
              <w:bottom w:val="single" w:sz="8" w:color="auto"/>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0"/>
        </w:trPr>
        <w:tc>
          <w:tcPr>
            <w:tcW w:w="6180" w:type="dxa"/>
            <w:vAlign w:val="bottom"/>
            <w:gridSpan w:val="2"/>
            <w:vMerge w:val="continue"/>
          </w:tcPr>
          <w:p>
            <w:pPr>
              <w:spacing w:after="0"/>
              <w:rPr>
                <w:sz w:val="18"/>
                <w:szCs w:val="18"/>
                <w:color w:val="auto"/>
              </w:rPr>
            </w:pPr>
          </w:p>
        </w:tc>
        <w:tc>
          <w:tcPr>
            <w:tcW w:w="140" w:type="dxa"/>
            <w:vAlign w:val="bottom"/>
          </w:tcPr>
          <w:p>
            <w:pPr>
              <w:spacing w:after="0"/>
              <w:rPr>
                <w:sz w:val="20"/>
                <w:szCs w:val="20"/>
                <w:color w:val="auto"/>
              </w:rPr>
            </w:pPr>
            <w:r>
              <w:rPr>
                <w:rFonts w:ascii="Arial" w:cs="Arial" w:eastAsia="Arial" w:hAnsi="Arial"/>
                <w:sz w:val="18"/>
                <w:szCs w:val="18"/>
                <w:color w:val="auto"/>
              </w:rPr>
              <w:t>$</w:t>
            </w:r>
          </w:p>
        </w:tc>
        <w:tc>
          <w:tcPr>
            <w:tcW w:w="640" w:type="dxa"/>
            <w:vAlign w:val="bottom"/>
          </w:tcPr>
          <w:p>
            <w:pPr>
              <w:jc w:val="right"/>
              <w:spacing w:after="0"/>
              <w:rPr>
                <w:sz w:val="20"/>
                <w:szCs w:val="20"/>
                <w:color w:val="auto"/>
              </w:rPr>
            </w:pPr>
            <w:r>
              <w:rPr>
                <w:rFonts w:ascii="Arial" w:cs="Arial" w:eastAsia="Arial" w:hAnsi="Arial"/>
                <w:sz w:val="18"/>
                <w:szCs w:val="18"/>
                <w:color w:val="auto"/>
              </w:rPr>
              <w:t>37,496</w:t>
            </w:r>
          </w:p>
        </w:tc>
        <w:tc>
          <w:tcPr>
            <w:tcW w:w="2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10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580" w:type="dxa"/>
            <w:vAlign w:val="bottom"/>
          </w:tcPr>
          <w:p>
            <w:pPr>
              <w:jc w:val="right"/>
              <w:spacing w:after="0"/>
              <w:rPr>
                <w:sz w:val="20"/>
                <w:szCs w:val="20"/>
                <w:color w:val="auto"/>
              </w:rPr>
            </w:pPr>
            <w:r>
              <w:rPr>
                <w:rFonts w:ascii="Arial" w:cs="Arial" w:eastAsia="Arial" w:hAnsi="Arial"/>
                <w:sz w:val="18"/>
                <w:szCs w:val="18"/>
                <w:color w:val="auto"/>
              </w:rPr>
              <w:t>38,548</w:t>
            </w:r>
          </w:p>
        </w:tc>
        <w:tc>
          <w:tcPr>
            <w:tcW w:w="300" w:type="dxa"/>
            <w:vAlign w:val="bottom"/>
          </w:tcPr>
          <w:p>
            <w:pPr>
              <w:spacing w:after="0"/>
              <w:rPr>
                <w:sz w:val="18"/>
                <w:szCs w:val="18"/>
                <w:color w:val="auto"/>
              </w:rPr>
            </w:pPr>
          </w:p>
        </w:tc>
        <w:tc>
          <w:tcPr>
            <w:tcW w:w="120" w:type="dxa"/>
            <w:vAlign w:val="bottom"/>
          </w:tcPr>
          <w:p>
            <w:pPr>
              <w:spacing w:after="0"/>
              <w:rPr>
                <w:sz w:val="20"/>
                <w:szCs w:val="20"/>
                <w:color w:val="auto"/>
              </w:rPr>
            </w:pPr>
            <w:r>
              <w:rPr>
                <w:rFonts w:ascii="Arial" w:cs="Arial" w:eastAsia="Arial" w:hAnsi="Arial"/>
                <w:sz w:val="18"/>
                <w:szCs w:val="18"/>
                <w:color w:val="auto"/>
                <w:w w:val="99"/>
              </w:rPr>
              <w:t>$</w:t>
            </w:r>
          </w:p>
        </w:tc>
        <w:tc>
          <w:tcPr>
            <w:tcW w:w="620" w:type="dxa"/>
            <w:vAlign w:val="bottom"/>
          </w:tcPr>
          <w:p>
            <w:pPr>
              <w:jc w:val="right"/>
              <w:spacing w:after="0"/>
              <w:rPr>
                <w:sz w:val="20"/>
                <w:szCs w:val="20"/>
                <w:color w:val="auto"/>
              </w:rPr>
            </w:pPr>
            <w:r>
              <w:rPr>
                <w:rFonts w:ascii="Arial" w:cs="Arial" w:eastAsia="Arial" w:hAnsi="Arial"/>
                <w:sz w:val="18"/>
                <w:szCs w:val="18"/>
                <w:color w:val="auto"/>
              </w:rPr>
              <w:t>38,398</w:t>
            </w:r>
          </w:p>
        </w:tc>
        <w:tc>
          <w:tcPr>
            <w:tcW w:w="2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8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740" w:type="dxa"/>
            <w:vAlign w:val="bottom"/>
          </w:tcPr>
          <w:p>
            <w:pPr>
              <w:jc w:val="right"/>
              <w:spacing w:after="0"/>
              <w:rPr>
                <w:sz w:val="20"/>
                <w:szCs w:val="20"/>
                <w:color w:val="auto"/>
              </w:rPr>
            </w:pPr>
            <w:r>
              <w:rPr>
                <w:rFonts w:ascii="Arial" w:cs="Arial" w:eastAsia="Arial" w:hAnsi="Arial"/>
                <w:sz w:val="18"/>
                <w:szCs w:val="18"/>
                <w:color w:val="auto"/>
              </w:rPr>
              <w:t>116,033</w:t>
            </w:r>
          </w:p>
        </w:tc>
        <w:tc>
          <w:tcPr>
            <w:tcW w:w="300" w:type="dxa"/>
            <w:vAlign w:val="bottom"/>
          </w:tcPr>
          <w:p>
            <w:pPr>
              <w:spacing w:after="0"/>
              <w:rPr>
                <w:sz w:val="18"/>
                <w:szCs w:val="18"/>
                <w:color w:val="auto"/>
              </w:rPr>
            </w:pPr>
          </w:p>
        </w:tc>
        <w:tc>
          <w:tcPr>
            <w:tcW w:w="10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720" w:type="dxa"/>
            <w:vAlign w:val="bottom"/>
          </w:tcPr>
          <w:p>
            <w:pPr>
              <w:jc w:val="right"/>
              <w:spacing w:after="0"/>
              <w:rPr>
                <w:sz w:val="20"/>
                <w:szCs w:val="20"/>
                <w:color w:val="auto"/>
              </w:rPr>
            </w:pPr>
            <w:r>
              <w:rPr>
                <w:rFonts w:ascii="Arial" w:cs="Arial" w:eastAsia="Arial" w:hAnsi="Arial"/>
                <w:sz w:val="18"/>
                <w:szCs w:val="18"/>
                <w:color w:val="auto"/>
              </w:rPr>
              <w:t>119,498</w:t>
            </w:r>
          </w:p>
        </w:tc>
        <w:tc>
          <w:tcPr>
            <w:tcW w:w="2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160" w:type="dxa"/>
            <w:vAlign w:val="bottom"/>
            <w:shd w:val="clear" w:color="auto" w:fill="CCEEFF"/>
          </w:tcPr>
          <w:p>
            <w:pPr>
              <w:ind w:left="340"/>
              <w:spacing w:after="0"/>
              <w:rPr>
                <w:sz w:val="20"/>
                <w:szCs w:val="20"/>
                <w:color w:val="auto"/>
              </w:rPr>
            </w:pPr>
            <w:r>
              <w:rPr>
                <w:rFonts w:ascii="Arial" w:cs="Arial" w:eastAsia="Arial" w:hAnsi="Arial"/>
                <w:sz w:val="18"/>
                <w:szCs w:val="18"/>
                <w:color w:val="auto"/>
              </w:rPr>
              <w:t>Stock-based compensation</w:t>
            </w:r>
          </w:p>
        </w:tc>
        <w:tc>
          <w:tcPr>
            <w:tcW w:w="140" w:type="dxa"/>
            <w:vAlign w:val="bottom"/>
            <w:shd w:val="clear" w:color="auto" w:fill="CCEEFF"/>
          </w:tcPr>
          <w:p>
            <w:pPr>
              <w:spacing w:after="0"/>
              <w:rPr>
                <w:sz w:val="18"/>
                <w:szCs w:val="18"/>
                <w:color w:val="auto"/>
              </w:rPr>
            </w:pPr>
          </w:p>
        </w:tc>
        <w:tc>
          <w:tcPr>
            <w:tcW w:w="940" w:type="dxa"/>
            <w:vAlign w:val="bottom"/>
            <w:gridSpan w:val="3"/>
            <w:shd w:val="clear" w:color="auto" w:fill="CCEEFF"/>
          </w:tcPr>
          <w:p>
            <w:pPr>
              <w:jc w:val="right"/>
              <w:ind w:right="240"/>
              <w:spacing w:after="0"/>
              <w:rPr>
                <w:sz w:val="20"/>
                <w:szCs w:val="20"/>
                <w:color w:val="auto"/>
              </w:rPr>
            </w:pPr>
            <w:r>
              <w:rPr>
                <w:rFonts w:ascii="Arial" w:cs="Arial" w:eastAsia="Arial" w:hAnsi="Arial"/>
                <w:sz w:val="18"/>
                <w:szCs w:val="18"/>
                <w:color w:val="auto"/>
              </w:rPr>
              <w:t>(3,738)</w:t>
            </w:r>
          </w:p>
        </w:tc>
        <w:tc>
          <w:tcPr>
            <w:tcW w:w="10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(3,648)</w:t>
            </w:r>
          </w:p>
        </w:tc>
        <w:tc>
          <w:tcPr>
            <w:tcW w:w="120" w:type="dxa"/>
            <w:vAlign w:val="bottom"/>
            <w:shd w:val="clear" w:color="auto" w:fill="CCEEFF"/>
          </w:tcPr>
          <w:p>
            <w:pPr>
              <w:spacing w:after="0"/>
              <w:rPr>
                <w:sz w:val="18"/>
                <w:szCs w:val="18"/>
                <w:color w:val="auto"/>
              </w:rPr>
            </w:pPr>
          </w:p>
        </w:tc>
        <w:tc>
          <w:tcPr>
            <w:tcW w:w="84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(3,101)</w:t>
            </w:r>
          </w:p>
        </w:tc>
        <w:tc>
          <w:tcPr>
            <w:tcW w:w="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(10,778)</w:t>
            </w:r>
          </w:p>
        </w:tc>
        <w:tc>
          <w:tcPr>
            <w:tcW w:w="10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(9,595)</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160" w:type="dxa"/>
            <w:vAlign w:val="bottom"/>
          </w:tcPr>
          <w:p>
            <w:pPr>
              <w:ind w:left="340"/>
              <w:spacing w:after="0"/>
              <w:rPr>
                <w:sz w:val="20"/>
                <w:szCs w:val="20"/>
                <w:color w:val="auto"/>
              </w:rPr>
            </w:pPr>
            <w:r>
              <w:rPr>
                <w:rFonts w:ascii="Arial" w:cs="Arial" w:eastAsia="Arial" w:hAnsi="Arial"/>
                <w:sz w:val="18"/>
                <w:szCs w:val="18"/>
                <w:color w:val="auto"/>
              </w:rPr>
              <w:t xml:space="preserve">Acquisition-related costs </w:t>
            </w:r>
            <w:r>
              <w:rPr>
                <w:rFonts w:ascii="Arial" w:cs="Arial" w:eastAsia="Arial" w:hAnsi="Arial"/>
                <w:sz w:val="18"/>
                <w:szCs w:val="18"/>
                <w:i w:val="1"/>
                <w:iCs w:val="1"/>
                <w:color w:val="auto"/>
              </w:rPr>
              <w:t>(a)</w:t>
            </w:r>
          </w:p>
        </w:tc>
        <w:tc>
          <w:tcPr>
            <w:tcW w:w="140" w:type="dxa"/>
            <w:vAlign w:val="bottom"/>
          </w:tcPr>
          <w:p>
            <w:pPr>
              <w:spacing w:after="0"/>
              <w:rPr>
                <w:sz w:val="18"/>
                <w:szCs w:val="18"/>
                <w:color w:val="auto"/>
              </w:rPr>
            </w:pPr>
          </w:p>
        </w:tc>
        <w:tc>
          <w:tcPr>
            <w:tcW w:w="940" w:type="dxa"/>
            <w:vAlign w:val="bottom"/>
            <w:gridSpan w:val="3"/>
          </w:tcPr>
          <w:p>
            <w:pPr>
              <w:jc w:val="right"/>
              <w:ind w:right="380"/>
              <w:spacing w:after="0"/>
              <w:rPr>
                <w:sz w:val="20"/>
                <w:szCs w:val="20"/>
                <w:color w:val="auto"/>
              </w:rPr>
            </w:pPr>
            <w:r>
              <w:rPr>
                <w:rFonts w:ascii="Arial" w:cs="Arial" w:eastAsia="Arial" w:hAnsi="Arial"/>
                <w:sz w:val="18"/>
                <w:szCs w:val="18"/>
                <w:color w:val="auto"/>
              </w:rPr>
              <w:t>—</w:t>
            </w:r>
          </w:p>
        </w:tc>
        <w:tc>
          <w:tcPr>
            <w:tcW w:w="100" w:type="dxa"/>
            <w:vAlign w:val="bottom"/>
          </w:tcPr>
          <w:p>
            <w:pPr>
              <w:spacing w:after="0"/>
              <w:rPr>
                <w:sz w:val="18"/>
                <w:szCs w:val="18"/>
                <w:color w:val="auto"/>
              </w:rPr>
            </w:pPr>
          </w:p>
        </w:tc>
        <w:tc>
          <w:tcPr>
            <w:tcW w:w="880" w:type="dxa"/>
            <w:vAlign w:val="bottom"/>
            <w:gridSpan w:val="2"/>
          </w:tcPr>
          <w:p>
            <w:pPr>
              <w:jc w:val="right"/>
              <w:ind w:right="240"/>
              <w:spacing w:after="0"/>
              <w:rPr>
                <w:sz w:val="20"/>
                <w:szCs w:val="20"/>
                <w:color w:val="auto"/>
              </w:rPr>
            </w:pPr>
            <w:r>
              <w:rPr>
                <w:rFonts w:ascii="Arial" w:cs="Arial" w:eastAsia="Arial" w:hAnsi="Arial"/>
                <w:sz w:val="18"/>
                <w:szCs w:val="18"/>
                <w:color w:val="auto"/>
              </w:rPr>
              <w:t>(34)</w:t>
            </w:r>
          </w:p>
        </w:tc>
        <w:tc>
          <w:tcPr>
            <w:tcW w:w="120" w:type="dxa"/>
            <w:vAlign w:val="bottom"/>
          </w:tcPr>
          <w:p>
            <w:pPr>
              <w:spacing w:after="0"/>
              <w:rPr>
                <w:sz w:val="18"/>
                <w:szCs w:val="18"/>
                <w:color w:val="auto"/>
              </w:rPr>
            </w:pPr>
          </w:p>
        </w:tc>
        <w:tc>
          <w:tcPr>
            <w:tcW w:w="840" w:type="dxa"/>
            <w:vAlign w:val="bottom"/>
            <w:gridSpan w:val="2"/>
          </w:tcPr>
          <w:p>
            <w:pPr>
              <w:jc w:val="right"/>
              <w:ind w:right="160"/>
              <w:spacing w:after="0"/>
              <w:rPr>
                <w:sz w:val="20"/>
                <w:szCs w:val="20"/>
                <w:color w:val="auto"/>
              </w:rPr>
            </w:pPr>
            <w:r>
              <w:rPr>
                <w:rFonts w:ascii="Arial" w:cs="Arial" w:eastAsia="Arial" w:hAnsi="Arial"/>
                <w:sz w:val="18"/>
                <w:szCs w:val="18"/>
                <w:color w:val="auto"/>
              </w:rPr>
              <w:t>(57)</w:t>
            </w:r>
          </w:p>
        </w:tc>
        <w:tc>
          <w:tcPr>
            <w:tcW w:w="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040" w:type="dxa"/>
            <w:vAlign w:val="bottom"/>
            <w:gridSpan w:val="2"/>
          </w:tcPr>
          <w:p>
            <w:pPr>
              <w:jc w:val="right"/>
              <w:ind w:right="240"/>
              <w:spacing w:after="0"/>
              <w:rPr>
                <w:sz w:val="20"/>
                <w:szCs w:val="20"/>
                <w:color w:val="auto"/>
              </w:rPr>
            </w:pPr>
            <w:r>
              <w:rPr>
                <w:rFonts w:ascii="Arial" w:cs="Arial" w:eastAsia="Arial" w:hAnsi="Arial"/>
                <w:sz w:val="18"/>
                <w:szCs w:val="18"/>
                <w:color w:val="auto"/>
              </w:rPr>
              <w:t>(79)</w:t>
            </w:r>
          </w:p>
        </w:tc>
        <w:tc>
          <w:tcPr>
            <w:tcW w:w="100" w:type="dxa"/>
            <w:vAlign w:val="bottom"/>
          </w:tcPr>
          <w:p>
            <w:pPr>
              <w:spacing w:after="0"/>
              <w:rPr>
                <w:sz w:val="18"/>
                <w:szCs w:val="18"/>
                <w:color w:val="auto"/>
              </w:rPr>
            </w:pPr>
          </w:p>
        </w:tc>
        <w:tc>
          <w:tcPr>
            <w:tcW w:w="920" w:type="dxa"/>
            <w:vAlign w:val="bottom"/>
            <w:gridSpan w:val="2"/>
          </w:tcPr>
          <w:p>
            <w:pPr>
              <w:jc w:val="right"/>
              <w:ind w:right="140"/>
              <w:spacing w:after="0"/>
              <w:rPr>
                <w:sz w:val="20"/>
                <w:szCs w:val="20"/>
                <w:color w:val="auto"/>
              </w:rPr>
            </w:pPr>
            <w:r>
              <w:rPr>
                <w:rFonts w:ascii="Arial" w:cs="Arial" w:eastAsia="Arial" w:hAnsi="Arial"/>
                <w:sz w:val="18"/>
                <w:szCs w:val="18"/>
                <w:color w:val="auto"/>
              </w:rPr>
              <w:t>(153)</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160" w:type="dxa"/>
            <w:vAlign w:val="bottom"/>
            <w:shd w:val="clear" w:color="auto" w:fill="CCEEFF"/>
          </w:tcPr>
          <w:p>
            <w:pPr>
              <w:ind w:left="340"/>
              <w:spacing w:after="0"/>
              <w:rPr>
                <w:sz w:val="20"/>
                <w:szCs w:val="20"/>
                <w:color w:val="auto"/>
              </w:rPr>
            </w:pPr>
            <w:r>
              <w:rPr>
                <w:rFonts w:ascii="Arial" w:cs="Arial" w:eastAsia="Arial" w:hAnsi="Arial"/>
                <w:sz w:val="18"/>
                <w:szCs w:val="18"/>
                <w:color w:val="auto"/>
              </w:rPr>
              <w:t xml:space="preserve">Restructuring and other exit-related costs </w:t>
            </w:r>
            <w:r>
              <w:rPr>
                <w:rFonts w:ascii="Arial" w:cs="Arial" w:eastAsia="Arial" w:hAnsi="Arial"/>
                <w:sz w:val="18"/>
                <w:szCs w:val="18"/>
                <w:i w:val="1"/>
                <w:iCs w:val="1"/>
                <w:color w:val="auto"/>
              </w:rPr>
              <w:t>(b)</w:t>
            </w:r>
          </w:p>
        </w:tc>
        <w:tc>
          <w:tcPr>
            <w:tcW w:w="140" w:type="dxa"/>
            <w:vAlign w:val="bottom"/>
            <w:shd w:val="clear" w:color="auto" w:fill="CCEEFF"/>
          </w:tcPr>
          <w:p>
            <w:pPr>
              <w:spacing w:after="0"/>
              <w:rPr>
                <w:sz w:val="18"/>
                <w:szCs w:val="18"/>
                <w:color w:val="auto"/>
              </w:rPr>
            </w:pPr>
          </w:p>
        </w:tc>
        <w:tc>
          <w:tcPr>
            <w:tcW w:w="940" w:type="dxa"/>
            <w:vAlign w:val="bottom"/>
            <w:gridSpan w:val="3"/>
            <w:shd w:val="clear" w:color="auto" w:fill="CCEEFF"/>
          </w:tcPr>
          <w:p>
            <w:pPr>
              <w:jc w:val="right"/>
              <w:ind w:right="240"/>
              <w:spacing w:after="0"/>
              <w:rPr>
                <w:sz w:val="20"/>
                <w:szCs w:val="20"/>
                <w:color w:val="auto"/>
              </w:rPr>
            </w:pPr>
            <w:r>
              <w:rPr>
                <w:rFonts w:ascii="Arial" w:cs="Arial" w:eastAsia="Arial" w:hAnsi="Arial"/>
                <w:sz w:val="18"/>
                <w:szCs w:val="18"/>
                <w:color w:val="auto"/>
              </w:rPr>
              <w:t>(795)</w:t>
            </w:r>
          </w:p>
        </w:tc>
        <w:tc>
          <w:tcPr>
            <w:tcW w:w="10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380"/>
              <w:spacing w:after="0"/>
              <w:rPr>
                <w:sz w:val="20"/>
                <w:szCs w:val="20"/>
                <w:color w:val="auto"/>
              </w:rPr>
            </w:pPr>
            <w:r>
              <w:rPr>
                <w:rFonts w:ascii="Arial" w:cs="Arial" w:eastAsia="Arial" w:hAnsi="Arial"/>
                <w:sz w:val="18"/>
                <w:szCs w:val="18"/>
                <w:color w:val="auto"/>
              </w:rPr>
              <w:t>—</w:t>
            </w:r>
          </w:p>
        </w:tc>
        <w:tc>
          <w:tcPr>
            <w:tcW w:w="120" w:type="dxa"/>
            <w:vAlign w:val="bottom"/>
            <w:shd w:val="clear" w:color="auto" w:fill="CCEEFF"/>
          </w:tcPr>
          <w:p>
            <w:pPr>
              <w:spacing w:after="0"/>
              <w:rPr>
                <w:sz w:val="18"/>
                <w:szCs w:val="18"/>
                <w:color w:val="auto"/>
              </w:rPr>
            </w:pPr>
          </w:p>
        </w:tc>
        <w:tc>
          <w:tcPr>
            <w:tcW w:w="84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3</w:t>
            </w:r>
          </w:p>
        </w:tc>
        <w:tc>
          <w:tcPr>
            <w:tcW w:w="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(795)</w:t>
            </w:r>
          </w:p>
        </w:tc>
        <w:tc>
          <w:tcPr>
            <w:tcW w:w="10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3</w:t>
            </w:r>
          </w:p>
        </w:tc>
        <w:tc>
          <w:tcPr>
            <w:tcW w:w="0" w:type="dxa"/>
            <w:vAlign w:val="bottom"/>
          </w:tcPr>
          <w:p>
            <w:pPr>
              <w:spacing w:after="0"/>
              <w:rPr>
                <w:sz w:val="1"/>
                <w:szCs w:val="1"/>
                <w:color w:val="auto"/>
              </w:rPr>
            </w:pPr>
          </w:p>
        </w:tc>
      </w:tr>
      <w:tr>
        <w:trPr>
          <w:trHeight w:val="223"/>
        </w:trPr>
        <w:tc>
          <w:tcPr>
            <w:tcW w:w="6180" w:type="dxa"/>
            <w:vAlign w:val="bottom"/>
            <w:gridSpan w:val="2"/>
          </w:tcPr>
          <w:p>
            <w:pPr>
              <w:spacing w:after="0"/>
              <w:rPr>
                <w:sz w:val="20"/>
                <w:szCs w:val="20"/>
                <w:color w:val="auto"/>
              </w:rPr>
            </w:pPr>
            <w:r>
              <w:rPr>
                <w:rFonts w:ascii="Arial" w:cs="Arial" w:eastAsia="Arial" w:hAnsi="Arial"/>
                <w:sz w:val="18"/>
                <w:szCs w:val="18"/>
                <w:color w:val="auto"/>
              </w:rPr>
              <w:t>Non-GAAP selling and marketing</w:t>
            </w:r>
          </w:p>
        </w:tc>
        <w:tc>
          <w:tcPr>
            <w:tcW w:w="140" w:type="dxa"/>
            <w:vAlign w:val="bottom"/>
            <w:tcBorders>
              <w:top w:val="single" w:sz="8" w:color="auto"/>
              <w:bottom w:val="single" w:sz="8" w:color="auto"/>
            </w:tcBorders>
          </w:tcPr>
          <w:p>
            <w:pPr>
              <w:spacing w:after="0"/>
              <w:rPr>
                <w:sz w:val="20"/>
                <w:szCs w:val="20"/>
                <w:color w:val="auto"/>
              </w:rPr>
            </w:pPr>
            <w:r>
              <w:rPr>
                <w:rFonts w:ascii="Arial" w:cs="Arial" w:eastAsia="Arial" w:hAnsi="Arial"/>
                <w:sz w:val="18"/>
                <w:szCs w:val="18"/>
                <w:color w:val="auto"/>
              </w:rPr>
              <w:t>$</w:t>
            </w:r>
          </w:p>
        </w:tc>
        <w:tc>
          <w:tcPr>
            <w:tcW w:w="64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32,963</w:t>
            </w:r>
          </w:p>
        </w:tc>
        <w:tc>
          <w:tcPr>
            <w:tcW w:w="2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1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79"/>
              </w:rPr>
              <w:t>$</w:t>
            </w:r>
          </w:p>
        </w:tc>
        <w:tc>
          <w:tcPr>
            <w:tcW w:w="58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34,866</w:t>
            </w:r>
          </w:p>
        </w:tc>
        <w:tc>
          <w:tcPr>
            <w:tcW w:w="300" w:type="dxa"/>
            <w:vAlign w:val="bottom"/>
          </w:tcPr>
          <w:p>
            <w:pPr>
              <w:spacing w:after="0"/>
              <w:rPr>
                <w:sz w:val="19"/>
                <w:szCs w:val="19"/>
                <w:color w:val="auto"/>
              </w:rPr>
            </w:pPr>
          </w:p>
        </w:tc>
        <w:tc>
          <w:tcPr>
            <w:tcW w:w="120" w:type="dxa"/>
            <w:vAlign w:val="bottom"/>
            <w:tcBorders>
              <w:top w:val="single" w:sz="8" w:color="auto"/>
              <w:bottom w:val="single" w:sz="8" w:color="auto"/>
            </w:tcBorders>
          </w:tcPr>
          <w:p>
            <w:pPr>
              <w:spacing w:after="0"/>
              <w:rPr>
                <w:sz w:val="20"/>
                <w:szCs w:val="20"/>
                <w:color w:val="auto"/>
              </w:rPr>
            </w:pPr>
            <w:r>
              <w:rPr>
                <w:rFonts w:ascii="Arial" w:cs="Arial" w:eastAsia="Arial" w:hAnsi="Arial"/>
                <w:sz w:val="18"/>
                <w:szCs w:val="18"/>
                <w:color w:val="auto"/>
                <w:w w:val="99"/>
              </w:rPr>
              <w:t>$</w:t>
            </w:r>
          </w:p>
        </w:tc>
        <w:tc>
          <w:tcPr>
            <w:tcW w:w="6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35,243</w:t>
            </w:r>
          </w:p>
        </w:tc>
        <w:tc>
          <w:tcPr>
            <w:tcW w:w="22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8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5"/>
                <w:szCs w:val="15"/>
                <w:color w:val="auto"/>
                <w:w w:val="71"/>
              </w:rPr>
              <w:t>$</w:t>
            </w:r>
          </w:p>
        </w:tc>
        <w:tc>
          <w:tcPr>
            <w:tcW w:w="74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104,381</w:t>
            </w:r>
          </w:p>
        </w:tc>
        <w:tc>
          <w:tcPr>
            <w:tcW w:w="300" w:type="dxa"/>
            <w:vAlign w:val="bottom"/>
          </w:tcPr>
          <w:p>
            <w:pPr>
              <w:spacing w:after="0"/>
              <w:rPr>
                <w:sz w:val="19"/>
                <w:szCs w:val="19"/>
                <w:color w:val="auto"/>
              </w:rPr>
            </w:pPr>
          </w:p>
        </w:tc>
        <w:tc>
          <w:tcPr>
            <w:tcW w:w="1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5"/>
                <w:szCs w:val="15"/>
                <w:color w:val="auto"/>
                <w:w w:val="71"/>
              </w:rPr>
              <w:t>$</w:t>
            </w:r>
          </w:p>
        </w:tc>
        <w:tc>
          <w:tcPr>
            <w:tcW w:w="7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109,753</w:t>
            </w:r>
          </w:p>
        </w:tc>
        <w:tc>
          <w:tcPr>
            <w:tcW w:w="2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6160" w:type="dxa"/>
            <w:vAlign w:val="bottom"/>
          </w:tcPr>
          <w:p>
            <w:pPr>
              <w:spacing w:after="0" w:line="20" w:lineRule="exact"/>
              <w:rPr>
                <w:sz w:val="1"/>
                <w:szCs w:val="1"/>
                <w:color w:val="auto"/>
              </w:rPr>
            </w:pPr>
          </w:p>
        </w:tc>
        <w:tc>
          <w:tcPr>
            <w:tcW w:w="140" w:type="dxa"/>
            <w:vAlign w:val="bottom"/>
            <w:tcBorders>
              <w:bottom w:val="single" w:sz="8" w:color="auto"/>
            </w:tcBorders>
          </w:tcPr>
          <w:p>
            <w:pPr>
              <w:spacing w:after="0" w:line="20" w:lineRule="exact"/>
              <w:rPr>
                <w:sz w:val="1"/>
                <w:szCs w:val="1"/>
                <w:color w:val="auto"/>
              </w:rPr>
            </w:pPr>
          </w:p>
        </w:tc>
        <w:tc>
          <w:tcPr>
            <w:tcW w:w="640" w:type="dxa"/>
            <w:vAlign w:val="bottom"/>
            <w:tcBorders>
              <w:bottom w:val="single" w:sz="8" w:color="auto"/>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580" w:type="dxa"/>
            <w:vAlign w:val="bottom"/>
            <w:tcBorders>
              <w:bottom w:val="single" w:sz="8" w:color="auto"/>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20" w:type="dxa"/>
            <w:vAlign w:val="bottom"/>
            <w:tcBorders>
              <w:bottom w:val="single" w:sz="8" w:color="auto"/>
            </w:tcBorders>
          </w:tcPr>
          <w:p>
            <w:pPr>
              <w:spacing w:after="0" w:line="20" w:lineRule="exact"/>
              <w:rPr>
                <w:sz w:val="1"/>
                <w:szCs w:val="1"/>
                <w:color w:val="auto"/>
              </w:rPr>
            </w:pPr>
          </w:p>
        </w:tc>
        <w:tc>
          <w:tcPr>
            <w:tcW w:w="620" w:type="dxa"/>
            <w:vAlign w:val="bottom"/>
            <w:tcBorders>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80" w:type="dxa"/>
            <w:vAlign w:val="bottom"/>
            <w:tcBorders>
              <w:bottom w:val="single" w:sz="8" w:color="auto"/>
            </w:tcBorders>
          </w:tcPr>
          <w:p>
            <w:pPr>
              <w:spacing w:after="0" w:line="20" w:lineRule="exact"/>
              <w:rPr>
                <w:sz w:val="1"/>
                <w:szCs w:val="1"/>
                <w:color w:val="auto"/>
              </w:rPr>
            </w:pPr>
          </w:p>
        </w:tc>
        <w:tc>
          <w:tcPr>
            <w:tcW w:w="740" w:type="dxa"/>
            <w:vAlign w:val="bottom"/>
            <w:tcBorders>
              <w:bottom w:val="single" w:sz="8" w:color="auto"/>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720" w:type="dxa"/>
            <w:vAlign w:val="bottom"/>
            <w:tcBorders>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0"/>
        </w:trPr>
        <w:tc>
          <w:tcPr>
            <w:tcW w:w="20" w:type="dxa"/>
            <w:vAlign w:val="bottom"/>
          </w:tcPr>
          <w:p>
            <w:pPr>
              <w:spacing w:after="0"/>
              <w:rPr>
                <w:sz w:val="18"/>
                <w:szCs w:val="18"/>
                <w:color w:val="auto"/>
              </w:rPr>
            </w:pPr>
          </w:p>
        </w:tc>
        <w:tc>
          <w:tcPr>
            <w:tcW w:w="6160" w:type="dxa"/>
            <w:vAlign w:val="bottom"/>
            <w:shd w:val="clear" w:color="auto" w:fill="CCEEFF"/>
          </w:tcPr>
          <w:p>
            <w:pPr>
              <w:spacing w:after="0"/>
              <w:rPr>
                <w:sz w:val="20"/>
                <w:szCs w:val="20"/>
                <w:color w:val="auto"/>
              </w:rPr>
            </w:pPr>
            <w:r>
              <w:rPr>
                <w:rFonts w:ascii="Arial" w:cs="Arial" w:eastAsia="Arial" w:hAnsi="Arial"/>
                <w:sz w:val="18"/>
                <w:szCs w:val="18"/>
                <w:color w:val="auto"/>
              </w:rPr>
              <w:t>GAAP general and administrative:</w:t>
            </w:r>
          </w:p>
        </w:tc>
        <w:tc>
          <w:tcPr>
            <w:tcW w:w="14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66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26,589</w:t>
            </w:r>
          </w:p>
        </w:tc>
        <w:tc>
          <w:tcPr>
            <w:tcW w:w="280" w:type="dxa"/>
            <w:vAlign w:val="bottom"/>
            <w:shd w:val="clear" w:color="auto" w:fill="CCEEFF"/>
          </w:tcPr>
          <w:p>
            <w:pPr>
              <w:spacing w:after="0"/>
              <w:rPr>
                <w:sz w:val="18"/>
                <w:szCs w:val="18"/>
                <w:color w:val="auto"/>
              </w:rPr>
            </w:pPr>
          </w:p>
        </w:tc>
        <w:tc>
          <w:tcPr>
            <w:tcW w:w="1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88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rPr>
              <w:t>27,192</w:t>
            </w:r>
          </w:p>
        </w:tc>
        <w:tc>
          <w:tcPr>
            <w:tcW w:w="120" w:type="dxa"/>
            <w:vAlign w:val="bottom"/>
            <w:shd w:val="clear" w:color="auto" w:fill="CCEEFF"/>
          </w:tcPr>
          <w:p>
            <w:pPr>
              <w:spacing w:after="0"/>
              <w:rPr>
                <w:sz w:val="20"/>
                <w:szCs w:val="20"/>
                <w:color w:val="auto"/>
              </w:rPr>
            </w:pPr>
            <w:r>
              <w:rPr>
                <w:rFonts w:ascii="Arial" w:cs="Arial" w:eastAsia="Arial" w:hAnsi="Arial"/>
                <w:sz w:val="18"/>
                <w:szCs w:val="18"/>
                <w:color w:val="auto"/>
                <w:w w:val="99"/>
              </w:rPr>
              <w:t>$</w:t>
            </w:r>
          </w:p>
        </w:tc>
        <w:tc>
          <w:tcPr>
            <w:tcW w:w="84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24,514</w:t>
            </w:r>
          </w:p>
        </w:tc>
        <w:tc>
          <w:tcPr>
            <w:tcW w:w="1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04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rPr>
              <w:t>80,104</w:t>
            </w: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92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75,937</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160" w:type="dxa"/>
            <w:vAlign w:val="bottom"/>
          </w:tcPr>
          <w:p>
            <w:pPr>
              <w:ind w:left="340"/>
              <w:spacing w:after="0"/>
              <w:rPr>
                <w:sz w:val="20"/>
                <w:szCs w:val="20"/>
                <w:color w:val="auto"/>
              </w:rPr>
            </w:pPr>
            <w:r>
              <w:rPr>
                <w:rFonts w:ascii="Arial" w:cs="Arial" w:eastAsia="Arial" w:hAnsi="Arial"/>
                <w:sz w:val="18"/>
                <w:szCs w:val="18"/>
                <w:color w:val="auto"/>
              </w:rPr>
              <w:t>Stock-based compensation</w:t>
            </w:r>
          </w:p>
        </w:tc>
        <w:tc>
          <w:tcPr>
            <w:tcW w:w="140" w:type="dxa"/>
            <w:vAlign w:val="bottom"/>
          </w:tcPr>
          <w:p>
            <w:pPr>
              <w:spacing w:after="0"/>
              <w:rPr>
                <w:sz w:val="18"/>
                <w:szCs w:val="18"/>
                <w:color w:val="auto"/>
              </w:rPr>
            </w:pPr>
          </w:p>
        </w:tc>
        <w:tc>
          <w:tcPr>
            <w:tcW w:w="940" w:type="dxa"/>
            <w:vAlign w:val="bottom"/>
            <w:gridSpan w:val="3"/>
          </w:tcPr>
          <w:p>
            <w:pPr>
              <w:jc w:val="right"/>
              <w:ind w:right="240"/>
              <w:spacing w:after="0"/>
              <w:rPr>
                <w:sz w:val="20"/>
                <w:szCs w:val="20"/>
                <w:color w:val="auto"/>
              </w:rPr>
            </w:pPr>
            <w:r>
              <w:rPr>
                <w:rFonts w:ascii="Arial" w:cs="Arial" w:eastAsia="Arial" w:hAnsi="Arial"/>
                <w:sz w:val="18"/>
                <w:szCs w:val="18"/>
                <w:color w:val="auto"/>
              </w:rPr>
              <w:t>(6,848)</w:t>
            </w:r>
          </w:p>
        </w:tc>
        <w:tc>
          <w:tcPr>
            <w:tcW w:w="100" w:type="dxa"/>
            <w:vAlign w:val="bottom"/>
          </w:tcPr>
          <w:p>
            <w:pPr>
              <w:spacing w:after="0"/>
              <w:rPr>
                <w:sz w:val="18"/>
                <w:szCs w:val="18"/>
                <w:color w:val="auto"/>
              </w:rPr>
            </w:pPr>
          </w:p>
        </w:tc>
        <w:tc>
          <w:tcPr>
            <w:tcW w:w="880" w:type="dxa"/>
            <w:vAlign w:val="bottom"/>
            <w:gridSpan w:val="2"/>
          </w:tcPr>
          <w:p>
            <w:pPr>
              <w:jc w:val="right"/>
              <w:ind w:right="240"/>
              <w:spacing w:after="0"/>
              <w:rPr>
                <w:sz w:val="20"/>
                <w:szCs w:val="20"/>
                <w:color w:val="auto"/>
              </w:rPr>
            </w:pPr>
            <w:r>
              <w:rPr>
                <w:rFonts w:ascii="Arial" w:cs="Arial" w:eastAsia="Arial" w:hAnsi="Arial"/>
                <w:sz w:val="18"/>
                <w:szCs w:val="18"/>
                <w:color w:val="auto"/>
              </w:rPr>
              <w:t>(6,593)</w:t>
            </w:r>
          </w:p>
        </w:tc>
        <w:tc>
          <w:tcPr>
            <w:tcW w:w="120" w:type="dxa"/>
            <w:vAlign w:val="bottom"/>
          </w:tcPr>
          <w:p>
            <w:pPr>
              <w:spacing w:after="0"/>
              <w:rPr>
                <w:sz w:val="18"/>
                <w:szCs w:val="18"/>
                <w:color w:val="auto"/>
              </w:rPr>
            </w:pPr>
          </w:p>
        </w:tc>
        <w:tc>
          <w:tcPr>
            <w:tcW w:w="840" w:type="dxa"/>
            <w:vAlign w:val="bottom"/>
            <w:gridSpan w:val="2"/>
          </w:tcPr>
          <w:p>
            <w:pPr>
              <w:jc w:val="right"/>
              <w:ind w:right="160"/>
              <w:spacing w:after="0"/>
              <w:rPr>
                <w:sz w:val="20"/>
                <w:szCs w:val="20"/>
                <w:color w:val="auto"/>
              </w:rPr>
            </w:pPr>
            <w:r>
              <w:rPr>
                <w:rFonts w:ascii="Arial" w:cs="Arial" w:eastAsia="Arial" w:hAnsi="Arial"/>
                <w:sz w:val="18"/>
                <w:szCs w:val="18"/>
                <w:color w:val="auto"/>
              </w:rPr>
              <w:t>(2,764)</w:t>
            </w:r>
          </w:p>
        </w:tc>
        <w:tc>
          <w:tcPr>
            <w:tcW w:w="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040" w:type="dxa"/>
            <w:vAlign w:val="bottom"/>
            <w:gridSpan w:val="2"/>
          </w:tcPr>
          <w:p>
            <w:pPr>
              <w:jc w:val="right"/>
              <w:ind w:right="240"/>
              <w:spacing w:after="0"/>
              <w:rPr>
                <w:sz w:val="20"/>
                <w:szCs w:val="20"/>
                <w:color w:val="auto"/>
              </w:rPr>
            </w:pPr>
            <w:r>
              <w:rPr>
                <w:rFonts w:ascii="Arial" w:cs="Arial" w:eastAsia="Arial" w:hAnsi="Arial"/>
                <w:sz w:val="18"/>
                <w:szCs w:val="18"/>
                <w:color w:val="auto"/>
              </w:rPr>
              <w:t>(18,416)</w:t>
            </w:r>
          </w:p>
        </w:tc>
        <w:tc>
          <w:tcPr>
            <w:tcW w:w="100" w:type="dxa"/>
            <w:vAlign w:val="bottom"/>
          </w:tcPr>
          <w:p>
            <w:pPr>
              <w:spacing w:after="0"/>
              <w:rPr>
                <w:sz w:val="18"/>
                <w:szCs w:val="18"/>
                <w:color w:val="auto"/>
              </w:rPr>
            </w:pPr>
          </w:p>
        </w:tc>
        <w:tc>
          <w:tcPr>
            <w:tcW w:w="920" w:type="dxa"/>
            <w:vAlign w:val="bottom"/>
            <w:gridSpan w:val="2"/>
          </w:tcPr>
          <w:p>
            <w:pPr>
              <w:jc w:val="right"/>
              <w:ind w:right="140"/>
              <w:spacing w:after="0"/>
              <w:rPr>
                <w:sz w:val="20"/>
                <w:szCs w:val="20"/>
                <w:color w:val="auto"/>
              </w:rPr>
            </w:pPr>
            <w:r>
              <w:rPr>
                <w:rFonts w:ascii="Arial" w:cs="Arial" w:eastAsia="Arial" w:hAnsi="Arial"/>
                <w:sz w:val="18"/>
                <w:szCs w:val="18"/>
                <w:color w:val="auto"/>
              </w:rPr>
              <w:t>(13,205)</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160" w:type="dxa"/>
            <w:vAlign w:val="bottom"/>
            <w:shd w:val="clear" w:color="auto" w:fill="CCEEFF"/>
          </w:tcPr>
          <w:p>
            <w:pPr>
              <w:ind w:left="340"/>
              <w:spacing w:after="0"/>
              <w:rPr>
                <w:sz w:val="20"/>
                <w:szCs w:val="20"/>
                <w:color w:val="auto"/>
              </w:rPr>
            </w:pPr>
            <w:r>
              <w:rPr>
                <w:rFonts w:ascii="Arial" w:cs="Arial" w:eastAsia="Arial" w:hAnsi="Arial"/>
                <w:sz w:val="18"/>
                <w:szCs w:val="18"/>
                <w:color w:val="auto"/>
              </w:rPr>
              <w:t xml:space="preserve">Acquisition-related costs </w:t>
            </w:r>
            <w:r>
              <w:rPr>
                <w:rFonts w:ascii="Arial" w:cs="Arial" w:eastAsia="Arial" w:hAnsi="Arial"/>
                <w:sz w:val="18"/>
                <w:szCs w:val="18"/>
                <w:i w:val="1"/>
                <w:iCs w:val="1"/>
                <w:color w:val="auto"/>
              </w:rPr>
              <w:t>(a)</w:t>
            </w:r>
          </w:p>
        </w:tc>
        <w:tc>
          <w:tcPr>
            <w:tcW w:w="140" w:type="dxa"/>
            <w:vAlign w:val="bottom"/>
            <w:shd w:val="clear" w:color="auto" w:fill="CCEEFF"/>
          </w:tcPr>
          <w:p>
            <w:pPr>
              <w:spacing w:after="0"/>
              <w:rPr>
                <w:sz w:val="18"/>
                <w:szCs w:val="18"/>
                <w:color w:val="auto"/>
              </w:rPr>
            </w:pPr>
          </w:p>
        </w:tc>
        <w:tc>
          <w:tcPr>
            <w:tcW w:w="940" w:type="dxa"/>
            <w:vAlign w:val="bottom"/>
            <w:gridSpan w:val="3"/>
            <w:shd w:val="clear" w:color="auto" w:fill="CCEEFF"/>
          </w:tcPr>
          <w:p>
            <w:pPr>
              <w:jc w:val="right"/>
              <w:ind w:right="240"/>
              <w:spacing w:after="0"/>
              <w:rPr>
                <w:sz w:val="20"/>
                <w:szCs w:val="20"/>
                <w:color w:val="auto"/>
              </w:rPr>
            </w:pPr>
            <w:r>
              <w:rPr>
                <w:rFonts w:ascii="Arial" w:cs="Arial" w:eastAsia="Arial" w:hAnsi="Arial"/>
                <w:sz w:val="18"/>
                <w:szCs w:val="18"/>
                <w:color w:val="auto"/>
              </w:rPr>
              <w:t>(19)</w:t>
            </w:r>
          </w:p>
        </w:tc>
        <w:tc>
          <w:tcPr>
            <w:tcW w:w="10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(20)</w:t>
            </w:r>
          </w:p>
        </w:tc>
        <w:tc>
          <w:tcPr>
            <w:tcW w:w="120" w:type="dxa"/>
            <w:vAlign w:val="bottom"/>
            <w:shd w:val="clear" w:color="auto" w:fill="CCEEFF"/>
          </w:tcPr>
          <w:p>
            <w:pPr>
              <w:spacing w:after="0"/>
              <w:rPr>
                <w:sz w:val="18"/>
                <w:szCs w:val="18"/>
                <w:color w:val="auto"/>
              </w:rPr>
            </w:pPr>
          </w:p>
        </w:tc>
        <w:tc>
          <w:tcPr>
            <w:tcW w:w="84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(8)</w:t>
            </w:r>
          </w:p>
        </w:tc>
        <w:tc>
          <w:tcPr>
            <w:tcW w:w="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(59)</w:t>
            </w:r>
          </w:p>
        </w:tc>
        <w:tc>
          <w:tcPr>
            <w:tcW w:w="10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(54)</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160" w:type="dxa"/>
            <w:vAlign w:val="bottom"/>
          </w:tcPr>
          <w:p>
            <w:pPr>
              <w:ind w:left="340"/>
              <w:spacing w:after="0"/>
              <w:rPr>
                <w:sz w:val="20"/>
                <w:szCs w:val="20"/>
                <w:color w:val="auto"/>
              </w:rPr>
            </w:pPr>
            <w:r>
              <w:rPr>
                <w:rFonts w:ascii="Arial" w:cs="Arial" w:eastAsia="Arial" w:hAnsi="Arial"/>
                <w:sz w:val="18"/>
                <w:szCs w:val="18"/>
                <w:color w:val="auto"/>
              </w:rPr>
              <w:t xml:space="preserve">Restructuring and other exit-related costs </w:t>
            </w:r>
            <w:r>
              <w:rPr>
                <w:rFonts w:ascii="Arial" w:cs="Arial" w:eastAsia="Arial" w:hAnsi="Arial"/>
                <w:sz w:val="18"/>
                <w:szCs w:val="18"/>
                <w:i w:val="1"/>
                <w:iCs w:val="1"/>
                <w:color w:val="auto"/>
              </w:rPr>
              <w:t>(b)</w:t>
            </w:r>
          </w:p>
        </w:tc>
        <w:tc>
          <w:tcPr>
            <w:tcW w:w="140" w:type="dxa"/>
            <w:vAlign w:val="bottom"/>
          </w:tcPr>
          <w:p>
            <w:pPr>
              <w:spacing w:after="0"/>
              <w:rPr>
                <w:sz w:val="18"/>
                <w:szCs w:val="18"/>
                <w:color w:val="auto"/>
              </w:rPr>
            </w:pPr>
          </w:p>
        </w:tc>
        <w:tc>
          <w:tcPr>
            <w:tcW w:w="940" w:type="dxa"/>
            <w:vAlign w:val="bottom"/>
            <w:gridSpan w:val="3"/>
          </w:tcPr>
          <w:p>
            <w:pPr>
              <w:jc w:val="right"/>
              <w:ind w:right="240"/>
              <w:spacing w:after="0"/>
              <w:rPr>
                <w:sz w:val="20"/>
                <w:szCs w:val="20"/>
                <w:color w:val="auto"/>
              </w:rPr>
            </w:pPr>
            <w:r>
              <w:rPr>
                <w:rFonts w:ascii="Arial" w:cs="Arial" w:eastAsia="Arial" w:hAnsi="Arial"/>
                <w:sz w:val="18"/>
                <w:szCs w:val="18"/>
                <w:color w:val="auto"/>
              </w:rPr>
              <w:t>(527)</w:t>
            </w:r>
          </w:p>
        </w:tc>
        <w:tc>
          <w:tcPr>
            <w:tcW w:w="100" w:type="dxa"/>
            <w:vAlign w:val="bottom"/>
          </w:tcPr>
          <w:p>
            <w:pPr>
              <w:spacing w:after="0"/>
              <w:rPr>
                <w:sz w:val="18"/>
                <w:szCs w:val="18"/>
                <w:color w:val="auto"/>
              </w:rPr>
            </w:pPr>
          </w:p>
        </w:tc>
        <w:tc>
          <w:tcPr>
            <w:tcW w:w="880" w:type="dxa"/>
            <w:vAlign w:val="bottom"/>
            <w:gridSpan w:val="2"/>
          </w:tcPr>
          <w:p>
            <w:pPr>
              <w:jc w:val="right"/>
              <w:ind w:right="240"/>
              <w:spacing w:after="0"/>
              <w:rPr>
                <w:sz w:val="20"/>
                <w:szCs w:val="20"/>
                <w:color w:val="auto"/>
              </w:rPr>
            </w:pPr>
            <w:r>
              <w:rPr>
                <w:rFonts w:ascii="Arial" w:cs="Arial" w:eastAsia="Arial" w:hAnsi="Arial"/>
                <w:sz w:val="18"/>
                <w:szCs w:val="18"/>
                <w:color w:val="auto"/>
              </w:rPr>
              <w:t>(178)</w:t>
            </w:r>
          </w:p>
        </w:tc>
        <w:tc>
          <w:tcPr>
            <w:tcW w:w="120" w:type="dxa"/>
            <w:vAlign w:val="bottom"/>
          </w:tcPr>
          <w:p>
            <w:pPr>
              <w:spacing w:after="0"/>
              <w:rPr>
                <w:sz w:val="18"/>
                <w:szCs w:val="18"/>
                <w:color w:val="auto"/>
              </w:rPr>
            </w:pPr>
          </w:p>
        </w:tc>
        <w:tc>
          <w:tcPr>
            <w:tcW w:w="840" w:type="dxa"/>
            <w:vAlign w:val="bottom"/>
            <w:gridSpan w:val="2"/>
          </w:tcPr>
          <w:p>
            <w:pPr>
              <w:jc w:val="right"/>
              <w:ind w:right="160"/>
              <w:spacing w:after="0"/>
              <w:rPr>
                <w:sz w:val="20"/>
                <w:szCs w:val="20"/>
                <w:color w:val="auto"/>
              </w:rPr>
            </w:pPr>
            <w:r>
              <w:rPr>
                <w:rFonts w:ascii="Arial" w:cs="Arial" w:eastAsia="Arial" w:hAnsi="Arial"/>
                <w:sz w:val="18"/>
                <w:szCs w:val="18"/>
                <w:color w:val="auto"/>
              </w:rPr>
              <w:t>(130)</w:t>
            </w:r>
          </w:p>
        </w:tc>
        <w:tc>
          <w:tcPr>
            <w:tcW w:w="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040" w:type="dxa"/>
            <w:vAlign w:val="bottom"/>
            <w:gridSpan w:val="2"/>
          </w:tcPr>
          <w:p>
            <w:pPr>
              <w:jc w:val="right"/>
              <w:ind w:right="240"/>
              <w:spacing w:after="0"/>
              <w:rPr>
                <w:sz w:val="20"/>
                <w:szCs w:val="20"/>
                <w:color w:val="auto"/>
              </w:rPr>
            </w:pPr>
            <w:r>
              <w:rPr>
                <w:rFonts w:ascii="Arial" w:cs="Arial" w:eastAsia="Arial" w:hAnsi="Arial"/>
                <w:sz w:val="18"/>
                <w:szCs w:val="18"/>
                <w:color w:val="auto"/>
              </w:rPr>
              <w:t>(933)</w:t>
            </w:r>
          </w:p>
        </w:tc>
        <w:tc>
          <w:tcPr>
            <w:tcW w:w="100" w:type="dxa"/>
            <w:vAlign w:val="bottom"/>
          </w:tcPr>
          <w:p>
            <w:pPr>
              <w:spacing w:after="0"/>
              <w:rPr>
                <w:sz w:val="18"/>
                <w:szCs w:val="18"/>
                <w:color w:val="auto"/>
              </w:rPr>
            </w:pPr>
          </w:p>
        </w:tc>
        <w:tc>
          <w:tcPr>
            <w:tcW w:w="920" w:type="dxa"/>
            <w:vAlign w:val="bottom"/>
            <w:gridSpan w:val="2"/>
          </w:tcPr>
          <w:p>
            <w:pPr>
              <w:jc w:val="right"/>
              <w:ind w:right="140"/>
              <w:spacing w:after="0"/>
              <w:rPr>
                <w:sz w:val="20"/>
                <w:szCs w:val="20"/>
                <w:color w:val="auto"/>
              </w:rPr>
            </w:pPr>
            <w:r>
              <w:rPr>
                <w:rFonts w:ascii="Arial" w:cs="Arial" w:eastAsia="Arial" w:hAnsi="Arial"/>
                <w:sz w:val="18"/>
                <w:szCs w:val="18"/>
                <w:color w:val="auto"/>
              </w:rPr>
              <w:t>(1,060)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160" w:type="dxa"/>
            <w:vAlign w:val="bottom"/>
            <w:shd w:val="clear" w:color="auto" w:fill="CCEEFF"/>
          </w:tcPr>
          <w:p>
            <w:pPr>
              <w:ind w:left="340"/>
              <w:spacing w:after="0"/>
              <w:rPr>
                <w:sz w:val="20"/>
                <w:szCs w:val="20"/>
                <w:color w:val="auto"/>
              </w:rPr>
            </w:pPr>
            <w:r>
              <w:rPr>
                <w:rFonts w:ascii="Arial" w:cs="Arial" w:eastAsia="Arial" w:hAnsi="Arial"/>
                <w:sz w:val="18"/>
                <w:szCs w:val="18"/>
                <w:color w:val="auto"/>
              </w:rPr>
              <w:t xml:space="preserve">Legal/Tax related matters </w:t>
            </w:r>
            <w:r>
              <w:rPr>
                <w:rFonts w:ascii="Arial" w:cs="Arial" w:eastAsia="Arial" w:hAnsi="Arial"/>
                <w:sz w:val="18"/>
                <w:szCs w:val="18"/>
                <w:i w:val="1"/>
                <w:iCs w:val="1"/>
                <w:color w:val="auto"/>
              </w:rPr>
              <w:t>(c)</w:t>
            </w:r>
          </w:p>
        </w:tc>
        <w:tc>
          <w:tcPr>
            <w:tcW w:w="140" w:type="dxa"/>
            <w:vAlign w:val="bottom"/>
            <w:shd w:val="clear" w:color="auto" w:fill="CCEEFF"/>
          </w:tcPr>
          <w:p>
            <w:pPr>
              <w:spacing w:after="0"/>
              <w:rPr>
                <w:sz w:val="18"/>
                <w:szCs w:val="18"/>
                <w:color w:val="auto"/>
              </w:rPr>
            </w:pPr>
          </w:p>
        </w:tc>
        <w:tc>
          <w:tcPr>
            <w:tcW w:w="940" w:type="dxa"/>
            <w:vAlign w:val="bottom"/>
            <w:gridSpan w:val="3"/>
            <w:shd w:val="clear" w:color="auto" w:fill="CCEEFF"/>
          </w:tcPr>
          <w:p>
            <w:pPr>
              <w:jc w:val="right"/>
              <w:ind w:right="380"/>
              <w:spacing w:after="0"/>
              <w:rPr>
                <w:sz w:val="20"/>
                <w:szCs w:val="20"/>
                <w:color w:val="auto"/>
              </w:rPr>
            </w:pPr>
            <w:r>
              <w:rPr>
                <w:rFonts w:ascii="Arial" w:cs="Arial" w:eastAsia="Arial" w:hAnsi="Arial"/>
                <w:sz w:val="18"/>
                <w:szCs w:val="18"/>
                <w:color w:val="auto"/>
              </w:rPr>
              <w:t>—</w:t>
            </w:r>
          </w:p>
        </w:tc>
        <w:tc>
          <w:tcPr>
            <w:tcW w:w="10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(500)</w:t>
            </w:r>
          </w:p>
        </w:tc>
        <w:tc>
          <w:tcPr>
            <w:tcW w:w="120" w:type="dxa"/>
            <w:vAlign w:val="bottom"/>
            <w:shd w:val="clear" w:color="auto" w:fill="CCEEFF"/>
          </w:tcPr>
          <w:p>
            <w:pPr>
              <w:spacing w:after="0"/>
              <w:rPr>
                <w:sz w:val="18"/>
                <w:szCs w:val="18"/>
                <w:color w:val="auto"/>
              </w:rPr>
            </w:pPr>
          </w:p>
        </w:tc>
        <w:tc>
          <w:tcPr>
            <w:tcW w:w="84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w:t>
            </w:r>
          </w:p>
        </w:tc>
        <w:tc>
          <w:tcPr>
            <w:tcW w:w="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(500)</w:t>
            </w:r>
          </w:p>
        </w:tc>
        <w:tc>
          <w:tcPr>
            <w:tcW w:w="10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(250)</w:t>
            </w:r>
          </w:p>
        </w:tc>
        <w:tc>
          <w:tcPr>
            <w:tcW w:w="0" w:type="dxa"/>
            <w:vAlign w:val="bottom"/>
          </w:tcPr>
          <w:p>
            <w:pPr>
              <w:spacing w:after="0"/>
              <w:rPr>
                <w:sz w:val="1"/>
                <w:szCs w:val="1"/>
                <w:color w:val="auto"/>
              </w:rPr>
            </w:pPr>
          </w:p>
        </w:tc>
      </w:tr>
      <w:tr>
        <w:trPr>
          <w:trHeight w:val="223"/>
        </w:trPr>
        <w:tc>
          <w:tcPr>
            <w:tcW w:w="6180" w:type="dxa"/>
            <w:vAlign w:val="bottom"/>
            <w:gridSpan w:val="2"/>
          </w:tcPr>
          <w:p>
            <w:pPr>
              <w:spacing w:after="0"/>
              <w:rPr>
                <w:sz w:val="20"/>
                <w:szCs w:val="20"/>
                <w:color w:val="auto"/>
              </w:rPr>
            </w:pPr>
            <w:r>
              <w:rPr>
                <w:rFonts w:ascii="Arial" w:cs="Arial" w:eastAsia="Arial" w:hAnsi="Arial"/>
                <w:sz w:val="18"/>
                <w:szCs w:val="18"/>
                <w:color w:val="auto"/>
              </w:rPr>
              <w:t>Non-GAAP general and administrative</w:t>
            </w:r>
          </w:p>
        </w:tc>
        <w:tc>
          <w:tcPr>
            <w:tcW w:w="140" w:type="dxa"/>
            <w:vAlign w:val="bottom"/>
            <w:tcBorders>
              <w:top w:val="single" w:sz="8" w:color="auto"/>
              <w:bottom w:val="single" w:sz="8" w:color="auto"/>
            </w:tcBorders>
          </w:tcPr>
          <w:p>
            <w:pPr>
              <w:spacing w:after="0"/>
              <w:rPr>
                <w:sz w:val="20"/>
                <w:szCs w:val="20"/>
                <w:color w:val="auto"/>
              </w:rPr>
            </w:pPr>
            <w:r>
              <w:rPr>
                <w:rFonts w:ascii="Arial" w:cs="Arial" w:eastAsia="Arial" w:hAnsi="Arial"/>
                <w:sz w:val="18"/>
                <w:szCs w:val="18"/>
                <w:color w:val="auto"/>
              </w:rPr>
              <w:t>$</w:t>
            </w:r>
          </w:p>
        </w:tc>
        <w:tc>
          <w:tcPr>
            <w:tcW w:w="64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19,195</w:t>
            </w:r>
          </w:p>
        </w:tc>
        <w:tc>
          <w:tcPr>
            <w:tcW w:w="20" w:type="dxa"/>
            <w:vAlign w:val="bottom"/>
            <w:tcBorders>
              <w:bottom w:val="single" w:sz="8" w:color="auto"/>
            </w:tcBorders>
          </w:tcPr>
          <w:p>
            <w:pPr>
              <w:spacing w:after="0"/>
              <w:rPr>
                <w:sz w:val="19"/>
                <w:szCs w:val="19"/>
                <w:color w:val="auto"/>
              </w:rPr>
            </w:pPr>
          </w:p>
        </w:tc>
        <w:tc>
          <w:tcPr>
            <w:tcW w:w="280" w:type="dxa"/>
            <w:vAlign w:val="bottom"/>
          </w:tcPr>
          <w:p>
            <w:pPr>
              <w:spacing w:after="0"/>
              <w:rPr>
                <w:sz w:val="19"/>
                <w:szCs w:val="19"/>
                <w:color w:val="auto"/>
              </w:rPr>
            </w:pPr>
          </w:p>
        </w:tc>
        <w:tc>
          <w:tcPr>
            <w:tcW w:w="1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79"/>
              </w:rPr>
              <w:t>$</w:t>
            </w:r>
          </w:p>
        </w:tc>
        <w:tc>
          <w:tcPr>
            <w:tcW w:w="58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19,901</w:t>
            </w:r>
          </w:p>
        </w:tc>
        <w:tc>
          <w:tcPr>
            <w:tcW w:w="300" w:type="dxa"/>
            <w:vAlign w:val="bottom"/>
          </w:tcPr>
          <w:p>
            <w:pPr>
              <w:spacing w:after="0"/>
              <w:rPr>
                <w:sz w:val="19"/>
                <w:szCs w:val="19"/>
                <w:color w:val="auto"/>
              </w:rPr>
            </w:pPr>
          </w:p>
        </w:tc>
        <w:tc>
          <w:tcPr>
            <w:tcW w:w="120" w:type="dxa"/>
            <w:vAlign w:val="bottom"/>
            <w:tcBorders>
              <w:top w:val="single" w:sz="8" w:color="auto"/>
              <w:bottom w:val="single" w:sz="8" w:color="auto"/>
            </w:tcBorders>
          </w:tcPr>
          <w:p>
            <w:pPr>
              <w:spacing w:after="0"/>
              <w:rPr>
                <w:sz w:val="20"/>
                <w:szCs w:val="20"/>
                <w:color w:val="auto"/>
              </w:rPr>
            </w:pPr>
            <w:r>
              <w:rPr>
                <w:rFonts w:ascii="Arial" w:cs="Arial" w:eastAsia="Arial" w:hAnsi="Arial"/>
                <w:sz w:val="18"/>
                <w:szCs w:val="18"/>
                <w:color w:val="auto"/>
                <w:w w:val="99"/>
              </w:rPr>
              <w:t>$</w:t>
            </w:r>
          </w:p>
        </w:tc>
        <w:tc>
          <w:tcPr>
            <w:tcW w:w="6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21,612</w:t>
            </w:r>
          </w:p>
        </w:tc>
        <w:tc>
          <w:tcPr>
            <w:tcW w:w="22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8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5"/>
                <w:szCs w:val="15"/>
                <w:color w:val="auto"/>
                <w:w w:val="71"/>
              </w:rPr>
              <w:t>$</w:t>
            </w:r>
          </w:p>
        </w:tc>
        <w:tc>
          <w:tcPr>
            <w:tcW w:w="74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60,196</w:t>
            </w:r>
          </w:p>
        </w:tc>
        <w:tc>
          <w:tcPr>
            <w:tcW w:w="300" w:type="dxa"/>
            <w:vAlign w:val="bottom"/>
          </w:tcPr>
          <w:p>
            <w:pPr>
              <w:spacing w:after="0"/>
              <w:rPr>
                <w:sz w:val="19"/>
                <w:szCs w:val="19"/>
                <w:color w:val="auto"/>
              </w:rPr>
            </w:pPr>
          </w:p>
        </w:tc>
        <w:tc>
          <w:tcPr>
            <w:tcW w:w="1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5"/>
                <w:szCs w:val="15"/>
                <w:color w:val="auto"/>
                <w:w w:val="71"/>
              </w:rPr>
              <w:t>$</w:t>
            </w:r>
          </w:p>
        </w:tc>
        <w:tc>
          <w:tcPr>
            <w:tcW w:w="7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61,368</w:t>
            </w:r>
          </w:p>
        </w:tc>
        <w:tc>
          <w:tcPr>
            <w:tcW w:w="2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6160" w:type="dxa"/>
            <w:vAlign w:val="bottom"/>
          </w:tcPr>
          <w:p>
            <w:pPr>
              <w:spacing w:after="0" w:line="20" w:lineRule="exact"/>
              <w:rPr>
                <w:sz w:val="1"/>
                <w:szCs w:val="1"/>
                <w:color w:val="auto"/>
              </w:rPr>
            </w:pPr>
          </w:p>
        </w:tc>
        <w:tc>
          <w:tcPr>
            <w:tcW w:w="140" w:type="dxa"/>
            <w:vAlign w:val="bottom"/>
            <w:tcBorders>
              <w:bottom w:val="single" w:sz="8" w:color="auto"/>
            </w:tcBorders>
          </w:tcPr>
          <w:p>
            <w:pPr>
              <w:spacing w:after="0" w:line="20" w:lineRule="exact"/>
              <w:rPr>
                <w:sz w:val="1"/>
                <w:szCs w:val="1"/>
                <w:color w:val="auto"/>
              </w:rPr>
            </w:pPr>
          </w:p>
        </w:tc>
        <w:tc>
          <w:tcPr>
            <w:tcW w:w="640" w:type="dxa"/>
            <w:vAlign w:val="bottom"/>
            <w:tcBorders>
              <w:bottom w:val="single" w:sz="8" w:color="auto"/>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580" w:type="dxa"/>
            <w:vAlign w:val="bottom"/>
            <w:tcBorders>
              <w:bottom w:val="single" w:sz="8" w:color="auto"/>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20" w:type="dxa"/>
            <w:vAlign w:val="bottom"/>
            <w:tcBorders>
              <w:bottom w:val="single" w:sz="8" w:color="auto"/>
            </w:tcBorders>
          </w:tcPr>
          <w:p>
            <w:pPr>
              <w:spacing w:after="0" w:line="20" w:lineRule="exact"/>
              <w:rPr>
                <w:sz w:val="1"/>
                <w:szCs w:val="1"/>
                <w:color w:val="auto"/>
              </w:rPr>
            </w:pPr>
          </w:p>
        </w:tc>
        <w:tc>
          <w:tcPr>
            <w:tcW w:w="620" w:type="dxa"/>
            <w:vAlign w:val="bottom"/>
            <w:tcBorders>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80" w:type="dxa"/>
            <w:vAlign w:val="bottom"/>
            <w:tcBorders>
              <w:bottom w:val="single" w:sz="8" w:color="auto"/>
            </w:tcBorders>
          </w:tcPr>
          <w:p>
            <w:pPr>
              <w:spacing w:after="0" w:line="20" w:lineRule="exact"/>
              <w:rPr>
                <w:sz w:val="1"/>
                <w:szCs w:val="1"/>
                <w:color w:val="auto"/>
              </w:rPr>
            </w:pPr>
          </w:p>
        </w:tc>
        <w:tc>
          <w:tcPr>
            <w:tcW w:w="740" w:type="dxa"/>
            <w:vAlign w:val="bottom"/>
            <w:tcBorders>
              <w:bottom w:val="single" w:sz="8" w:color="auto"/>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720" w:type="dxa"/>
            <w:vAlign w:val="bottom"/>
            <w:tcBorders>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42" w:lineRule="exact"/>
        <w:rPr>
          <w:sz w:val="20"/>
          <w:szCs w:val="20"/>
          <w:color w:val="auto"/>
        </w:rPr>
      </w:pPr>
    </w:p>
    <w:p>
      <w:pPr>
        <w:ind w:left="460" w:right="40" w:hanging="452"/>
        <w:spacing w:after="0" w:line="256" w:lineRule="auto"/>
        <w:tabs>
          <w:tab w:leader="none" w:pos="460" w:val="left"/>
        </w:tabs>
        <w:numPr>
          <w:ilvl w:val="0"/>
          <w:numId w:val="10"/>
        </w:numPr>
        <w:rPr>
          <w:rFonts w:ascii="Arial" w:cs="Arial" w:eastAsia="Arial" w:hAnsi="Arial"/>
          <w:sz w:val="18"/>
          <w:szCs w:val="18"/>
          <w:i w:val="1"/>
          <w:iCs w:val="1"/>
          <w:color w:val="auto"/>
        </w:rPr>
      </w:pPr>
      <w:r>
        <w:rPr>
          <w:rFonts w:ascii="Arial" w:cs="Arial" w:eastAsia="Arial" w:hAnsi="Arial"/>
          <w:sz w:val="18"/>
          <w:szCs w:val="18"/>
          <w:color w:val="auto"/>
        </w:rPr>
        <w:t>Acquisition-related costs include the step-up in fair value of acquired inventory that was sold during the nine months ended October 27, 2012, the amortization of retention bonuses required by the terms of an acquisition and the release of a $1.5 million liability for contingent milestone that was not met during the quarter ended August 3, 2013.</w:t>
      </w:r>
    </w:p>
    <w:p>
      <w:pPr>
        <w:ind w:left="460" w:right="80" w:hanging="452"/>
        <w:spacing w:after="0" w:line="250" w:lineRule="auto"/>
        <w:tabs>
          <w:tab w:leader="none" w:pos="460" w:val="left"/>
        </w:tabs>
        <w:numPr>
          <w:ilvl w:val="0"/>
          <w:numId w:val="10"/>
        </w:numPr>
        <w:rPr>
          <w:rFonts w:ascii="Arial" w:cs="Arial" w:eastAsia="Arial" w:hAnsi="Arial"/>
          <w:sz w:val="18"/>
          <w:szCs w:val="18"/>
          <w:i w:val="1"/>
          <w:iCs w:val="1"/>
          <w:color w:val="auto"/>
        </w:rPr>
      </w:pPr>
      <w:r>
        <w:rPr>
          <w:rFonts w:ascii="Arial" w:cs="Arial" w:eastAsia="Arial" w:hAnsi="Arial"/>
          <w:sz w:val="18"/>
          <w:szCs w:val="18"/>
          <w:color w:val="auto"/>
        </w:rPr>
        <w:t>Restructuring and other exit-related costs include costs, which qualify under U.S. GAAP as restructuring costs, as well as operating expenses related to a business classified as held-for-sale that did not qualify as discontinued operations.</w:t>
      </w:r>
    </w:p>
    <w:p>
      <w:pPr>
        <w:ind w:left="460" w:right="100" w:hanging="452"/>
        <w:spacing w:after="0" w:line="250" w:lineRule="auto"/>
        <w:tabs>
          <w:tab w:leader="none" w:pos="460" w:val="left"/>
        </w:tabs>
        <w:numPr>
          <w:ilvl w:val="0"/>
          <w:numId w:val="10"/>
        </w:numPr>
        <w:rPr>
          <w:rFonts w:ascii="Arial" w:cs="Arial" w:eastAsia="Arial" w:hAnsi="Arial"/>
          <w:sz w:val="18"/>
          <w:szCs w:val="18"/>
          <w:i w:val="1"/>
          <w:iCs w:val="1"/>
          <w:color w:val="auto"/>
        </w:rPr>
      </w:pPr>
      <w:r>
        <w:rPr>
          <w:rFonts w:ascii="Arial" w:cs="Arial" w:eastAsia="Arial" w:hAnsi="Arial"/>
          <w:sz w:val="18"/>
          <w:szCs w:val="18"/>
          <w:color w:val="auto"/>
        </w:rPr>
        <w:t>Legal/Tax related matters during the nine months ended November 2, 2013 and the three months ended August 3, 2013 include a settlement fee related to a litigation matter. The amount recorded does not relate to Marvell’s litigation with Carnegie Mellon University.</w:t>
      </w:r>
    </w:p>
    <w:p>
      <w:pPr>
        <w:ind w:left="460" w:right="100" w:hanging="452"/>
        <w:spacing w:after="0" w:line="323" w:lineRule="auto"/>
        <w:tabs>
          <w:tab w:leader="none" w:pos="460" w:val="left"/>
        </w:tabs>
        <w:numPr>
          <w:ilvl w:val="0"/>
          <w:numId w:val="10"/>
        </w:numPr>
        <w:rPr>
          <w:rFonts w:ascii="Arial" w:cs="Arial" w:eastAsia="Arial" w:hAnsi="Arial"/>
          <w:sz w:val="16"/>
          <w:szCs w:val="16"/>
          <w:i w:val="1"/>
          <w:iCs w:val="1"/>
          <w:color w:val="auto"/>
        </w:rPr>
      </w:pPr>
      <w:r>
        <w:rPr>
          <w:rFonts w:ascii="Arial" w:cs="Arial" w:eastAsia="Arial" w:hAnsi="Arial"/>
          <w:sz w:val="16"/>
          <w:szCs w:val="16"/>
          <w:color w:val="auto"/>
        </w:rPr>
        <w:t>For purposes of calculating non-GAAP diluted net income per share, the GAAP diluted weighted average shares outstanding is adjusted to exclude the potential benefits of stock-based compensation costs expected to be incurred in future periods but not yet recognized in the financial statements.</w:t>
      </w:r>
    </w:p>
    <w:p>
      <w:pPr>
        <w:spacing w:after="0" w:line="71"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10</w:t>
      </w:r>
    </w:p>
    <w:p>
      <w:pPr>
        <w:sectPr>
          <w:pgSz w:w="11900" w:h="16838" w:orient="portrait"/>
          <w:cols w:equalWidth="0" w:num="1">
            <w:col w:w="11420"/>
          </w:cols>
          <w:pgMar w:left="240" w:top="270" w:right="239" w:bottom="1440" w:gutter="0" w:footer="0" w:header="0"/>
        </w:sectPr>
      </w:pPr>
    </w:p>
    <w:bookmarkStart w:id="16" w:name="page17"/>
    <w:bookmarkEnd w:id="16"/>
    <w:p>
      <w:pPr>
        <w:jc w:val="center"/>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3">
                      <a:extLst>
                        <a:ext uri="{28A0092B-C50C-407E-A947-70E740481C1C}"/>
                      </a:extLst>
                    </a:blip>
                    <a:srcRect/>
                    <a:stretch>
                      <a:fillRect/>
                    </a:stretch>
                  </pic:blipFill>
                  <pic:spPr bwMode="auto">
                    <a:xfrm>
                      <a:off x="0" y="0"/>
                      <a:ext cx="7289165" cy="38735"/>
                    </a:xfrm>
                    <a:prstGeom prst="rect">
                      <a:avLst/>
                    </a:prstGeom>
                    <a:noFill/>
                  </pic:spPr>
                </pic:pic>
              </a:graphicData>
            </a:graphic>
          </wp:anchor>
        </w:drawing>
        <w:t>Marvell Technology Group Ltd.</w:t>
      </w:r>
    </w:p>
    <w:p>
      <w:pPr>
        <w:spacing w:after="0" w:line="2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Reconciliations from GAAP to Non-GAAP Outlook</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(Unaudited)</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(In millions, except per share amounts)</w:t>
      </w:r>
    </w:p>
    <w:p>
      <w:pPr>
        <w:spacing w:after="0" w:line="217" w:lineRule="exact"/>
        <w:rPr>
          <w:sz w:val="20"/>
          <w:szCs w:val="20"/>
          <w:color w:val="auto"/>
        </w:rPr>
      </w:pPr>
    </w:p>
    <w:tbl>
      <w:tblPr>
        <w:tblLayout w:type="fixed"/>
        <w:tblInd w:w="18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7020" w:type="dxa"/>
            <w:vAlign w:val="bottom"/>
          </w:tcPr>
          <w:p>
            <w:pPr>
              <w:spacing w:after="0"/>
              <w:rPr>
                <w:sz w:val="14"/>
                <w:szCs w:val="14"/>
                <w:color w:val="auto"/>
              </w:rPr>
            </w:pPr>
          </w:p>
        </w:tc>
        <w:tc>
          <w:tcPr>
            <w:tcW w:w="1640" w:type="dxa"/>
            <w:vAlign w:val="bottom"/>
            <w:gridSpan w:val="4"/>
          </w:tcPr>
          <w:p>
            <w:pPr>
              <w:jc w:val="right"/>
              <w:ind w:right="220"/>
              <w:spacing w:after="0"/>
              <w:rPr>
                <w:sz w:val="20"/>
                <w:szCs w:val="20"/>
                <w:color w:val="auto"/>
              </w:rPr>
            </w:pPr>
            <w:r>
              <w:rPr>
                <w:rFonts w:ascii="Arial" w:cs="Arial" w:eastAsia="Arial" w:hAnsi="Arial"/>
                <w:sz w:val="14"/>
                <w:szCs w:val="14"/>
                <w:b w:val="1"/>
                <w:bCs w:val="1"/>
                <w:color w:val="auto"/>
              </w:rPr>
              <w:t>Q4 FY2014</w:t>
            </w:r>
          </w:p>
        </w:tc>
        <w:tc>
          <w:tcPr>
            <w:tcW w:w="0" w:type="dxa"/>
            <w:vAlign w:val="bottom"/>
          </w:tcPr>
          <w:p>
            <w:pPr>
              <w:spacing w:after="0"/>
              <w:rPr>
                <w:sz w:val="1"/>
                <w:szCs w:val="1"/>
                <w:color w:val="auto"/>
              </w:rPr>
            </w:pPr>
          </w:p>
        </w:tc>
      </w:tr>
      <w:tr>
        <w:trPr>
          <w:trHeight w:val="171"/>
        </w:trPr>
        <w:tc>
          <w:tcPr>
            <w:tcW w:w="20" w:type="dxa"/>
            <w:vAlign w:val="bottom"/>
          </w:tcPr>
          <w:p>
            <w:pPr>
              <w:spacing w:after="0"/>
              <w:rPr>
                <w:sz w:val="14"/>
                <w:szCs w:val="14"/>
                <w:color w:val="auto"/>
              </w:rPr>
            </w:pPr>
          </w:p>
        </w:tc>
        <w:tc>
          <w:tcPr>
            <w:tcW w:w="702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820" w:type="dxa"/>
            <w:vAlign w:val="bottom"/>
            <w:gridSpan w:val="2"/>
          </w:tcPr>
          <w:p>
            <w:pPr>
              <w:jc w:val="right"/>
              <w:ind w:right="320"/>
              <w:spacing w:after="0"/>
              <w:rPr>
                <w:sz w:val="20"/>
                <w:szCs w:val="20"/>
                <w:color w:val="auto"/>
              </w:rPr>
            </w:pPr>
            <w:r>
              <w:rPr>
                <w:rFonts w:ascii="Arial" w:cs="Arial" w:eastAsia="Arial" w:hAnsi="Arial"/>
                <w:sz w:val="14"/>
                <w:szCs w:val="14"/>
                <w:b w:val="1"/>
                <w:bCs w:val="1"/>
                <w:color w:val="auto"/>
                <w:w w:val="90"/>
              </w:rPr>
              <w:t>Outlook</w:t>
            </w:r>
          </w:p>
        </w:tc>
        <w:tc>
          <w:tcPr>
            <w:tcW w:w="0" w:type="dxa"/>
            <w:vAlign w:val="bottom"/>
          </w:tcPr>
          <w:p>
            <w:pPr>
              <w:spacing w:after="0"/>
              <w:rPr>
                <w:sz w:val="1"/>
                <w:szCs w:val="1"/>
                <w:color w:val="auto"/>
              </w:rPr>
            </w:pPr>
          </w:p>
        </w:tc>
      </w:tr>
      <w:tr>
        <w:trPr>
          <w:trHeight w:val="196"/>
        </w:trPr>
        <w:tc>
          <w:tcPr>
            <w:tcW w:w="20" w:type="dxa"/>
            <w:vAlign w:val="bottom"/>
          </w:tcPr>
          <w:p>
            <w:pPr>
              <w:spacing w:after="0"/>
              <w:rPr>
                <w:sz w:val="17"/>
                <w:szCs w:val="17"/>
                <w:color w:val="auto"/>
              </w:rPr>
            </w:pPr>
          </w:p>
        </w:tc>
        <w:tc>
          <w:tcPr>
            <w:tcW w:w="7020" w:type="dxa"/>
            <w:vAlign w:val="bottom"/>
            <w:tcBorders>
              <w:top w:val="single" w:sz="8" w:color="CCEEFF"/>
            </w:tcBorders>
            <w:shd w:val="clear" w:color="auto" w:fill="CCEEFF"/>
          </w:tcPr>
          <w:p>
            <w:pPr>
              <w:spacing w:after="0" w:line="196" w:lineRule="exact"/>
              <w:rPr>
                <w:sz w:val="20"/>
                <w:szCs w:val="20"/>
                <w:color w:val="auto"/>
              </w:rPr>
            </w:pPr>
            <w:r>
              <w:rPr>
                <w:rFonts w:ascii="Arial" w:cs="Arial" w:eastAsia="Arial" w:hAnsi="Arial"/>
                <w:sz w:val="18"/>
                <w:szCs w:val="18"/>
                <w:b w:val="1"/>
                <w:bCs w:val="1"/>
                <w:color w:val="auto"/>
              </w:rPr>
              <w:t>Note : Amounts represent the midpoint of the expected range</w:t>
            </w:r>
          </w:p>
        </w:tc>
        <w:tc>
          <w:tcPr>
            <w:tcW w:w="740" w:type="dxa"/>
            <w:vAlign w:val="bottom"/>
            <w:tcBorders>
              <w:top w:val="single" w:sz="8" w:color="CCEEFF"/>
            </w:tcBorders>
            <w:shd w:val="clear" w:color="auto" w:fill="CCEEFF"/>
          </w:tcPr>
          <w:p>
            <w:pPr>
              <w:spacing w:after="0"/>
              <w:rPr>
                <w:sz w:val="17"/>
                <w:szCs w:val="17"/>
                <w:color w:val="auto"/>
              </w:rPr>
            </w:pPr>
          </w:p>
        </w:tc>
        <w:tc>
          <w:tcPr>
            <w:tcW w:w="80" w:type="dxa"/>
            <w:vAlign w:val="bottom"/>
            <w:tcBorders>
              <w:top w:val="single" w:sz="8" w:color="auto"/>
            </w:tcBorders>
            <w:shd w:val="clear" w:color="auto" w:fill="CCEEFF"/>
          </w:tcPr>
          <w:p>
            <w:pPr>
              <w:spacing w:after="0"/>
              <w:rPr>
                <w:sz w:val="17"/>
                <w:szCs w:val="17"/>
                <w:color w:val="auto"/>
              </w:rPr>
            </w:pPr>
          </w:p>
        </w:tc>
        <w:tc>
          <w:tcPr>
            <w:tcW w:w="620" w:type="dxa"/>
            <w:vAlign w:val="bottom"/>
            <w:tcBorders>
              <w:top w:val="single" w:sz="8" w:color="auto"/>
            </w:tcBorders>
            <w:shd w:val="clear" w:color="auto" w:fill="CCEEFF"/>
          </w:tcPr>
          <w:p>
            <w:pPr>
              <w:spacing w:after="0"/>
              <w:rPr>
                <w:sz w:val="17"/>
                <w:szCs w:val="17"/>
                <w:color w:val="auto"/>
              </w:rPr>
            </w:pPr>
          </w:p>
        </w:tc>
        <w:tc>
          <w:tcPr>
            <w:tcW w:w="200" w:type="dxa"/>
            <w:vAlign w:val="bottom"/>
            <w:tcBorders>
              <w:top w:val="single" w:sz="8" w:color="CCEEFF"/>
            </w:tcBorders>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324"/>
        </w:trPr>
        <w:tc>
          <w:tcPr>
            <w:tcW w:w="7040" w:type="dxa"/>
            <w:vAlign w:val="bottom"/>
            <w:gridSpan w:val="2"/>
          </w:tcPr>
          <w:p>
            <w:pPr>
              <w:spacing w:after="0"/>
              <w:rPr>
                <w:sz w:val="20"/>
                <w:szCs w:val="20"/>
                <w:color w:val="auto"/>
              </w:rPr>
            </w:pPr>
            <w:r>
              <w:rPr>
                <w:rFonts w:ascii="Arial" w:cs="Arial" w:eastAsia="Arial" w:hAnsi="Arial"/>
                <w:sz w:val="18"/>
                <w:szCs w:val="18"/>
                <w:color w:val="auto"/>
              </w:rPr>
              <w:t>GAAP gross margin</w:t>
            </w:r>
          </w:p>
        </w:tc>
        <w:tc>
          <w:tcPr>
            <w:tcW w:w="74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820" w:type="dxa"/>
            <w:vAlign w:val="bottom"/>
            <w:gridSpan w:val="2"/>
          </w:tcPr>
          <w:p>
            <w:pPr>
              <w:jc w:val="right"/>
              <w:ind w:right="60"/>
              <w:spacing w:after="0"/>
              <w:rPr>
                <w:sz w:val="20"/>
                <w:szCs w:val="20"/>
                <w:color w:val="auto"/>
              </w:rPr>
            </w:pPr>
            <w:r>
              <w:rPr>
                <w:rFonts w:ascii="Arial" w:cs="Arial" w:eastAsia="Arial" w:hAnsi="Arial"/>
                <w:sz w:val="18"/>
                <w:szCs w:val="18"/>
                <w:color w:val="auto"/>
              </w:rPr>
              <w:t>49.7%</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020" w:type="dxa"/>
            <w:vAlign w:val="bottom"/>
            <w:shd w:val="clear" w:color="auto" w:fill="CCEEFF"/>
          </w:tcPr>
          <w:p>
            <w:pPr>
              <w:ind w:left="340"/>
              <w:spacing w:after="0"/>
              <w:rPr>
                <w:sz w:val="20"/>
                <w:szCs w:val="20"/>
                <w:color w:val="auto"/>
              </w:rPr>
            </w:pPr>
            <w:r>
              <w:rPr>
                <w:rFonts w:ascii="Arial" w:cs="Arial" w:eastAsia="Arial" w:hAnsi="Arial"/>
                <w:sz w:val="18"/>
                <w:szCs w:val="18"/>
                <w:color w:val="auto"/>
              </w:rPr>
              <w:t>Stock-based compensation, acquisition related costs, and other</w:t>
            </w:r>
          </w:p>
        </w:tc>
        <w:tc>
          <w:tcPr>
            <w:tcW w:w="7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0.3%</w:t>
            </w:r>
          </w:p>
        </w:tc>
        <w:tc>
          <w:tcPr>
            <w:tcW w:w="0" w:type="dxa"/>
            <w:vAlign w:val="bottom"/>
          </w:tcPr>
          <w:p>
            <w:pPr>
              <w:spacing w:after="0"/>
              <w:rPr>
                <w:sz w:val="1"/>
                <w:szCs w:val="1"/>
                <w:color w:val="auto"/>
              </w:rPr>
            </w:pPr>
          </w:p>
        </w:tc>
      </w:tr>
      <w:tr>
        <w:trPr>
          <w:trHeight w:val="20"/>
        </w:trPr>
        <w:tc>
          <w:tcPr>
            <w:tcW w:w="7040" w:type="dxa"/>
            <w:vAlign w:val="bottom"/>
            <w:gridSpan w:val="2"/>
            <w:vMerge w:val="restart"/>
          </w:tcPr>
          <w:p>
            <w:pPr>
              <w:spacing w:after="0"/>
              <w:rPr>
                <w:sz w:val="20"/>
                <w:szCs w:val="20"/>
                <w:color w:val="auto"/>
              </w:rPr>
            </w:pPr>
            <w:r>
              <w:rPr>
                <w:rFonts w:ascii="Arial" w:cs="Arial" w:eastAsia="Arial" w:hAnsi="Arial"/>
                <w:sz w:val="18"/>
                <w:szCs w:val="18"/>
                <w:color w:val="auto"/>
              </w:rPr>
              <w:t>Non-GAAP gross margin</w:t>
            </w:r>
          </w:p>
        </w:tc>
        <w:tc>
          <w:tcPr>
            <w:tcW w:w="740" w:type="dxa"/>
            <w:vAlign w:val="bottom"/>
          </w:tcPr>
          <w:p>
            <w:pPr>
              <w:spacing w:after="0" w:line="20" w:lineRule="exact"/>
              <w:rPr>
                <w:sz w:val="1"/>
                <w:szCs w:val="1"/>
                <w:color w:val="auto"/>
              </w:rPr>
            </w:pPr>
          </w:p>
        </w:tc>
        <w:tc>
          <w:tcPr>
            <w:tcW w:w="80" w:type="dxa"/>
            <w:vAlign w:val="bottom"/>
            <w:shd w:val="clear" w:color="auto" w:fill="000000"/>
          </w:tcPr>
          <w:p>
            <w:pPr>
              <w:spacing w:after="0" w:line="20" w:lineRule="exact"/>
              <w:rPr>
                <w:sz w:val="1"/>
                <w:szCs w:val="1"/>
                <w:color w:val="auto"/>
              </w:rPr>
            </w:pPr>
          </w:p>
        </w:tc>
        <w:tc>
          <w:tcPr>
            <w:tcW w:w="620" w:type="dxa"/>
            <w:vAlign w:val="bottom"/>
            <w:shd w:val="clear" w:color="auto" w:fill="000000"/>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3"/>
        </w:trPr>
        <w:tc>
          <w:tcPr>
            <w:tcW w:w="7040" w:type="dxa"/>
            <w:vAlign w:val="bottom"/>
            <w:gridSpan w:val="2"/>
            <w:vMerge w:val="continue"/>
          </w:tcPr>
          <w:p>
            <w:pPr>
              <w:spacing w:after="0"/>
              <w:rPr>
                <w:sz w:val="19"/>
                <w:szCs w:val="19"/>
                <w:color w:val="auto"/>
              </w:rPr>
            </w:pPr>
          </w:p>
        </w:tc>
        <w:tc>
          <w:tcPr>
            <w:tcW w:w="74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820" w:type="dxa"/>
            <w:vAlign w:val="bottom"/>
            <w:gridSpan w:val="2"/>
          </w:tcPr>
          <w:p>
            <w:pPr>
              <w:jc w:val="right"/>
              <w:ind w:right="60"/>
              <w:spacing w:after="0"/>
              <w:rPr>
                <w:sz w:val="20"/>
                <w:szCs w:val="20"/>
                <w:color w:val="auto"/>
              </w:rPr>
            </w:pPr>
            <w:r>
              <w:rPr>
                <w:rFonts w:ascii="Arial" w:cs="Arial" w:eastAsia="Arial" w:hAnsi="Arial"/>
                <w:sz w:val="18"/>
                <w:szCs w:val="18"/>
                <w:color w:val="auto"/>
              </w:rPr>
              <w:t>50.0%</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7020" w:type="dxa"/>
            <w:vAlign w:val="bottom"/>
          </w:tcPr>
          <w:p>
            <w:pPr>
              <w:spacing w:after="0" w:line="20" w:lineRule="exact"/>
              <w:rPr>
                <w:sz w:val="1"/>
                <w:szCs w:val="1"/>
                <w:color w:val="auto"/>
              </w:rPr>
            </w:pPr>
          </w:p>
        </w:tc>
        <w:tc>
          <w:tcPr>
            <w:tcW w:w="740" w:type="dxa"/>
            <w:vAlign w:val="bottom"/>
          </w:tcPr>
          <w:p>
            <w:pPr>
              <w:spacing w:after="0" w:line="20" w:lineRule="exact"/>
              <w:rPr>
                <w:sz w:val="1"/>
                <w:szCs w:val="1"/>
                <w:color w:val="auto"/>
              </w:rPr>
            </w:pPr>
          </w:p>
        </w:tc>
        <w:tc>
          <w:tcPr>
            <w:tcW w:w="700" w:type="dxa"/>
            <w:vAlign w:val="bottom"/>
            <w:tcBorders>
              <w:top w:val="single" w:sz="8" w:color="auto"/>
              <w:bottom w:val="single" w:sz="8" w:color="auto"/>
            </w:tcBorders>
            <w:gridSpan w:val="2"/>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36"/>
        </w:trPr>
        <w:tc>
          <w:tcPr>
            <w:tcW w:w="20" w:type="dxa"/>
            <w:vAlign w:val="bottom"/>
          </w:tcPr>
          <w:p>
            <w:pPr>
              <w:spacing w:after="0"/>
              <w:rPr>
                <w:sz w:val="24"/>
                <w:szCs w:val="24"/>
                <w:color w:val="auto"/>
              </w:rPr>
            </w:pPr>
          </w:p>
        </w:tc>
        <w:tc>
          <w:tcPr>
            <w:tcW w:w="7020" w:type="dxa"/>
            <w:vAlign w:val="bottom"/>
          </w:tcPr>
          <w:p>
            <w:pPr>
              <w:spacing w:after="0"/>
              <w:rPr>
                <w:sz w:val="24"/>
                <w:szCs w:val="24"/>
                <w:color w:val="auto"/>
              </w:rPr>
            </w:pPr>
          </w:p>
        </w:tc>
        <w:tc>
          <w:tcPr>
            <w:tcW w:w="1640" w:type="dxa"/>
            <w:vAlign w:val="bottom"/>
            <w:gridSpan w:val="4"/>
          </w:tcPr>
          <w:p>
            <w:pPr>
              <w:jc w:val="right"/>
              <w:ind w:right="220"/>
              <w:spacing w:after="0"/>
              <w:rPr>
                <w:sz w:val="20"/>
                <w:szCs w:val="20"/>
                <w:color w:val="auto"/>
              </w:rPr>
            </w:pPr>
            <w:r>
              <w:rPr>
                <w:rFonts w:ascii="Arial" w:cs="Arial" w:eastAsia="Arial" w:hAnsi="Arial"/>
                <w:sz w:val="14"/>
                <w:szCs w:val="14"/>
                <w:b w:val="1"/>
                <w:bCs w:val="1"/>
                <w:color w:val="auto"/>
              </w:rPr>
              <w:t>Q4 FY2014</w:t>
            </w:r>
          </w:p>
        </w:tc>
        <w:tc>
          <w:tcPr>
            <w:tcW w:w="0" w:type="dxa"/>
            <w:vAlign w:val="bottom"/>
          </w:tcPr>
          <w:p>
            <w:pPr>
              <w:spacing w:after="0"/>
              <w:rPr>
                <w:sz w:val="1"/>
                <w:szCs w:val="1"/>
                <w:color w:val="auto"/>
              </w:rPr>
            </w:pPr>
          </w:p>
        </w:tc>
      </w:tr>
      <w:tr>
        <w:trPr>
          <w:trHeight w:val="171"/>
        </w:trPr>
        <w:tc>
          <w:tcPr>
            <w:tcW w:w="20" w:type="dxa"/>
            <w:vAlign w:val="bottom"/>
          </w:tcPr>
          <w:p>
            <w:pPr>
              <w:spacing w:after="0"/>
              <w:rPr>
                <w:sz w:val="14"/>
                <w:szCs w:val="14"/>
                <w:color w:val="auto"/>
              </w:rPr>
            </w:pPr>
          </w:p>
        </w:tc>
        <w:tc>
          <w:tcPr>
            <w:tcW w:w="702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820" w:type="dxa"/>
            <w:vAlign w:val="bottom"/>
            <w:gridSpan w:val="2"/>
          </w:tcPr>
          <w:p>
            <w:pPr>
              <w:jc w:val="right"/>
              <w:ind w:right="320"/>
              <w:spacing w:after="0"/>
              <w:rPr>
                <w:sz w:val="20"/>
                <w:szCs w:val="20"/>
                <w:color w:val="auto"/>
              </w:rPr>
            </w:pPr>
            <w:r>
              <w:rPr>
                <w:rFonts w:ascii="Arial" w:cs="Arial" w:eastAsia="Arial" w:hAnsi="Arial"/>
                <w:sz w:val="14"/>
                <w:szCs w:val="14"/>
                <w:b w:val="1"/>
                <w:bCs w:val="1"/>
                <w:color w:val="auto"/>
                <w:w w:val="90"/>
              </w:rPr>
              <w:t>Outlook</w:t>
            </w: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7020" w:type="dxa"/>
            <w:vAlign w:val="bottom"/>
            <w:tcBorders>
              <w:top w:val="single" w:sz="8" w:color="CCEEFF"/>
            </w:tcBorders>
            <w:shd w:val="clear" w:color="auto" w:fill="CCEEFF"/>
          </w:tcPr>
          <w:p>
            <w:pPr>
              <w:spacing w:after="0"/>
              <w:rPr>
                <w:sz w:val="20"/>
                <w:szCs w:val="20"/>
                <w:color w:val="auto"/>
              </w:rPr>
            </w:pPr>
            <w:r>
              <w:rPr>
                <w:rFonts w:ascii="Arial" w:cs="Arial" w:eastAsia="Arial" w:hAnsi="Arial"/>
                <w:sz w:val="18"/>
                <w:szCs w:val="18"/>
                <w:color w:val="auto"/>
              </w:rPr>
              <w:t>GAAP operating expenses</w:t>
            </w:r>
          </w:p>
        </w:tc>
        <w:tc>
          <w:tcPr>
            <w:tcW w:w="740" w:type="dxa"/>
            <w:vAlign w:val="bottom"/>
            <w:tcBorders>
              <w:top w:val="single" w:sz="8" w:color="CCEEFF"/>
            </w:tcBorders>
            <w:shd w:val="clear" w:color="auto" w:fill="CCEEFF"/>
          </w:tcPr>
          <w:p>
            <w:pPr>
              <w:spacing w:after="0"/>
              <w:rPr>
                <w:sz w:val="18"/>
                <w:szCs w:val="18"/>
                <w:color w:val="auto"/>
              </w:rPr>
            </w:pPr>
          </w:p>
        </w:tc>
        <w:tc>
          <w:tcPr>
            <w:tcW w:w="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6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360</w:t>
            </w:r>
          </w:p>
        </w:tc>
        <w:tc>
          <w:tcPr>
            <w:tcW w:w="200" w:type="dxa"/>
            <w:vAlign w:val="bottom"/>
            <w:tcBorders>
              <w:top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2"/>
        </w:trPr>
        <w:tc>
          <w:tcPr>
            <w:tcW w:w="20" w:type="dxa"/>
            <w:vAlign w:val="bottom"/>
          </w:tcPr>
          <w:p>
            <w:pPr>
              <w:spacing w:after="0"/>
              <w:rPr>
                <w:sz w:val="17"/>
                <w:szCs w:val="17"/>
                <w:color w:val="auto"/>
              </w:rPr>
            </w:pPr>
          </w:p>
        </w:tc>
        <w:tc>
          <w:tcPr>
            <w:tcW w:w="7020" w:type="dxa"/>
            <w:vAlign w:val="bottom"/>
          </w:tcPr>
          <w:p>
            <w:pPr>
              <w:ind w:left="340"/>
              <w:spacing w:after="0" w:line="201" w:lineRule="exact"/>
              <w:rPr>
                <w:sz w:val="20"/>
                <w:szCs w:val="20"/>
                <w:color w:val="auto"/>
              </w:rPr>
            </w:pPr>
            <w:r>
              <w:rPr>
                <w:rFonts w:ascii="Arial" w:cs="Arial" w:eastAsia="Arial" w:hAnsi="Arial"/>
                <w:sz w:val="18"/>
                <w:szCs w:val="18"/>
                <w:color w:val="auto"/>
              </w:rPr>
              <w:t>Stock-based compensation, acquisition-related costs, restructuring, amortization of</w:t>
            </w:r>
          </w:p>
        </w:tc>
        <w:tc>
          <w:tcPr>
            <w:tcW w:w="74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20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30"/>
        </w:trPr>
        <w:tc>
          <w:tcPr>
            <w:tcW w:w="20" w:type="dxa"/>
            <w:vAlign w:val="bottom"/>
          </w:tcPr>
          <w:p>
            <w:pPr>
              <w:spacing w:after="0"/>
              <w:rPr>
                <w:sz w:val="20"/>
                <w:szCs w:val="20"/>
                <w:color w:val="auto"/>
              </w:rPr>
            </w:pPr>
          </w:p>
        </w:tc>
        <w:tc>
          <w:tcPr>
            <w:tcW w:w="7020" w:type="dxa"/>
            <w:vAlign w:val="bottom"/>
          </w:tcPr>
          <w:p>
            <w:pPr>
              <w:ind w:left="520"/>
              <w:spacing w:after="0"/>
              <w:rPr>
                <w:sz w:val="20"/>
                <w:szCs w:val="20"/>
                <w:color w:val="auto"/>
              </w:rPr>
            </w:pPr>
            <w:r>
              <w:rPr>
                <w:rFonts w:ascii="Arial" w:cs="Arial" w:eastAsia="Arial" w:hAnsi="Arial"/>
                <w:sz w:val="18"/>
                <w:szCs w:val="18"/>
                <w:color w:val="auto"/>
              </w:rPr>
              <w:t>intangible assets and other</w:t>
            </w:r>
          </w:p>
        </w:tc>
        <w:tc>
          <w:tcPr>
            <w:tcW w:w="740" w:type="dxa"/>
            <w:vAlign w:val="bottom"/>
          </w:tcPr>
          <w:p>
            <w:pPr>
              <w:spacing w:after="0"/>
              <w:rPr>
                <w:sz w:val="20"/>
                <w:szCs w:val="20"/>
                <w:color w:val="auto"/>
              </w:rPr>
            </w:pPr>
          </w:p>
        </w:tc>
        <w:tc>
          <w:tcPr>
            <w:tcW w:w="80" w:type="dxa"/>
            <w:vAlign w:val="bottom"/>
          </w:tcPr>
          <w:p>
            <w:pPr>
              <w:spacing w:after="0"/>
              <w:rPr>
                <w:sz w:val="20"/>
                <w:szCs w:val="20"/>
                <w:color w:val="auto"/>
              </w:rPr>
            </w:pPr>
          </w:p>
        </w:tc>
        <w:tc>
          <w:tcPr>
            <w:tcW w:w="820" w:type="dxa"/>
            <w:vAlign w:val="bottom"/>
            <w:gridSpan w:val="2"/>
          </w:tcPr>
          <w:p>
            <w:pPr>
              <w:jc w:val="right"/>
              <w:ind w:right="160"/>
              <w:spacing w:after="0"/>
              <w:rPr>
                <w:sz w:val="20"/>
                <w:szCs w:val="20"/>
                <w:color w:val="auto"/>
              </w:rPr>
            </w:pPr>
            <w:r>
              <w:rPr>
                <w:rFonts w:ascii="Arial" w:cs="Arial" w:eastAsia="Arial" w:hAnsi="Arial"/>
                <w:sz w:val="18"/>
                <w:szCs w:val="18"/>
                <w:color w:val="auto"/>
              </w:rPr>
              <w:t>(45)</w:t>
            </w:r>
          </w:p>
        </w:tc>
        <w:tc>
          <w:tcPr>
            <w:tcW w:w="0" w:type="dxa"/>
            <w:vAlign w:val="bottom"/>
          </w:tcPr>
          <w:p>
            <w:pPr>
              <w:spacing w:after="0"/>
              <w:rPr>
                <w:sz w:val="1"/>
                <w:szCs w:val="1"/>
                <w:color w:val="auto"/>
              </w:rPr>
            </w:pPr>
          </w:p>
        </w:tc>
      </w:tr>
      <w:tr>
        <w:trPr>
          <w:trHeight w:val="27"/>
        </w:trPr>
        <w:tc>
          <w:tcPr>
            <w:tcW w:w="20" w:type="dxa"/>
            <w:vAlign w:val="bottom"/>
            <w:vMerge w:val="restart"/>
          </w:tcPr>
          <w:p>
            <w:pPr>
              <w:spacing w:after="0"/>
              <w:rPr>
                <w:sz w:val="2"/>
                <w:szCs w:val="2"/>
                <w:color w:val="auto"/>
              </w:rPr>
            </w:pPr>
          </w:p>
        </w:tc>
        <w:tc>
          <w:tcPr>
            <w:tcW w:w="7020" w:type="dxa"/>
            <w:vAlign w:val="bottom"/>
          </w:tcPr>
          <w:p>
            <w:pPr>
              <w:spacing w:after="0"/>
              <w:rPr>
                <w:sz w:val="2"/>
                <w:szCs w:val="2"/>
                <w:color w:val="auto"/>
              </w:rPr>
            </w:pPr>
          </w:p>
        </w:tc>
        <w:tc>
          <w:tcPr>
            <w:tcW w:w="74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620" w:type="dxa"/>
            <w:vAlign w:val="bottom"/>
            <w:shd w:val="clear" w:color="auto" w:fill="000000"/>
          </w:tcPr>
          <w:p>
            <w:pPr>
              <w:spacing w:after="0"/>
              <w:rPr>
                <w:sz w:val="2"/>
                <w:szCs w:val="2"/>
                <w:color w:val="auto"/>
              </w:rPr>
            </w:pPr>
          </w:p>
        </w:tc>
        <w:tc>
          <w:tcPr>
            <w:tcW w:w="2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7020" w:type="dxa"/>
            <w:vAlign w:val="bottom"/>
            <w:shd w:val="clear" w:color="auto" w:fill="CCEEFF"/>
          </w:tcPr>
          <w:p>
            <w:pPr>
              <w:spacing w:after="0"/>
              <w:rPr>
                <w:sz w:val="20"/>
                <w:szCs w:val="20"/>
                <w:color w:val="auto"/>
              </w:rPr>
            </w:pPr>
            <w:r>
              <w:rPr>
                <w:rFonts w:ascii="Arial" w:cs="Arial" w:eastAsia="Arial" w:hAnsi="Arial"/>
                <w:sz w:val="18"/>
                <w:szCs w:val="18"/>
                <w:color w:val="auto"/>
              </w:rPr>
              <w:t>Non-GAAP operating expenses</w:t>
            </w:r>
          </w:p>
        </w:tc>
        <w:tc>
          <w:tcPr>
            <w:tcW w:w="8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6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315</w:t>
            </w:r>
          </w:p>
        </w:tc>
        <w:tc>
          <w:tcPr>
            <w:tcW w:w="2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7020" w:type="dxa"/>
            <w:vAlign w:val="bottom"/>
          </w:tcPr>
          <w:p>
            <w:pPr>
              <w:spacing w:after="0" w:line="20" w:lineRule="exact"/>
              <w:rPr>
                <w:sz w:val="1"/>
                <w:szCs w:val="1"/>
                <w:color w:val="auto"/>
              </w:rPr>
            </w:pPr>
          </w:p>
        </w:tc>
        <w:tc>
          <w:tcPr>
            <w:tcW w:w="740" w:type="dxa"/>
            <w:vAlign w:val="bottom"/>
          </w:tcPr>
          <w:p>
            <w:pPr>
              <w:spacing w:after="0" w:line="20" w:lineRule="exact"/>
              <w:rPr>
                <w:sz w:val="1"/>
                <w:szCs w:val="1"/>
                <w:color w:val="auto"/>
              </w:rPr>
            </w:pPr>
          </w:p>
        </w:tc>
        <w:tc>
          <w:tcPr>
            <w:tcW w:w="700" w:type="dxa"/>
            <w:vAlign w:val="bottom"/>
            <w:tcBorders>
              <w:top w:val="single" w:sz="8" w:color="auto"/>
              <w:bottom w:val="single" w:sz="8" w:color="auto"/>
            </w:tcBorders>
            <w:gridSpan w:val="2"/>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36"/>
        </w:trPr>
        <w:tc>
          <w:tcPr>
            <w:tcW w:w="20" w:type="dxa"/>
            <w:vAlign w:val="bottom"/>
          </w:tcPr>
          <w:p>
            <w:pPr>
              <w:spacing w:after="0"/>
              <w:rPr>
                <w:sz w:val="24"/>
                <w:szCs w:val="24"/>
                <w:color w:val="auto"/>
              </w:rPr>
            </w:pPr>
          </w:p>
        </w:tc>
        <w:tc>
          <w:tcPr>
            <w:tcW w:w="7020" w:type="dxa"/>
            <w:vAlign w:val="bottom"/>
          </w:tcPr>
          <w:p>
            <w:pPr>
              <w:spacing w:after="0"/>
              <w:rPr>
                <w:sz w:val="24"/>
                <w:szCs w:val="24"/>
                <w:color w:val="auto"/>
              </w:rPr>
            </w:pPr>
          </w:p>
        </w:tc>
        <w:tc>
          <w:tcPr>
            <w:tcW w:w="1640" w:type="dxa"/>
            <w:vAlign w:val="bottom"/>
            <w:gridSpan w:val="4"/>
          </w:tcPr>
          <w:p>
            <w:pPr>
              <w:jc w:val="right"/>
              <w:ind w:right="220"/>
              <w:spacing w:after="0"/>
              <w:rPr>
                <w:sz w:val="20"/>
                <w:szCs w:val="20"/>
                <w:color w:val="auto"/>
              </w:rPr>
            </w:pPr>
            <w:r>
              <w:rPr>
                <w:rFonts w:ascii="Arial" w:cs="Arial" w:eastAsia="Arial" w:hAnsi="Arial"/>
                <w:sz w:val="14"/>
                <w:szCs w:val="14"/>
                <w:b w:val="1"/>
                <w:bCs w:val="1"/>
                <w:color w:val="auto"/>
              </w:rPr>
              <w:t>Q4 FY2014</w:t>
            </w:r>
          </w:p>
        </w:tc>
        <w:tc>
          <w:tcPr>
            <w:tcW w:w="0" w:type="dxa"/>
            <w:vAlign w:val="bottom"/>
          </w:tcPr>
          <w:p>
            <w:pPr>
              <w:spacing w:after="0"/>
              <w:rPr>
                <w:sz w:val="1"/>
                <w:szCs w:val="1"/>
                <w:color w:val="auto"/>
              </w:rPr>
            </w:pPr>
          </w:p>
        </w:tc>
      </w:tr>
      <w:tr>
        <w:trPr>
          <w:trHeight w:val="171"/>
        </w:trPr>
        <w:tc>
          <w:tcPr>
            <w:tcW w:w="20" w:type="dxa"/>
            <w:vAlign w:val="bottom"/>
          </w:tcPr>
          <w:p>
            <w:pPr>
              <w:spacing w:after="0"/>
              <w:rPr>
                <w:sz w:val="14"/>
                <w:szCs w:val="14"/>
                <w:color w:val="auto"/>
              </w:rPr>
            </w:pPr>
          </w:p>
        </w:tc>
        <w:tc>
          <w:tcPr>
            <w:tcW w:w="702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820" w:type="dxa"/>
            <w:vAlign w:val="bottom"/>
            <w:gridSpan w:val="2"/>
          </w:tcPr>
          <w:p>
            <w:pPr>
              <w:jc w:val="right"/>
              <w:ind w:right="320"/>
              <w:spacing w:after="0"/>
              <w:rPr>
                <w:sz w:val="20"/>
                <w:szCs w:val="20"/>
                <w:color w:val="auto"/>
              </w:rPr>
            </w:pPr>
            <w:r>
              <w:rPr>
                <w:rFonts w:ascii="Arial" w:cs="Arial" w:eastAsia="Arial" w:hAnsi="Arial"/>
                <w:sz w:val="14"/>
                <w:szCs w:val="14"/>
                <w:b w:val="1"/>
                <w:bCs w:val="1"/>
                <w:color w:val="auto"/>
                <w:w w:val="90"/>
              </w:rPr>
              <w:t>Outlook</w:t>
            </w: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7020" w:type="dxa"/>
            <w:vAlign w:val="bottom"/>
            <w:tcBorders>
              <w:top w:val="single" w:sz="8" w:color="CCEEFF"/>
            </w:tcBorders>
            <w:shd w:val="clear" w:color="auto" w:fill="CCEEFF"/>
          </w:tcPr>
          <w:p>
            <w:pPr>
              <w:spacing w:after="0"/>
              <w:rPr>
                <w:sz w:val="20"/>
                <w:szCs w:val="20"/>
                <w:color w:val="auto"/>
              </w:rPr>
            </w:pPr>
            <w:r>
              <w:rPr>
                <w:rFonts w:ascii="Arial" w:cs="Arial" w:eastAsia="Arial" w:hAnsi="Arial"/>
                <w:sz w:val="18"/>
                <w:szCs w:val="18"/>
                <w:color w:val="auto"/>
              </w:rPr>
              <w:t>GAAP diluted earnings per share</w:t>
            </w:r>
          </w:p>
        </w:tc>
        <w:tc>
          <w:tcPr>
            <w:tcW w:w="740" w:type="dxa"/>
            <w:vAlign w:val="bottom"/>
            <w:tcBorders>
              <w:top w:val="single" w:sz="8" w:color="CCEEFF"/>
            </w:tcBorders>
            <w:shd w:val="clear" w:color="auto" w:fill="CCEEFF"/>
          </w:tcPr>
          <w:p>
            <w:pPr>
              <w:spacing w:after="0"/>
              <w:rPr>
                <w:sz w:val="18"/>
                <w:szCs w:val="18"/>
                <w:color w:val="auto"/>
              </w:rPr>
            </w:pPr>
          </w:p>
        </w:tc>
        <w:tc>
          <w:tcPr>
            <w:tcW w:w="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6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0.16</w:t>
            </w:r>
          </w:p>
        </w:tc>
        <w:tc>
          <w:tcPr>
            <w:tcW w:w="200" w:type="dxa"/>
            <w:vAlign w:val="bottom"/>
            <w:tcBorders>
              <w:top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2"/>
        </w:trPr>
        <w:tc>
          <w:tcPr>
            <w:tcW w:w="20" w:type="dxa"/>
            <w:vAlign w:val="bottom"/>
          </w:tcPr>
          <w:p>
            <w:pPr>
              <w:spacing w:after="0"/>
              <w:rPr>
                <w:sz w:val="17"/>
                <w:szCs w:val="17"/>
                <w:color w:val="auto"/>
              </w:rPr>
            </w:pPr>
          </w:p>
        </w:tc>
        <w:tc>
          <w:tcPr>
            <w:tcW w:w="7020" w:type="dxa"/>
            <w:vAlign w:val="bottom"/>
          </w:tcPr>
          <w:p>
            <w:pPr>
              <w:ind w:left="340"/>
              <w:spacing w:after="0" w:line="201" w:lineRule="exact"/>
              <w:rPr>
                <w:sz w:val="20"/>
                <w:szCs w:val="20"/>
                <w:color w:val="auto"/>
              </w:rPr>
            </w:pPr>
            <w:r>
              <w:rPr>
                <w:rFonts w:ascii="Arial" w:cs="Arial" w:eastAsia="Arial" w:hAnsi="Arial"/>
                <w:sz w:val="18"/>
                <w:szCs w:val="18"/>
                <w:color w:val="auto"/>
              </w:rPr>
              <w:t>Stock-based compensation, acquisition-related costs, restructuring, amortization of</w:t>
            </w:r>
          </w:p>
        </w:tc>
        <w:tc>
          <w:tcPr>
            <w:tcW w:w="74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20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37"/>
        </w:trPr>
        <w:tc>
          <w:tcPr>
            <w:tcW w:w="20" w:type="dxa"/>
            <w:vAlign w:val="bottom"/>
          </w:tcPr>
          <w:p>
            <w:pPr>
              <w:spacing w:after="0"/>
              <w:rPr>
                <w:sz w:val="20"/>
                <w:szCs w:val="20"/>
                <w:color w:val="auto"/>
              </w:rPr>
            </w:pPr>
          </w:p>
        </w:tc>
        <w:tc>
          <w:tcPr>
            <w:tcW w:w="7020" w:type="dxa"/>
            <w:vAlign w:val="bottom"/>
          </w:tcPr>
          <w:p>
            <w:pPr>
              <w:ind w:left="520"/>
              <w:spacing w:after="0"/>
              <w:rPr>
                <w:sz w:val="20"/>
                <w:szCs w:val="20"/>
                <w:color w:val="auto"/>
              </w:rPr>
            </w:pPr>
            <w:r>
              <w:rPr>
                <w:rFonts w:ascii="Arial" w:cs="Arial" w:eastAsia="Arial" w:hAnsi="Arial"/>
                <w:sz w:val="18"/>
                <w:szCs w:val="18"/>
                <w:color w:val="auto"/>
              </w:rPr>
              <w:t>intangible assets and other</w:t>
            </w:r>
          </w:p>
        </w:tc>
        <w:tc>
          <w:tcPr>
            <w:tcW w:w="740" w:type="dxa"/>
            <w:vAlign w:val="bottom"/>
          </w:tcPr>
          <w:p>
            <w:pPr>
              <w:spacing w:after="0"/>
              <w:rPr>
                <w:sz w:val="20"/>
                <w:szCs w:val="20"/>
                <w:color w:val="auto"/>
              </w:rPr>
            </w:pPr>
          </w:p>
        </w:tc>
        <w:tc>
          <w:tcPr>
            <w:tcW w:w="80" w:type="dxa"/>
            <w:vAlign w:val="bottom"/>
            <w:tcBorders>
              <w:bottom w:val="single" w:sz="8" w:color="auto"/>
            </w:tcBorders>
          </w:tcPr>
          <w:p>
            <w:pPr>
              <w:spacing w:after="0"/>
              <w:rPr>
                <w:sz w:val="20"/>
                <w:szCs w:val="20"/>
                <w:color w:val="auto"/>
              </w:rPr>
            </w:pPr>
          </w:p>
        </w:tc>
        <w:tc>
          <w:tcPr>
            <w:tcW w:w="6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0.09</w:t>
            </w:r>
          </w:p>
        </w:tc>
        <w:tc>
          <w:tcPr>
            <w:tcW w:w="20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020" w:type="dxa"/>
            <w:vAlign w:val="bottom"/>
            <w:shd w:val="clear" w:color="auto" w:fill="CCEEFF"/>
          </w:tcPr>
          <w:p>
            <w:pPr>
              <w:spacing w:after="0"/>
              <w:rPr>
                <w:sz w:val="20"/>
                <w:szCs w:val="20"/>
                <w:color w:val="auto"/>
              </w:rPr>
            </w:pPr>
            <w:r>
              <w:rPr>
                <w:rFonts w:ascii="Arial" w:cs="Arial" w:eastAsia="Arial" w:hAnsi="Arial"/>
                <w:sz w:val="18"/>
                <w:szCs w:val="18"/>
                <w:color w:val="auto"/>
              </w:rPr>
              <w:t>Non-GAAP diluted earnings per share</w:t>
            </w:r>
          </w:p>
        </w:tc>
        <w:tc>
          <w:tcPr>
            <w:tcW w:w="8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6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0.25</w:t>
            </w:r>
          </w:p>
        </w:tc>
        <w:tc>
          <w:tcPr>
            <w:tcW w:w="2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7040" w:type="dxa"/>
            <w:vAlign w:val="bottom"/>
            <w:gridSpan w:val="2"/>
            <w:vMerge w:val="restart"/>
          </w:tcPr>
          <w:p>
            <w:pPr>
              <w:jc w:val="right"/>
              <w:ind w:right="2530"/>
              <w:spacing w:after="0"/>
              <w:rPr>
                <w:sz w:val="20"/>
                <w:szCs w:val="20"/>
                <w:color w:val="auto"/>
              </w:rPr>
            </w:pPr>
            <w:r>
              <w:rPr>
                <w:rFonts w:ascii="Arial" w:cs="Arial" w:eastAsia="Arial" w:hAnsi="Arial"/>
                <w:sz w:val="18"/>
                <w:szCs w:val="18"/>
                <w:color w:val="auto"/>
              </w:rPr>
              <w:t>11</w:t>
            </w:r>
          </w:p>
        </w:tc>
        <w:tc>
          <w:tcPr>
            <w:tcW w:w="74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62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59"/>
        </w:trPr>
        <w:tc>
          <w:tcPr>
            <w:tcW w:w="7040" w:type="dxa"/>
            <w:vAlign w:val="bottom"/>
            <w:gridSpan w:val="2"/>
            <w:vMerge w:val="continue"/>
          </w:tcPr>
          <w:p>
            <w:pPr>
              <w:spacing w:after="0"/>
              <w:rPr>
                <w:sz w:val="24"/>
                <w:szCs w:val="24"/>
                <w:color w:val="auto"/>
              </w:rPr>
            </w:pPr>
          </w:p>
        </w:tc>
        <w:tc>
          <w:tcPr>
            <w:tcW w:w="74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62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pacing w:after="0" w:line="1" w:lineRule="exact"/>
        <w:rPr>
          <w:sz w:val="20"/>
          <w:szCs w:val="20"/>
          <w:color w:val="auto"/>
        </w:rPr>
      </w:pPr>
    </w:p>
    <w:sectPr>
      <w:pgSz w:w="11900" w:h="16838" w:orient="portrait"/>
      <w:cols w:equalWidth="0" w:num="1">
        <w:col w:w="9019"/>
      </w:cols>
      <w:pgMar w:left="1440" w:top="270" w:right="1440"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MS PGothic">
    <w:panose1 w:val="020B0600070205080204"/>
    <w:charset w:val="80"/>
    <w:family w:val="swiss"/>
    <w:pitch w:val="variable"/>
    <w:sig w:usb0="E00002FF" w:usb1="6AC7FDFB" w:usb2="08000012" w:usb3="00000000" w:csb0="4002009F" w:csb1="DFD70000"/>
  </w:font>
</w:fonts>
</file>

<file path=word/numbering.xml><?xml version="1.0" encoding="utf-8"?>
<w:numbering xmlns:w="http://schemas.openxmlformats.org/wordprocessingml/2006/main">
  <w:abstractNum w:abstractNumId="0">
    <w:nsid w:val="3D1B58BA"/>
    <w:multiLevelType w:val="hybridMultilevel"/>
    <w:lvl w:ilvl="0">
      <w:lvlJc w:val="left"/>
      <w:lvlText w:val="☐"/>
      <w:numFmt w:val="bullet"/>
      <w:start w:val="1"/>
    </w:lvl>
  </w:abstractNum>
  <w:abstractNum w:abstractNumId="1">
    <w:nsid w:val="507ED7AB"/>
    <w:multiLevelType w:val="hybridMultilevel"/>
    <w:lvl w:ilvl="0">
      <w:lvlJc w:val="left"/>
      <w:lvlText w:val="•"/>
      <w:numFmt w:val="bullet"/>
      <w:start w:val="1"/>
    </w:lvl>
  </w:abstractNum>
  <w:abstractNum w:abstractNumId="2">
    <w:nsid w:val="2EB141F2"/>
    <w:multiLevelType w:val="hybridMultilevel"/>
    <w:lvl w:ilvl="0">
      <w:lvlJc w:val="left"/>
      <w:lvlText w:val="•"/>
      <w:numFmt w:val="bullet"/>
      <w:start w:val="1"/>
    </w:lvl>
  </w:abstractNum>
  <w:abstractNum w:abstractNumId="3">
    <w:nsid w:val="41B71EFB"/>
    <w:multiLevelType w:val="hybridMultilevel"/>
    <w:lvl w:ilvl="0">
      <w:lvlJc w:val="left"/>
      <w:lvlText w:val="•"/>
      <w:numFmt w:val="bullet"/>
      <w:start w:val="1"/>
    </w:lvl>
  </w:abstractNum>
  <w:abstractNum w:abstractNumId="4">
    <w:nsid w:val="79E2A9E3"/>
    <w:multiLevelType w:val="hybridMultilevel"/>
    <w:lvl w:ilvl="0">
      <w:lvlJc w:val="left"/>
      <w:lvlText w:val="•"/>
      <w:numFmt w:val="bullet"/>
      <w:start w:val="1"/>
    </w:lvl>
  </w:abstractNum>
  <w:abstractNum w:abstractNumId="5">
    <w:nsid w:val="7545E146"/>
    <w:multiLevelType w:val="hybridMultilevel"/>
    <w:lvl w:ilvl="0">
      <w:lvlJc w:val="left"/>
      <w:lvlText w:val="(%1)"/>
      <w:numFmt w:val="lowerLetter"/>
      <w:start w:val="4"/>
    </w:lvl>
  </w:abstractNum>
  <w:abstractNum w:abstractNumId="6">
    <w:nsid w:val="515F007C"/>
    <w:multiLevelType w:val="hybridMultilevel"/>
    <w:lvl w:ilvl="0">
      <w:lvlJc w:val="left"/>
      <w:lvlText w:val="•"/>
      <w:numFmt w:val="bullet"/>
      <w:start w:val="1"/>
    </w:lvl>
  </w:abstractNum>
  <w:abstractNum w:abstractNumId="7">
    <w:nsid w:val="5BD062C2"/>
    <w:multiLevelType w:val="hybridMultilevel"/>
    <w:lvl w:ilvl="0">
      <w:lvlJc w:val="left"/>
      <w:lvlText w:val="•"/>
      <w:numFmt w:val="bullet"/>
      <w:start w:val="1"/>
    </w:lvl>
  </w:abstractNum>
  <w:abstractNum w:abstractNumId="8">
    <w:nsid w:val="12200854"/>
    <w:multiLevelType w:val="hybridMultilevel"/>
    <w:lvl w:ilvl="0">
      <w:lvlJc w:val="left"/>
      <w:lvlText w:val="(%1)"/>
      <w:numFmt w:val="lowerLetter"/>
      <w:start w:val="1"/>
    </w:lvl>
  </w:abstractNum>
  <w:abstractNum w:abstractNumId="9">
    <w:nsid w:val="4DB127F8"/>
    <w:multiLevelType w:val="hybridMultilevel"/>
    <w:lvl w:ilvl="0">
      <w:lvlJc w:val="left"/>
      <w:lvlText w:val="(%1)"/>
      <w:numFmt w:val="lowerLetter"/>
      <w:start w:val="1"/>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png"/><Relationship Id="rId21" Type="http://schemas.openxmlformats.org/officeDocument/2006/relationships/image" Target="media/image14.png"/><Relationship Id="rId22" Type="http://schemas.openxmlformats.org/officeDocument/2006/relationships/image" Target="media/image15.png"/><Relationship Id="rId23" Type="http://schemas.openxmlformats.org/officeDocument/2006/relationships/image" Target="media/image16.jpeg"/><Relationship Id="rId24" Type="http://schemas.openxmlformats.org/officeDocument/2006/relationships/image" Target="media/image17.png"/><Relationship Id="rId25" Type="http://schemas.openxmlformats.org/officeDocument/2006/relationships/image" Target="media/image18.png"/><Relationship Id="rId26" Type="http://schemas.openxmlformats.org/officeDocument/2006/relationships/image" Target="media/image19.png"/><Relationship Id="rId27" Type="http://schemas.openxmlformats.org/officeDocument/2006/relationships/image" Target="media/image20.png"/><Relationship Id="rId28" Type="http://schemas.openxmlformats.org/officeDocument/2006/relationships/image" Target="media/image21.png"/><Relationship Id="rId29" Type="http://schemas.openxmlformats.org/officeDocument/2006/relationships/image" Target="media/image22.png"/><Relationship Id="rId30" Type="http://schemas.openxmlformats.org/officeDocument/2006/relationships/image" Target="media/image23.png"/><Relationship Id="rId31" Type="http://schemas.openxmlformats.org/officeDocument/2006/relationships/image" Target="media/image24.png"/><Relationship Id="rId32" Type="http://schemas.openxmlformats.org/officeDocument/2006/relationships/image" Target="media/image25.png"/><Relationship Id="rId33" Type="http://schemas.openxmlformats.org/officeDocument/2006/relationships/image" Target="media/image26.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2019-12-06T20:38:29Z</dcterms:created>
  <dcterms:modified xsi:type="dcterms:W3CDTF">2019-12-06T20:38:29Z</dcterms:modified>
</cp:coreProperties>
</file>