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68802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688022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815"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60" w:type="dxa"/>
            <w:vAlign w:val="bottom"/>
          </w:tcPr>
          <w:p>
            <w:pPr>
              <w:spacing w:after="0"/>
              <w:rPr>
                <w:sz w:val="18"/>
                <w:szCs w:val="18"/>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vMerge w:val="restart"/>
          </w:tcPr>
          <w:p>
            <w:pPr>
              <w:spacing w:after="0"/>
              <w:rPr>
                <w:sz w:val="11"/>
                <w:szCs w:val="11"/>
                <w:color w:val="auto"/>
              </w:rPr>
            </w:pPr>
          </w:p>
        </w:tc>
        <w:tc>
          <w:tcPr>
            <w:tcW w:w="372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0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vMerge w:val="continue"/>
          </w:tcPr>
          <w:p>
            <w:pPr>
              <w:spacing w:after="0"/>
              <w:rPr>
                <w:sz w:val="12"/>
                <w:szCs w:val="12"/>
                <w:color w:val="auto"/>
              </w:rPr>
            </w:pPr>
          </w:p>
        </w:tc>
        <w:tc>
          <w:tcPr>
            <w:tcW w:w="3720" w:type="dxa"/>
            <w:vAlign w:val="bottom"/>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2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398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18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11/29/2013</w:t>
            </w: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00" w:space="100"/>
            <w:col w:w="7520"/>
          </w:cols>
          <w:pgMar w:left="240" w:top="224" w:right="139" w:bottom="815"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20" w:type="dxa"/>
        <w:tblCellMar>
          <w:top w:w="0" w:type="dxa"/>
          <w:left w:w="0" w:type="dxa"/>
          <w:bottom w:w="0" w:type="dxa"/>
          <w:right w:w="0" w:type="dxa"/>
        </w:tblCellMar>
      </w:tblPr>
      <w:tr>
        <w:trPr>
          <w:trHeight w:val="149"/>
        </w:trPr>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480" w:type="dxa"/>
            <w:vAlign w:val="bottom"/>
          </w:tcPr>
          <w:p>
            <w:pPr>
              <w:spacing w:after="0"/>
              <w:rPr>
                <w:sz w:val="11"/>
                <w:szCs w:val="11"/>
                <w:color w:val="auto"/>
              </w:rPr>
            </w:pPr>
          </w:p>
        </w:tc>
        <w:tc>
          <w:tcPr>
            <w:tcW w:w="1740" w:type="dxa"/>
            <w:vAlign w:val="bottom"/>
          </w:tcPr>
          <w:p>
            <w:pPr>
              <w:ind w:left="7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jc w:val="center"/>
              <w:ind w:left="565"/>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8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48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4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5"/>
              <w:spacing w:after="0"/>
              <w:rPr>
                <w:sz w:val="20"/>
                <w:szCs w:val="20"/>
                <w:color w:val="auto"/>
              </w:rPr>
            </w:pPr>
            <w:r>
              <w:rPr>
                <w:rFonts w:ascii="Arial" w:cs="Arial" w:eastAsia="Arial" w:hAnsi="Arial"/>
                <w:sz w:val="17"/>
                <w:szCs w:val="17"/>
                <w:color w:val="0000FF"/>
                <w:w w:val="91"/>
              </w:rPr>
              <w:t>11/29/2013</w:t>
            </w:r>
          </w:p>
        </w:tc>
        <w:tc>
          <w:tcPr>
            <w:tcW w:w="1120" w:type="dxa"/>
            <w:vAlign w:val="bottom"/>
          </w:tcPr>
          <w:p>
            <w:pPr>
              <w:spacing w:after="0"/>
              <w:rPr>
                <w:sz w:val="22"/>
                <w:szCs w:val="22"/>
                <w:color w:val="auto"/>
              </w:rPr>
            </w:pPr>
          </w:p>
        </w:tc>
        <w:tc>
          <w:tcPr>
            <w:tcW w:w="800" w:type="dxa"/>
            <w:vAlign w:val="bottom"/>
          </w:tcPr>
          <w:p>
            <w:pPr>
              <w:jc w:val="center"/>
              <w:ind w:right="299"/>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25"/>
              <w:spacing w:after="0"/>
              <w:rPr>
                <w:sz w:val="20"/>
                <w:szCs w:val="20"/>
                <w:color w:val="auto"/>
              </w:rPr>
            </w:pPr>
            <w:r>
              <w:rPr>
                <w:rFonts w:ascii="Arial" w:cs="Arial" w:eastAsia="Arial" w:hAnsi="Arial"/>
                <w:sz w:val="17"/>
                <w:szCs w:val="17"/>
                <w:color w:val="0000FF"/>
              </w:rPr>
              <w:t>127,600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127,600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5"/>
              <w:spacing w:after="0"/>
              <w:rPr>
                <w:sz w:val="20"/>
                <w:szCs w:val="20"/>
                <w:color w:val="auto"/>
              </w:rPr>
            </w:pPr>
            <w:r>
              <w:rPr>
                <w:rFonts w:ascii="Arial" w:cs="Arial" w:eastAsia="Arial" w:hAnsi="Arial"/>
                <w:sz w:val="17"/>
                <w:szCs w:val="17"/>
                <w:color w:val="0000FF"/>
                <w:w w:val="91"/>
              </w:rPr>
              <w:t>11/29/2013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79"/>
              <w:spacing w:after="0"/>
              <w:rPr>
                <w:sz w:val="20"/>
                <w:szCs w:val="20"/>
                <w:color w:val="auto"/>
              </w:rPr>
            </w:pPr>
            <w:r>
              <w:rPr>
                <w:rFonts w:ascii="Arial" w:cs="Arial" w:eastAsia="Arial" w:hAnsi="Arial"/>
                <w:sz w:val="12"/>
                <w:szCs w:val="12"/>
                <w:color w:val="0000FF"/>
                <w:w w:val="74"/>
              </w:rPr>
              <w:t>S</w:t>
            </w:r>
          </w:p>
        </w:tc>
        <w:tc>
          <w:tcPr>
            <w:tcW w:w="800" w:type="dxa"/>
            <w:vAlign w:val="bottom"/>
            <w:tcBorders>
              <w:bottom w:val="single" w:sz="8" w:color="2C2C2C"/>
            </w:tcBorders>
          </w:tcPr>
          <w:p>
            <w:pPr>
              <w:jc w:val="right"/>
              <w:ind w:right="25"/>
              <w:spacing w:after="0"/>
              <w:rPr>
                <w:sz w:val="20"/>
                <w:szCs w:val="20"/>
                <w:color w:val="auto"/>
              </w:rPr>
            </w:pPr>
            <w:r>
              <w:rPr>
                <w:rFonts w:ascii="Arial" w:cs="Arial" w:eastAsia="Arial" w:hAnsi="Arial"/>
                <w:sz w:val="17"/>
                <w:szCs w:val="17"/>
                <w:color w:val="0000FF"/>
              </w:rPr>
              <w:t>127,600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14.3109</w:t>
            </w:r>
            <w:r>
              <w:rPr>
                <w:rFonts w:ascii="Arial" w:cs="Arial" w:eastAsia="Arial" w:hAnsi="Arial"/>
                <w:sz w:val="22"/>
                <w:szCs w:val="22"/>
                <w:color w:val="008000"/>
                <w:w w:val="87"/>
                <w:vertAlign w:val="superscript"/>
              </w:rPr>
              <w:t>(1)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5"/>
              <w:spacing w:after="0"/>
              <w:rPr>
                <w:sz w:val="20"/>
                <w:szCs w:val="20"/>
                <w:color w:val="auto"/>
              </w:rPr>
            </w:pPr>
            <w:r>
              <w:rPr>
                <w:rFonts w:ascii="Arial" w:cs="Arial" w:eastAsia="Arial" w:hAnsi="Arial"/>
                <w:sz w:val="17"/>
                <w:szCs w:val="17"/>
                <w:color w:val="0000FF"/>
                <w:w w:val="91"/>
              </w:rPr>
              <w:t>12/03/2013</w:t>
            </w:r>
          </w:p>
        </w:tc>
        <w:tc>
          <w:tcPr>
            <w:tcW w:w="1120" w:type="dxa"/>
            <w:vAlign w:val="bottom"/>
          </w:tcPr>
          <w:p>
            <w:pPr>
              <w:spacing w:after="0"/>
              <w:rPr>
                <w:sz w:val="22"/>
                <w:szCs w:val="22"/>
                <w:color w:val="auto"/>
              </w:rPr>
            </w:pPr>
          </w:p>
        </w:tc>
        <w:tc>
          <w:tcPr>
            <w:tcW w:w="800" w:type="dxa"/>
            <w:vAlign w:val="bottom"/>
          </w:tcPr>
          <w:p>
            <w:pPr>
              <w:jc w:val="center"/>
              <w:ind w:right="299"/>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25"/>
              <w:spacing w:after="0"/>
              <w:rPr>
                <w:sz w:val="20"/>
                <w:szCs w:val="20"/>
                <w:color w:val="auto"/>
              </w:rPr>
            </w:pPr>
            <w:r>
              <w:rPr>
                <w:rFonts w:ascii="Arial" w:cs="Arial" w:eastAsia="Arial" w:hAnsi="Arial"/>
                <w:sz w:val="17"/>
                <w:szCs w:val="17"/>
                <w:color w:val="0000FF"/>
              </w:rPr>
              <w:t>100,000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100,000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5"/>
              <w:spacing w:after="0"/>
              <w:rPr>
                <w:sz w:val="20"/>
                <w:szCs w:val="20"/>
                <w:color w:val="auto"/>
              </w:rPr>
            </w:pPr>
            <w:r>
              <w:rPr>
                <w:rFonts w:ascii="Arial" w:cs="Arial" w:eastAsia="Arial" w:hAnsi="Arial"/>
                <w:sz w:val="17"/>
                <w:szCs w:val="17"/>
                <w:color w:val="0000FF"/>
                <w:w w:val="91"/>
              </w:rPr>
              <w:t>12/03/2013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79"/>
              <w:spacing w:after="0"/>
              <w:rPr>
                <w:sz w:val="20"/>
                <w:szCs w:val="20"/>
                <w:color w:val="auto"/>
              </w:rPr>
            </w:pPr>
            <w:r>
              <w:rPr>
                <w:rFonts w:ascii="Arial" w:cs="Arial" w:eastAsia="Arial" w:hAnsi="Arial"/>
                <w:sz w:val="12"/>
                <w:szCs w:val="12"/>
                <w:color w:val="0000FF"/>
                <w:w w:val="74"/>
              </w:rPr>
              <w:t>S</w:t>
            </w:r>
          </w:p>
        </w:tc>
        <w:tc>
          <w:tcPr>
            <w:tcW w:w="800" w:type="dxa"/>
            <w:vAlign w:val="bottom"/>
            <w:tcBorders>
              <w:bottom w:val="single" w:sz="8" w:color="2C2C2C"/>
            </w:tcBorders>
          </w:tcPr>
          <w:p>
            <w:pPr>
              <w:jc w:val="right"/>
              <w:ind w:right="25"/>
              <w:spacing w:after="0"/>
              <w:rPr>
                <w:sz w:val="20"/>
                <w:szCs w:val="20"/>
                <w:color w:val="auto"/>
              </w:rPr>
            </w:pPr>
            <w:r>
              <w:rPr>
                <w:rFonts w:ascii="Arial" w:cs="Arial" w:eastAsia="Arial" w:hAnsi="Arial"/>
                <w:sz w:val="17"/>
                <w:szCs w:val="17"/>
                <w:color w:val="0000FF"/>
              </w:rPr>
              <w:t>100,000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14.069</w:t>
            </w:r>
            <w:r>
              <w:rPr>
                <w:rFonts w:ascii="Arial" w:cs="Arial" w:eastAsia="Arial" w:hAnsi="Arial"/>
                <w:sz w:val="22"/>
                <w:szCs w:val="22"/>
                <w:color w:val="008000"/>
                <w:w w:val="88"/>
                <w:vertAlign w:val="superscript"/>
              </w:rPr>
              <w:t>(2)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48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2"/>
        </w:trPr>
        <w:tc>
          <w:tcPr>
            <w:tcW w:w="248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vMerge w:val="restart"/>
          </w:tcPr>
          <w:p>
            <w:pPr>
              <w:jc w:val="center"/>
              <w:spacing w:after="0"/>
              <w:rPr>
                <w:sz w:val="20"/>
                <w:szCs w:val="20"/>
                <w:color w:val="auto"/>
              </w:rPr>
            </w:pPr>
            <w:r>
              <w:rPr>
                <w:rFonts w:ascii="Arial" w:cs="Arial" w:eastAsia="Arial" w:hAnsi="Arial"/>
                <w:sz w:val="17"/>
                <w:szCs w:val="17"/>
                <w:color w:val="0000FF"/>
                <w:w w:val="91"/>
              </w:rPr>
              <w:t>36,994,826</w:t>
            </w:r>
          </w:p>
        </w:tc>
        <w:tc>
          <w:tcPr>
            <w:tcW w:w="94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80" w:type="dxa"/>
            <w:vAlign w:val="bottom"/>
          </w:tcPr>
          <w:p>
            <w:pPr>
              <w:ind w:left="10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11"/>
        </w:trPr>
        <w:tc>
          <w:tcPr>
            <w:tcW w:w="2480" w:type="dxa"/>
            <w:vAlign w:val="bottom"/>
            <w:vMerge w:val="continue"/>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80" w:type="dxa"/>
            <w:vAlign w:val="bottom"/>
            <w:vMerge w:val="restart"/>
          </w:tcPr>
          <w:p>
            <w:pPr>
              <w:ind w:left="100"/>
              <w:spacing w:after="0"/>
              <w:rPr>
                <w:sz w:val="20"/>
                <w:szCs w:val="20"/>
                <w:color w:val="auto"/>
              </w:rPr>
            </w:pPr>
            <w:r>
              <w:rPr>
                <w:rFonts w:ascii="Arial" w:cs="Arial" w:eastAsia="Arial" w:hAnsi="Arial"/>
                <w:sz w:val="17"/>
                <w:szCs w:val="17"/>
                <w:color w:val="0000FF"/>
                <w:w w:val="94"/>
              </w:rPr>
              <w:t>Revocable</w:t>
            </w:r>
          </w:p>
        </w:tc>
        <w:tc>
          <w:tcPr>
            <w:tcW w:w="0" w:type="dxa"/>
            <w:vAlign w:val="bottom"/>
          </w:tcPr>
          <w:p>
            <w:pPr>
              <w:spacing w:after="0"/>
              <w:rPr>
                <w:sz w:val="1"/>
                <w:szCs w:val="1"/>
                <w:color w:val="auto"/>
              </w:rPr>
            </w:pPr>
          </w:p>
        </w:tc>
      </w:tr>
      <w:tr>
        <w:trPr>
          <w:trHeight w:val="106"/>
        </w:trPr>
        <w:tc>
          <w:tcPr>
            <w:tcW w:w="24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940" w:type="dxa"/>
            <w:vAlign w:val="bottom"/>
          </w:tcPr>
          <w:p>
            <w:pPr>
              <w:spacing w:after="0"/>
              <w:rPr>
                <w:sz w:val="9"/>
                <w:szCs w:val="9"/>
                <w:color w:val="auto"/>
              </w:rPr>
            </w:pPr>
          </w:p>
        </w:tc>
        <w:tc>
          <w:tcPr>
            <w:tcW w:w="8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20"/>
        <w:spacing w:after="0"/>
        <w:rPr>
          <w:sz w:val="20"/>
          <w:szCs w:val="20"/>
          <w:color w:val="auto"/>
        </w:rPr>
      </w:pPr>
      <w:r>
        <w:rPr>
          <w:rFonts w:ascii="Arial" w:cs="Arial" w:eastAsia="Arial" w:hAnsi="Arial"/>
          <w:sz w:val="17"/>
          <w:szCs w:val="17"/>
          <w:color w:val="0000FF"/>
        </w:rPr>
        <w:t>Family</w:t>
      </w:r>
    </w:p>
    <w:p>
      <w:pPr>
        <w:spacing w:after="0" w:line="16" w:lineRule="exact"/>
        <w:rPr>
          <w:sz w:val="24"/>
          <w:szCs w:val="24"/>
          <w:color w:val="auto"/>
        </w:rPr>
      </w:pPr>
    </w:p>
    <w:p>
      <w:pPr>
        <w:ind w:left="10620"/>
        <w:spacing w:after="0"/>
        <w:rPr>
          <w:sz w:val="20"/>
          <w:szCs w:val="20"/>
          <w:color w:val="auto"/>
        </w:rPr>
      </w:pPr>
      <w:r>
        <w:rPr>
          <w:rFonts w:ascii="Arial" w:cs="Arial" w:eastAsia="Arial" w:hAnsi="Arial"/>
          <w:sz w:val="17"/>
          <w:szCs w:val="17"/>
          <w:color w:val="0000FF"/>
        </w:rPr>
        <w:t>Trust</w:t>
      </w:r>
    </w:p>
    <w:p>
      <w:pPr>
        <w:spacing w:after="0" w:line="159"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127,600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11/29/2013</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127,600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220"/>
              <w:spacing w:after="0" w:line="128" w:lineRule="exact"/>
              <w:rPr>
                <w:sz w:val="20"/>
                <w:szCs w:val="20"/>
                <w:color w:val="auto"/>
              </w:rPr>
            </w:pPr>
            <w:r>
              <w:rPr>
                <w:rFonts w:ascii="Arial" w:cs="Arial" w:eastAsia="Arial" w:hAnsi="Arial"/>
                <w:sz w:val="13"/>
                <w:szCs w:val="13"/>
                <w:color w:val="0000FF"/>
              </w:rPr>
              <w:t>1,338,390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12/03/2013</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100,000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220"/>
              <w:spacing w:after="0" w:line="128" w:lineRule="exact"/>
              <w:rPr>
                <w:sz w:val="20"/>
                <w:szCs w:val="20"/>
                <w:color w:val="auto"/>
              </w:rPr>
            </w:pPr>
            <w:r>
              <w:rPr>
                <w:rFonts w:ascii="Arial" w:cs="Arial" w:eastAsia="Arial" w:hAnsi="Arial"/>
                <w:sz w:val="13"/>
                <w:szCs w:val="13"/>
                <w:color w:val="0000FF"/>
              </w:rPr>
              <w:t>1,238,390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ind w:left="40" w:right="18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$14.30 to $14.36,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ranges set forth in this footnote 1 to this Form 4.</w:t>
      </w:r>
    </w:p>
    <w:p>
      <w:pPr>
        <w:spacing w:after="0" w:line="29" w:lineRule="exact"/>
        <w:rPr>
          <w:rFonts w:ascii="Arial" w:cs="Arial" w:eastAsia="Arial" w:hAnsi="Arial"/>
          <w:sz w:val="13"/>
          <w:szCs w:val="13"/>
          <w:color w:val="008000"/>
        </w:rPr>
      </w:pPr>
    </w:p>
    <w:p>
      <w:pPr>
        <w:ind w:left="40" w:right="220" w:firstLine="6"/>
        <w:spacing w:after="0" w:line="299" w:lineRule="auto"/>
        <w:tabs>
          <w:tab w:leader="none" w:pos="17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$14.05 to $14.125, inclusive. The reporting person undertakes to provide Marvell, any security holder of Marvell, or the staff of the SEC, upon request, full information regarding the number of shares sold at each separate price within the ranges set forth in this footnote 2 to this Form 4.</w:t>
      </w: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December 26, 2007.</w:t>
      </w:r>
    </w:p>
    <w:p>
      <w:pPr>
        <w:spacing w:after="0" w:line="6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2"/>
          </w:tcPr>
          <w:p>
            <w:pPr>
              <w:spacing w:after="0"/>
              <w:rPr>
                <w:sz w:val="20"/>
                <w:szCs w:val="20"/>
                <w:color w:val="auto"/>
              </w:rPr>
            </w:pPr>
            <w:r>
              <w:rPr>
                <w:rFonts w:ascii="Arial" w:cs="Arial" w:eastAsia="Arial" w:hAnsi="Arial"/>
                <w:sz w:val="17"/>
                <w:szCs w:val="17"/>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7"/>
                <w:szCs w:val="17"/>
                <w:color w:val="0000FF"/>
                <w:w w:val="91"/>
              </w:rPr>
              <w:t>12/03/2013</w:t>
            </w:r>
          </w:p>
        </w:tc>
      </w:tr>
      <w:tr>
        <w:trPr>
          <w:trHeight w:val="20"/>
        </w:trPr>
        <w:tc>
          <w:tcPr>
            <w:tcW w:w="126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0"/>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815"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2019-12-17T17:03:06Z</dcterms:created>
  <dcterms:modified xsi:type="dcterms:W3CDTF">2019-12-17T17:03:06Z</dcterms:modified>
</cp:coreProperties>
</file>