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166370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208915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227330</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27" w:lineRule="exact"/>
        <w:rPr>
          <w:sz w:val="24"/>
          <w:szCs w:val="24"/>
          <w:color w:val="auto"/>
        </w:rPr>
      </w:pPr>
    </w:p>
    <w:p>
      <w:pPr>
        <w:jc w:val="center"/>
        <w:ind w:right="-3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247015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71"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Pursuant to Section 13 or 15(d)</w:t>
      </w:r>
    </w:p>
    <w:p>
      <w:pPr>
        <w:jc w:val="center"/>
        <w:ind w:right="-39"/>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82" w:lineRule="exact"/>
        <w:rPr>
          <w:sz w:val="24"/>
          <w:szCs w:val="24"/>
          <w:color w:val="auto"/>
        </w:rPr>
      </w:pPr>
    </w:p>
    <w:p>
      <w:pPr>
        <w:jc w:val="center"/>
        <w:ind w:right="-39"/>
        <w:spacing w:after="0"/>
        <w:rPr>
          <w:sz w:val="20"/>
          <w:szCs w:val="20"/>
          <w:color w:val="auto"/>
        </w:rPr>
      </w:pPr>
      <w:r>
        <w:rPr>
          <w:rFonts w:ascii="Arial" w:cs="Arial" w:eastAsia="Arial" w:hAnsi="Arial"/>
          <w:sz w:val="22"/>
          <w:szCs w:val="22"/>
          <w:b w:val="1"/>
          <w:bCs w:val="1"/>
          <w:color w:val="auto"/>
        </w:rPr>
        <w:t>Date of Report (Date of earliest event reported): November 27, 2013</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234315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335" w:lineRule="exact"/>
        <w:rPr>
          <w:sz w:val="24"/>
          <w:szCs w:val="24"/>
          <w:color w:val="auto"/>
        </w:rPr>
      </w:pPr>
    </w:p>
    <w:p>
      <w:pPr>
        <w:jc w:val="center"/>
        <w:ind w:right="-39"/>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236220</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ind w:left="158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jc w:val="center"/>
        <w:ind w:right="2300"/>
        <w:spacing w:after="0"/>
        <w:rPr>
          <w:sz w:val="20"/>
          <w:szCs w:val="20"/>
          <w:color w:val="auto"/>
        </w:rPr>
      </w:pPr>
      <w:r>
        <w:rPr>
          <w:rFonts w:ascii="Arial" w:cs="Arial" w:eastAsia="Arial" w:hAnsi="Arial"/>
          <w:sz w:val="16"/>
          <w:szCs w:val="16"/>
          <w:b w:val="1"/>
          <w:bCs w:val="1"/>
          <w:color w:val="auto"/>
        </w:rPr>
        <w:t>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4"/>
          <w:szCs w:val="24"/>
          <w:color w:val="auto"/>
        </w:rPr>
      </w:pPr>
    </w:p>
    <w:p>
      <w:pPr>
        <w:sectPr>
          <w:pgSz w:w="11900" w:h="16838" w:orient="portrait"/>
          <w:cols w:equalWidth="0" w:num="3">
            <w:col w:w="4820" w:space="720"/>
            <w:col w:w="2900" w:space="720"/>
            <w:col w:w="2220"/>
          </w:cols>
          <w:pgMar w:left="240" w:top="368" w:right="279" w:bottom="1440" w:gutter="0" w:footer="0" w:header="0"/>
          <w:type w:val="continuous"/>
        </w:sectPr>
      </w:pPr>
    </w:p>
    <w:p>
      <w:pPr>
        <w:spacing w:after="0" w:line="12" w:lineRule="exact"/>
        <w:rPr>
          <w:sz w:val="24"/>
          <w:szCs w:val="24"/>
          <w:color w:val="auto"/>
        </w:rPr>
      </w:pPr>
    </w:p>
    <w:p>
      <w:pPr>
        <w:jc w:val="center"/>
        <w:ind w:right="820"/>
        <w:spacing w:after="0"/>
        <w:rPr>
          <w:sz w:val="20"/>
          <w:szCs w:val="20"/>
          <w:color w:val="auto"/>
        </w:rPr>
      </w:pPr>
      <w:r>
        <w:rPr>
          <w:rFonts w:ascii="Arial" w:cs="Arial" w:eastAsia="Arial" w:hAnsi="Arial"/>
          <w:sz w:val="13"/>
          <w:szCs w:val="13"/>
          <w:b w:val="1"/>
          <w:bCs w:val="1"/>
          <w:color w:val="auto"/>
        </w:rPr>
        <w:t>(State or other jurisdiction</w:t>
      </w:r>
    </w:p>
    <w:p>
      <w:pPr>
        <w:jc w:val="center"/>
        <w:ind w:right="82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4"/>
          <w:szCs w:val="14"/>
          <w:b w:val="1"/>
          <w:bCs w:val="1"/>
          <w:color w:val="auto"/>
        </w:rPr>
        <w:t>(I.R.S. Employer</w:t>
      </w:r>
    </w:p>
    <w:p>
      <w:pPr>
        <w:spacing w:after="0"/>
        <w:rPr>
          <w:sz w:val="20"/>
          <w:szCs w:val="20"/>
          <w:color w:val="auto"/>
        </w:rPr>
      </w:pPr>
      <w:r>
        <w:rPr>
          <w:rFonts w:ascii="Arial" w:cs="Arial" w:eastAsia="Arial" w:hAnsi="Arial"/>
          <w:sz w:val="13"/>
          <w:szCs w:val="13"/>
          <w:b w:val="1"/>
          <w:bCs w:val="1"/>
          <w:color w:val="auto"/>
        </w:rPr>
        <w:t>Identification No.)</w:t>
      </w:r>
    </w:p>
    <w:p>
      <w:pPr>
        <w:spacing w:after="0" w:line="211" w:lineRule="exact"/>
        <w:rPr>
          <w:sz w:val="24"/>
          <w:szCs w:val="24"/>
          <w:color w:val="auto"/>
        </w:rPr>
      </w:pPr>
    </w:p>
    <w:p>
      <w:pPr>
        <w:sectPr>
          <w:pgSz w:w="11900" w:h="16838" w:orient="portrait"/>
          <w:cols w:equalWidth="0" w:num="3">
            <w:col w:w="4700" w:space="720"/>
            <w:col w:w="2900" w:space="720"/>
            <w:col w:w="2340"/>
          </w:cols>
          <w:pgMar w:left="240" w:top="368" w:right="279" w:bottom="1440" w:gutter="0" w:footer="0" w:header="0"/>
          <w:type w:val="continuous"/>
        </w:sectPr>
      </w:pPr>
    </w:p>
    <w:p>
      <w:pPr>
        <w:spacing w:after="0" w:line="6"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Bermuda</w:t>
      </w:r>
    </w:p>
    <w:p>
      <w:pPr>
        <w:spacing w:after="0" w:line="2"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9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9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59"/>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242570</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type w:val="continuous"/>
        </w:sectPr>
      </w:pPr>
    </w:p>
    <w:p>
      <w:pPr>
        <w:spacing w:after="0" w:line="200" w:lineRule="exact"/>
        <w:rPr>
          <w:sz w:val="24"/>
          <w:szCs w:val="24"/>
          <w:color w:val="auto"/>
        </w:rPr>
      </w:pPr>
    </w:p>
    <w:p>
      <w:pPr>
        <w:spacing w:after="0" w:line="397"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76"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160655</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203835</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380"/>
          </w:cols>
          <w:pgMar w:left="240" w:top="368" w:right="279" w:bottom="1440" w:gutter="0" w:footer="0" w:header="0"/>
          <w:type w:val="continuous"/>
        </w:sectPr>
      </w:pPr>
    </w:p>
    <w:bookmarkStart w:id="1" w:name="page2"/>
    <w:bookmarkEnd w:id="1"/>
    <w:p>
      <w:pPr>
        <w:ind w:right="400"/>
        <w:spacing w:after="0" w:line="282" w:lineRule="auto"/>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5.02 Departure of Directors or Certain Officers; Election of Directors; Appointment of Certain Officers; Compensatory Arrangements of Certain Officers.</w:t>
      </w:r>
    </w:p>
    <w:p>
      <w:pPr>
        <w:spacing w:after="0" w:line="58" w:lineRule="exact"/>
        <w:rPr>
          <w:sz w:val="20"/>
          <w:szCs w:val="20"/>
          <w:color w:val="auto"/>
        </w:rPr>
      </w:pPr>
    </w:p>
    <w:p>
      <w:pPr>
        <w:ind w:firstLine="456"/>
        <w:spacing w:after="0" w:line="264" w:lineRule="auto"/>
        <w:rPr>
          <w:sz w:val="20"/>
          <w:szCs w:val="20"/>
          <w:color w:val="auto"/>
        </w:rPr>
      </w:pPr>
      <w:r>
        <w:rPr>
          <w:rFonts w:ascii="Arial" w:cs="Arial" w:eastAsia="Arial" w:hAnsi="Arial"/>
          <w:sz w:val="18"/>
          <w:szCs w:val="18"/>
          <w:color w:val="auto"/>
        </w:rPr>
        <w:t>On November 27, 2013, Brad D. Feller announced his resignation from his position as Interim Chief Financial Officer of Marvell Technology Group Ltd. (the “Company”) and from all other positions with the Company and its subsidiaries to pursue other opportunities. Mr. Feller’s resignation is effective as of December 10, 2013.</w:t>
      </w:r>
    </w:p>
    <w:p>
      <w:pPr>
        <w:spacing w:after="0" w:line="28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7.01 Regulation FD Disclosure</w:t>
      </w:r>
    </w:p>
    <w:p>
      <w:pPr>
        <w:spacing w:after="0" w:line="121" w:lineRule="exact"/>
        <w:rPr>
          <w:sz w:val="20"/>
          <w:szCs w:val="20"/>
          <w:color w:val="auto"/>
        </w:rPr>
      </w:pPr>
    </w:p>
    <w:p>
      <w:pPr>
        <w:ind w:right="20" w:firstLine="456"/>
        <w:spacing w:after="0" w:line="277" w:lineRule="auto"/>
        <w:rPr>
          <w:sz w:val="20"/>
          <w:szCs w:val="20"/>
          <w:color w:val="auto"/>
        </w:rPr>
      </w:pPr>
      <w:r>
        <w:rPr>
          <w:rFonts w:ascii="Arial" w:cs="Arial" w:eastAsia="Arial" w:hAnsi="Arial"/>
          <w:sz w:val="18"/>
          <w:szCs w:val="18"/>
          <w:color w:val="auto"/>
        </w:rPr>
        <w:t>On December 2, 2013, the Company issued a press release announcing Mr. Feller’s resignation as Interim Chief Financial Officer. A copy of this press release is included as Exhibit 99.1 to this Current Report on Form 8-K.</w:t>
      </w:r>
    </w:p>
    <w:p>
      <w:pPr>
        <w:spacing w:after="0" w:line="27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9.01 Financial Statements and Exhibits.</w:t>
      </w:r>
    </w:p>
    <w:p>
      <w:pPr>
        <w:spacing w:after="0" w:line="135" w:lineRule="exact"/>
        <w:rPr>
          <w:sz w:val="20"/>
          <w:szCs w:val="20"/>
          <w:color w:val="auto"/>
        </w:rPr>
      </w:pPr>
    </w:p>
    <w:p>
      <w:pPr>
        <w:ind w:left="1480" w:hanging="567"/>
        <w:spacing w:after="0"/>
        <w:tabs>
          <w:tab w:leader="none" w:pos="1480" w:val="left"/>
        </w:tabs>
        <w:numPr>
          <w:ilvl w:val="0"/>
          <w:numId w:val="2"/>
        </w:numPr>
        <w:rPr>
          <w:rFonts w:ascii="Arial" w:cs="Arial" w:eastAsia="Arial" w:hAnsi="Arial"/>
          <w:sz w:val="18"/>
          <w:szCs w:val="18"/>
          <w:color w:val="auto"/>
        </w:rPr>
      </w:pPr>
      <w:r>
        <w:rPr>
          <w:rFonts w:ascii="Arial" w:cs="Arial" w:eastAsia="Arial" w:hAnsi="Arial"/>
          <w:sz w:val="18"/>
          <w:szCs w:val="18"/>
          <w:color w:val="auto"/>
        </w:rPr>
        <w:t>Exhibits.</w:t>
      </w:r>
    </w:p>
    <w:p>
      <w:pPr>
        <w:spacing w:after="0" w:line="252" w:lineRule="exact"/>
        <w:rPr>
          <w:rFonts w:ascii="Arial" w:cs="Arial" w:eastAsia="Arial" w:hAnsi="Arial"/>
          <w:sz w:val="18"/>
          <w:szCs w:val="18"/>
          <w:color w:val="auto"/>
        </w:rPr>
      </w:pPr>
    </w:p>
    <w:p>
      <w:pPr>
        <w:ind w:left="1480"/>
        <w:spacing w:after="0"/>
        <w:rPr>
          <w:rFonts w:ascii="Arial" w:cs="Arial" w:eastAsia="Arial" w:hAnsi="Arial"/>
          <w:sz w:val="18"/>
          <w:szCs w:val="18"/>
          <w:color w:val="auto"/>
        </w:rPr>
      </w:pPr>
      <w:r>
        <w:rPr>
          <w:rFonts w:ascii="Arial" w:cs="Arial" w:eastAsia="Arial" w:hAnsi="Arial"/>
          <w:sz w:val="18"/>
          <w:szCs w:val="18"/>
          <w:color w:val="auto"/>
        </w:rPr>
        <w:t>99.1  Press Release dated December 2, 2013</w:t>
      </w:r>
    </w:p>
    <w:p>
      <w:pPr>
        <w:spacing w:after="0" w:line="158" w:lineRule="exact"/>
        <w:rPr>
          <w:sz w:val="20"/>
          <w:szCs w:val="20"/>
          <w:color w:val="auto"/>
        </w:rPr>
      </w:pPr>
    </w:p>
    <w:p>
      <w:pPr>
        <w:jc w:val="center"/>
        <w:ind w:right="-7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340"/>
          </w:cols>
          <w:pgMar w:left="240" w:top="270" w:right="319" w:bottom="1440" w:gutter="0" w:footer="0" w:header="0"/>
        </w:sectPr>
      </w:pPr>
    </w:p>
    <w:bookmarkStart w:id="2" w:name="page3"/>
    <w:bookmarkEnd w:id="2"/>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229" w:lineRule="exact"/>
        <w:rPr>
          <w:sz w:val="20"/>
          <w:szCs w:val="20"/>
          <w:color w:val="auto"/>
        </w:rPr>
      </w:pPr>
    </w:p>
    <w:p>
      <w:pPr>
        <w:ind w:firstLine="456"/>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Dated: December 2, 2013</w:t>
      </w:r>
    </w:p>
    <w:p>
      <w:pPr>
        <w:spacing w:after="0" w:line="23"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11"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By: /s/ 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4592955</wp:posOffset>
            </wp:positionH>
            <wp:positionV relativeFrom="paragraph">
              <wp:posOffset>14605</wp:posOffset>
            </wp:positionV>
            <wp:extent cx="2658745"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2658745" cy="8890"/>
                    </a:xfrm>
                    <a:prstGeom prst="rect">
                      <a:avLst/>
                    </a:prstGeom>
                    <a:noFill/>
                  </pic:spPr>
                </pic:pic>
              </a:graphicData>
            </a:graphic>
          </wp:anchor>
        </w:drawing>
      </w:r>
    </w:p>
    <w:p>
      <w:pPr>
        <w:spacing w:after="0" w:line="16" w:lineRule="exact"/>
        <w:rPr>
          <w:sz w:val="20"/>
          <w:szCs w:val="20"/>
          <w:color w:val="auto"/>
        </w:rPr>
      </w:pPr>
    </w:p>
    <w:p>
      <w:pPr>
        <w:ind w:left="7240"/>
        <w:spacing w:after="0"/>
        <w:rPr>
          <w:sz w:val="20"/>
          <w:szCs w:val="20"/>
          <w:color w:val="auto"/>
        </w:rPr>
      </w:pPr>
      <w:r>
        <w:rPr>
          <w:rFonts w:ascii="Arial" w:cs="Arial" w:eastAsia="Arial" w:hAnsi="Arial"/>
          <w:sz w:val="18"/>
          <w:szCs w:val="18"/>
          <w:color w:val="auto"/>
        </w:rPr>
        <w:t>Sehat Sutardja</w:t>
      </w:r>
    </w:p>
    <w:p>
      <w:pPr>
        <w:spacing w:after="0" w:line="23" w:lineRule="exact"/>
        <w:rPr>
          <w:sz w:val="20"/>
          <w:szCs w:val="20"/>
          <w:color w:val="auto"/>
        </w:rPr>
      </w:pPr>
    </w:p>
    <w:p>
      <w:pPr>
        <w:ind w:left="7240"/>
        <w:spacing w:after="0"/>
        <w:rPr>
          <w:sz w:val="20"/>
          <w:szCs w:val="20"/>
          <w:color w:val="auto"/>
        </w:rPr>
      </w:pPr>
      <w:r>
        <w:rPr>
          <w:rFonts w:ascii="Arial" w:cs="Arial" w:eastAsia="Arial" w:hAnsi="Arial"/>
          <w:sz w:val="18"/>
          <w:szCs w:val="18"/>
          <w:i w:val="1"/>
          <w:iCs w:val="1"/>
          <w:color w:val="auto"/>
        </w:rPr>
        <w:t>Chief Executive Officer</w:t>
      </w:r>
    </w:p>
    <w:p>
      <w:pPr>
        <w:spacing w:after="0" w:line="14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20"/>
          </w:cols>
          <w:pgMar w:left="240" w:top="270" w:right="239" w:bottom="1440" w:gutter="0" w:footer="0" w:header="0"/>
        </w:sectPr>
      </w:pPr>
    </w:p>
    <w:bookmarkStart w:id="3" w:name="page4"/>
    <w:bookmarkEnd w:id="3"/>
    <w:p>
      <w:pPr>
        <w:jc w:val="right"/>
        <w:ind w:right="379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EXHIBIT INDEX</w:t>
      </w:r>
    </w:p>
    <w:p>
      <w:pPr>
        <w:spacing w:after="0" w:line="252" w:lineRule="exact"/>
        <w:rPr>
          <w:sz w:val="20"/>
          <w:szCs w:val="20"/>
          <w:color w:val="auto"/>
        </w:rPr>
      </w:pPr>
    </w:p>
    <w:p>
      <w:pPr>
        <w:spacing w:after="0"/>
        <w:tabs>
          <w:tab w:leader="none" w:pos="960" w:val="left"/>
        </w:tabs>
        <w:rPr>
          <w:sz w:val="20"/>
          <w:szCs w:val="20"/>
          <w:color w:val="auto"/>
        </w:rPr>
      </w:pPr>
      <w:r>
        <w:rPr>
          <w:rFonts w:ascii="Arial" w:cs="Arial" w:eastAsia="Arial" w:hAnsi="Arial"/>
          <w:sz w:val="14"/>
          <w:szCs w:val="14"/>
          <w:color w:val="auto"/>
        </w:rPr>
        <w:t>Exhibit No.</w:t>
      </w:r>
      <w:r>
        <w:rPr>
          <w:sz w:val="20"/>
          <w:szCs w:val="20"/>
          <w:color w:val="auto"/>
        </w:rPr>
        <w:tab/>
      </w:r>
      <w:r>
        <w:rPr>
          <w:rFonts w:ascii="Arial" w:cs="Arial" w:eastAsia="Arial" w:hAnsi="Arial"/>
          <w:sz w:val="13"/>
          <w:szCs w:val="13"/>
          <w:color w:val="auto"/>
        </w:rPr>
        <w:t>Description</w:t>
      </w:r>
    </w:p>
    <w:p>
      <w:pPr>
        <w:spacing w:after="0" w:line="100" w:lineRule="exact"/>
        <w:rPr>
          <w:sz w:val="20"/>
          <w:szCs w:val="20"/>
          <w:color w:val="auto"/>
        </w:rPr>
      </w:pPr>
    </w:p>
    <w:p>
      <w:pPr>
        <w:ind w:left="160"/>
        <w:spacing w:after="0"/>
        <w:tabs>
          <w:tab w:leader="none" w:pos="96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5"/>
          <w:szCs w:val="15"/>
          <w:color w:val="auto"/>
        </w:rPr>
        <w:t>Press Release dated December 2, 2013</w:t>
      </w:r>
    </w:p>
    <w:p>
      <w:pPr>
        <w:sectPr>
          <w:pgSz w:w="11900" w:h="16838" w:orient="portrait"/>
          <w:cols w:equalWidth="0" w:num="1">
            <w:col w:w="10199"/>
          </w:cols>
          <w:pgMar w:left="260" w:top="270" w:right="1440" w:bottom="1440" w:gutter="0" w:footer="0" w:header="0"/>
        </w:sectPr>
      </w:pPr>
    </w:p>
    <w:bookmarkStart w:id="4" w:name="page5"/>
    <w:bookmarkEnd w:id="4"/>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4756150</wp:posOffset>
            </wp:positionH>
            <wp:positionV relativeFrom="paragraph">
              <wp:posOffset>172085</wp:posOffset>
            </wp:positionV>
            <wp:extent cx="1809750" cy="15430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1809750" cy="15430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For Further Information Contact:</w:t>
      </w:r>
    </w:p>
    <w:p>
      <w:pPr>
        <w:spacing w:after="0" w:line="135"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1460" w:type="dxa"/>
            <w:vAlign w:val="bottom"/>
          </w:tcPr>
          <w:p>
            <w:pPr>
              <w:spacing w:after="0"/>
              <w:rPr>
                <w:sz w:val="20"/>
                <w:szCs w:val="20"/>
                <w:color w:val="auto"/>
              </w:rPr>
            </w:pPr>
            <w:r>
              <w:rPr>
                <w:rFonts w:ascii="Arial" w:cs="Arial" w:eastAsia="Arial" w:hAnsi="Arial"/>
                <w:sz w:val="18"/>
                <w:szCs w:val="18"/>
                <w:color w:val="auto"/>
                <w:w w:val="99"/>
              </w:rPr>
              <w:t>Investor Relations</w:t>
            </w:r>
          </w:p>
        </w:tc>
        <w:tc>
          <w:tcPr>
            <w:tcW w:w="920" w:type="dxa"/>
            <w:vAlign w:val="bottom"/>
          </w:tcPr>
          <w:p>
            <w:pPr>
              <w:spacing w:after="0"/>
              <w:rPr>
                <w:sz w:val="18"/>
                <w:szCs w:val="18"/>
                <w:color w:val="auto"/>
              </w:rPr>
            </w:pPr>
          </w:p>
        </w:tc>
        <w:tc>
          <w:tcPr>
            <w:tcW w:w="1520" w:type="dxa"/>
            <w:vAlign w:val="bottom"/>
          </w:tcPr>
          <w:p>
            <w:pPr>
              <w:spacing w:after="0"/>
              <w:rPr>
                <w:sz w:val="20"/>
                <w:szCs w:val="20"/>
                <w:color w:val="auto"/>
              </w:rPr>
            </w:pPr>
            <w:r>
              <w:rPr>
                <w:rFonts w:ascii="Arial" w:cs="Arial" w:eastAsia="Arial" w:hAnsi="Arial"/>
                <w:sz w:val="18"/>
                <w:szCs w:val="18"/>
                <w:color w:val="auto"/>
              </w:rPr>
              <w:t>Media Relations</w:t>
            </w:r>
          </w:p>
        </w:tc>
      </w:tr>
      <w:tr>
        <w:trPr>
          <w:trHeight w:val="216"/>
        </w:trPr>
        <w:tc>
          <w:tcPr>
            <w:tcW w:w="1460" w:type="dxa"/>
            <w:vAlign w:val="bottom"/>
          </w:tcPr>
          <w:p>
            <w:pPr>
              <w:spacing w:after="0"/>
              <w:rPr>
                <w:sz w:val="20"/>
                <w:szCs w:val="20"/>
                <w:color w:val="auto"/>
              </w:rPr>
            </w:pPr>
            <w:r>
              <w:rPr>
                <w:rFonts w:ascii="Arial" w:cs="Arial" w:eastAsia="Arial" w:hAnsi="Arial"/>
                <w:sz w:val="18"/>
                <w:szCs w:val="18"/>
                <w:color w:val="auto"/>
              </w:rPr>
              <w:t>Sukhi Nagesh</w:t>
            </w:r>
          </w:p>
        </w:tc>
        <w:tc>
          <w:tcPr>
            <w:tcW w:w="920" w:type="dxa"/>
            <w:vAlign w:val="bottom"/>
          </w:tcPr>
          <w:p>
            <w:pPr>
              <w:spacing w:after="0"/>
              <w:rPr>
                <w:sz w:val="18"/>
                <w:szCs w:val="18"/>
                <w:color w:val="auto"/>
              </w:rPr>
            </w:pPr>
          </w:p>
        </w:tc>
        <w:tc>
          <w:tcPr>
            <w:tcW w:w="1520" w:type="dxa"/>
            <w:vAlign w:val="bottom"/>
          </w:tcPr>
          <w:p>
            <w:pPr>
              <w:spacing w:after="0"/>
              <w:rPr>
                <w:sz w:val="20"/>
                <w:szCs w:val="20"/>
                <w:color w:val="auto"/>
              </w:rPr>
            </w:pPr>
            <w:r>
              <w:rPr>
                <w:rFonts w:ascii="Arial" w:cs="Arial" w:eastAsia="Arial" w:hAnsi="Arial"/>
                <w:sz w:val="18"/>
                <w:szCs w:val="18"/>
                <w:color w:val="auto"/>
              </w:rPr>
              <w:t>Holly Zheng</w:t>
            </w:r>
          </w:p>
        </w:tc>
      </w:tr>
      <w:tr>
        <w:trPr>
          <w:trHeight w:val="216"/>
        </w:trPr>
        <w:tc>
          <w:tcPr>
            <w:tcW w:w="1460" w:type="dxa"/>
            <w:vAlign w:val="bottom"/>
          </w:tcPr>
          <w:p>
            <w:pPr>
              <w:spacing w:after="0"/>
              <w:rPr>
                <w:sz w:val="20"/>
                <w:szCs w:val="20"/>
                <w:color w:val="auto"/>
              </w:rPr>
            </w:pPr>
            <w:r>
              <w:rPr>
                <w:rFonts w:ascii="Arial" w:cs="Arial" w:eastAsia="Arial" w:hAnsi="Arial"/>
                <w:sz w:val="18"/>
                <w:szCs w:val="18"/>
                <w:color w:val="auto"/>
                <w:w w:val="97"/>
              </w:rPr>
              <w:t>Tel: 408-222-8373</w:t>
            </w:r>
          </w:p>
        </w:tc>
        <w:tc>
          <w:tcPr>
            <w:tcW w:w="920" w:type="dxa"/>
            <w:vAlign w:val="bottom"/>
          </w:tcPr>
          <w:p>
            <w:pPr>
              <w:spacing w:after="0"/>
              <w:rPr>
                <w:sz w:val="18"/>
                <w:szCs w:val="18"/>
                <w:color w:val="auto"/>
              </w:rPr>
            </w:pPr>
          </w:p>
        </w:tc>
        <w:tc>
          <w:tcPr>
            <w:tcW w:w="1520" w:type="dxa"/>
            <w:vAlign w:val="bottom"/>
          </w:tcPr>
          <w:p>
            <w:pPr>
              <w:spacing w:after="0"/>
              <w:rPr>
                <w:sz w:val="20"/>
                <w:szCs w:val="20"/>
                <w:color w:val="auto"/>
              </w:rPr>
            </w:pPr>
            <w:r>
              <w:rPr>
                <w:rFonts w:ascii="Arial" w:cs="Arial" w:eastAsia="Arial" w:hAnsi="Arial"/>
                <w:sz w:val="18"/>
                <w:szCs w:val="18"/>
                <w:color w:val="auto"/>
              </w:rPr>
              <w:t>Tel: 408-222-9202</w:t>
            </w:r>
          </w:p>
        </w:tc>
      </w:tr>
      <w:tr>
        <w:trPr>
          <w:trHeight w:val="190"/>
        </w:trPr>
        <w:tc>
          <w:tcPr>
            <w:tcW w:w="1460" w:type="dxa"/>
            <w:vAlign w:val="bottom"/>
            <w:tcBorders>
              <w:bottom w:val="single" w:sz="8" w:color="auto"/>
            </w:tcBorders>
          </w:tcPr>
          <w:p>
            <w:pPr>
              <w:spacing w:after="0" w:line="190" w:lineRule="exact"/>
              <w:rPr>
                <w:sz w:val="20"/>
                <w:szCs w:val="20"/>
                <w:color w:val="auto"/>
              </w:rPr>
            </w:pPr>
            <w:r>
              <w:rPr>
                <w:rFonts w:ascii="Arial" w:cs="Arial" w:eastAsia="Arial" w:hAnsi="Arial"/>
                <w:sz w:val="18"/>
                <w:szCs w:val="18"/>
                <w:color w:val="auto"/>
                <w:w w:val="91"/>
              </w:rPr>
              <w:t>sukhi@marvell.com</w:t>
            </w:r>
          </w:p>
        </w:tc>
        <w:tc>
          <w:tcPr>
            <w:tcW w:w="920" w:type="dxa"/>
            <w:vAlign w:val="bottom"/>
          </w:tcPr>
          <w:p>
            <w:pPr>
              <w:spacing w:after="0"/>
              <w:rPr>
                <w:sz w:val="16"/>
                <w:szCs w:val="16"/>
                <w:color w:val="auto"/>
              </w:rPr>
            </w:pPr>
          </w:p>
        </w:tc>
        <w:tc>
          <w:tcPr>
            <w:tcW w:w="1520" w:type="dxa"/>
            <w:vAlign w:val="bottom"/>
            <w:tcBorders>
              <w:bottom w:val="single" w:sz="8" w:color="auto"/>
            </w:tcBorders>
          </w:tcPr>
          <w:p>
            <w:pPr>
              <w:spacing w:after="0" w:line="190" w:lineRule="exact"/>
              <w:rPr>
                <w:sz w:val="20"/>
                <w:szCs w:val="20"/>
                <w:color w:val="auto"/>
              </w:rPr>
            </w:pPr>
            <w:r>
              <w:rPr>
                <w:rFonts w:ascii="Arial" w:cs="Arial" w:eastAsia="Arial" w:hAnsi="Arial"/>
                <w:sz w:val="18"/>
                <w:szCs w:val="18"/>
                <w:color w:val="auto"/>
                <w:w w:val="92"/>
              </w:rPr>
              <w:t>hollyz@marvell.com</w:t>
            </w:r>
          </w:p>
        </w:tc>
      </w:tr>
    </w:tbl>
    <w:p>
      <w:pPr>
        <w:spacing w:after="0" w:line="200" w:lineRule="exact"/>
        <w:rPr>
          <w:sz w:val="20"/>
          <w:szCs w:val="20"/>
          <w:color w:val="auto"/>
        </w:rPr>
      </w:pPr>
    </w:p>
    <w:p>
      <w:pPr>
        <w:spacing w:after="0" w:line="25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 Announces Resignation of Interim Chief Financial Officer</w:t>
      </w:r>
    </w:p>
    <w:p>
      <w:pPr>
        <w:spacing w:after="0" w:line="225" w:lineRule="exact"/>
        <w:rPr>
          <w:sz w:val="20"/>
          <w:szCs w:val="20"/>
          <w:color w:val="auto"/>
        </w:rPr>
      </w:pPr>
    </w:p>
    <w:p>
      <w:pPr>
        <w:ind w:right="160"/>
        <w:spacing w:after="0" w:line="266" w:lineRule="auto"/>
        <w:rPr>
          <w:sz w:val="20"/>
          <w:szCs w:val="20"/>
          <w:color w:val="auto"/>
        </w:rPr>
      </w:pPr>
      <w:r>
        <w:rPr>
          <w:rFonts w:ascii="Arial" w:cs="Arial" w:eastAsia="Arial" w:hAnsi="Arial"/>
          <w:sz w:val="18"/>
          <w:szCs w:val="18"/>
          <w:b w:val="1"/>
          <w:bCs w:val="1"/>
          <w:color w:val="auto"/>
        </w:rPr>
        <w:t xml:space="preserve">Santa Clara, California (December 2, 2013) </w:t>
      </w:r>
      <w:r>
        <w:rPr>
          <w:rFonts w:ascii="Arial" w:cs="Arial" w:eastAsia="Arial" w:hAnsi="Arial"/>
          <w:sz w:val="18"/>
          <w:szCs w:val="18"/>
          <w:color w:val="auto"/>
        </w:rPr>
        <w:t>— Marvell (NASDAQ: MRVL), a global leader in integrated silicon solutions, today announced that Brad D.</w:t>
      </w:r>
      <w:r>
        <w:rPr>
          <w:rFonts w:ascii="Arial" w:cs="Arial" w:eastAsia="Arial" w:hAnsi="Arial"/>
          <w:sz w:val="18"/>
          <w:szCs w:val="18"/>
          <w:b w:val="1"/>
          <w:bCs w:val="1"/>
          <w:color w:val="auto"/>
        </w:rPr>
        <w:t xml:space="preserve"> </w:t>
      </w:r>
      <w:r>
        <w:rPr>
          <w:rFonts w:ascii="Arial" w:cs="Arial" w:eastAsia="Arial" w:hAnsi="Arial"/>
          <w:sz w:val="18"/>
          <w:szCs w:val="18"/>
          <w:color w:val="auto"/>
        </w:rPr>
        <w:t>Feller, Marvell’s Interim Chief Financial Officer, has advised Marvell of his intention to resign from his position to pursue other opportunities. Mr. Feller’s resignation is effective as of December 10, 2013.</w:t>
      </w:r>
    </w:p>
    <w:p>
      <w:pPr>
        <w:spacing w:after="0" w:line="180" w:lineRule="exact"/>
        <w:rPr>
          <w:sz w:val="20"/>
          <w:szCs w:val="20"/>
          <w:color w:val="auto"/>
        </w:rPr>
      </w:pPr>
    </w:p>
    <w:p>
      <w:pPr>
        <w:spacing w:after="0"/>
        <w:rPr>
          <w:sz w:val="20"/>
          <w:szCs w:val="20"/>
          <w:color w:val="auto"/>
        </w:rPr>
      </w:pPr>
      <w:r>
        <w:rPr>
          <w:rFonts w:ascii="Arial" w:cs="Arial" w:eastAsia="Arial" w:hAnsi="Arial"/>
          <w:sz w:val="18"/>
          <w:szCs w:val="18"/>
          <w:color w:val="auto"/>
        </w:rPr>
        <w:t>As previously disclosed Marvell is continuing its search to permanently fill the role of Chief Financial Officer.</w:t>
      </w:r>
    </w:p>
    <w:p>
      <w:pPr>
        <w:spacing w:after="0" w:line="32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About Marvell</w:t>
      </w:r>
    </w:p>
    <w:p>
      <w:pPr>
        <w:spacing w:after="0" w:line="121" w:lineRule="exact"/>
        <w:rPr>
          <w:sz w:val="20"/>
          <w:szCs w:val="20"/>
          <w:color w:val="auto"/>
        </w:rPr>
      </w:pPr>
    </w:p>
    <w:p>
      <w:pPr>
        <w:ind w:right="80"/>
        <w:spacing w:after="0" w:line="276" w:lineRule="auto"/>
        <w:rPr>
          <w:sz w:val="20"/>
          <w:szCs w:val="20"/>
          <w:color w:val="auto"/>
        </w:rPr>
      </w:pPr>
      <w:r>
        <w:rPr>
          <w:rFonts w:ascii="Arial" w:cs="Arial" w:eastAsia="Arial" w:hAnsi="Arial"/>
          <w:sz w:val="17"/>
          <w:szCs w:val="17"/>
          <w:color w:val="auto"/>
        </w:rPr>
        <w:t>Marvell is a global leader in providing complete silicon solutions enabling the digital connected lifestyle. From mobile communications to storage, cloud infrastructure, digital entertainment and in-home content delivery, Marvell’s diverse product portfolio aligns complete platform designs with industry-leading performance, security, reliability and efficiency. At the core of powerful consumer, network and enterprise systems, Marvell empowers partners and their customers to always stand at the forefront of innovation, performance and mass appeal. By providing people around the world with mobility and ease of access to services adding value to their social, private and work lives, Marvell is committed to enhancing the human experience.</w:t>
      </w:r>
    </w:p>
    <w:p>
      <w:pPr>
        <w:spacing w:after="0" w:line="173" w:lineRule="exact"/>
        <w:rPr>
          <w:sz w:val="20"/>
          <w:szCs w:val="20"/>
          <w:color w:val="auto"/>
        </w:rPr>
      </w:pPr>
    </w:p>
    <w:p>
      <w:pPr>
        <w:spacing w:after="0"/>
        <w:rPr>
          <w:sz w:val="20"/>
          <w:szCs w:val="20"/>
          <w:color w:val="auto"/>
        </w:rPr>
      </w:pPr>
      <w:r>
        <w:rPr>
          <w:rFonts w:ascii="Arial" w:cs="Arial" w:eastAsia="Arial" w:hAnsi="Arial"/>
          <w:sz w:val="16"/>
          <w:szCs w:val="16"/>
          <w:color w:val="auto"/>
        </w:rPr>
        <w:t xml:space="preserve">As used in this release, the term “Marvell” refers to Marvell Technology Group Ltd. and its subsidiaries. For more information please visit </w:t>
      </w:r>
      <w:r>
        <w:rPr>
          <w:rFonts w:ascii="Arial" w:cs="Arial" w:eastAsia="Arial" w:hAnsi="Arial"/>
          <w:sz w:val="16"/>
          <w:szCs w:val="16"/>
          <w:u w:val="single" w:color="auto"/>
          <w:color w:val="auto"/>
        </w:rPr>
        <w:t>www.marvell.com</w:t>
      </w:r>
      <w:r>
        <w:rPr>
          <w:rFonts w:ascii="Arial" w:cs="Arial" w:eastAsia="Arial" w:hAnsi="Arial"/>
          <w:sz w:val="16"/>
          <w:szCs w:val="16"/>
          <w:color w:val="auto"/>
        </w:rPr>
        <w:t>.</w:t>
      </w:r>
    </w:p>
    <w:p>
      <w:pPr>
        <w:spacing w:after="0" w:line="248"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Marvell</w:t>
      </w:r>
      <w:r>
        <w:rPr>
          <w:rFonts w:ascii="Arial" w:cs="Arial" w:eastAsia="Arial" w:hAnsi="Arial"/>
          <w:sz w:val="15"/>
          <w:szCs w:val="15"/>
          <w:i w:val="1"/>
          <w:iCs w:val="1"/>
          <w:color w:val="auto"/>
        </w:rPr>
        <w:t>®</w:t>
      </w:r>
      <w:r>
        <w:rPr>
          <w:rFonts w:ascii="Arial" w:cs="Arial" w:eastAsia="Arial" w:hAnsi="Arial"/>
          <w:sz w:val="18"/>
          <w:szCs w:val="18"/>
          <w:i w:val="1"/>
          <w:iCs w:val="1"/>
          <w:color w:val="auto"/>
        </w:rPr>
        <w:t xml:space="preserve"> and the Marvell logo are registered trademarks of Marvell and/or its affiliates.</w:t>
      </w:r>
    </w:p>
    <w:sectPr>
      <w:pgSz w:w="11900" w:h="16838" w:orient="portrait"/>
      <w:cols w:equalWidth="0" w:num="1">
        <w:col w:w="11420"/>
      </w:cols>
      <w:pgMar w:left="240" w:top="121"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43C9869"/>
    <w:multiLevelType w:val="hybridMultilevel"/>
    <w:lvl w:ilvl="0">
      <w:lvlJc w:val="left"/>
      <w:lvlText w:val="☐"/>
      <w:numFmt w:val="bullet"/>
      <w:start w:val="1"/>
    </w:lvl>
  </w:abstractNum>
  <w:abstractNum w:abstractNumId="1">
    <w:nsid w:val="66334873"/>
    <w:multiLevelType w:val="hybridMultilevel"/>
    <w:lvl w:ilvl="0">
      <w:lvlJc w:val="left"/>
      <w:lvlText w:val="(%1)"/>
      <w:numFmt w:val="lowerLetter"/>
      <w:start w:val="4"/>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2019-12-06T19:29:00Z</dcterms:created>
  <dcterms:modified xsi:type="dcterms:W3CDTF">2019-12-06T19:29:00Z</dcterms:modified>
</cp:coreProperties>
</file>