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For the quarterly period ended November 2, 2013</w:t>
      </w:r>
    </w:p>
    <w:p>
      <w:pPr>
        <w:spacing w:after="0" w:line="17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6" w:lineRule="exact"/>
        <w:rPr>
          <w:sz w:val="24"/>
          <w:szCs w:val="24"/>
          <w:color w:val="auto"/>
        </w:rPr>
      </w:pPr>
    </w:p>
    <w:tbl>
      <w:tblPr>
        <w:tblLayout w:type="fixed"/>
        <w:tblInd w:w="2020" w:type="dxa"/>
        <w:tblCellMar>
          <w:top w:w="0" w:type="dxa"/>
          <w:left w:w="0" w:type="dxa"/>
          <w:bottom w:w="0" w:type="dxa"/>
          <w:right w:w="0" w:type="dxa"/>
        </w:tblCellMar>
      </w:tblPr>
      <w:tr>
        <w:trPr>
          <w:trHeight w:val="218"/>
        </w:trPr>
        <w:tc>
          <w:tcPr>
            <w:tcW w:w="3920" w:type="dxa"/>
            <w:vAlign w:val="bottom"/>
          </w:tcPr>
          <w:p>
            <w:pPr>
              <w:jc w:val="center"/>
              <w:ind w:right="2106"/>
              <w:spacing w:after="0"/>
              <w:rPr>
                <w:sz w:val="20"/>
                <w:szCs w:val="20"/>
                <w:color w:val="auto"/>
              </w:rPr>
            </w:pPr>
            <w:r>
              <w:rPr>
                <w:rFonts w:ascii="Arial" w:cs="Arial" w:eastAsia="Arial" w:hAnsi="Arial"/>
                <w:sz w:val="18"/>
                <w:szCs w:val="18"/>
                <w:b w:val="1"/>
                <w:bCs w:val="1"/>
                <w:color w:val="auto"/>
                <w:w w:val="89"/>
              </w:rPr>
              <w:t>Bermuda</w:t>
            </w:r>
          </w:p>
        </w:tc>
        <w:tc>
          <w:tcPr>
            <w:tcW w:w="3240" w:type="dxa"/>
            <w:vAlign w:val="bottom"/>
          </w:tcPr>
          <w:p>
            <w:pPr>
              <w:jc w:val="center"/>
              <w:ind w:left="2106"/>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2106"/>
              <w:spacing w:after="0" w:line="149" w:lineRule="exact"/>
              <w:rPr>
                <w:sz w:val="20"/>
                <w:szCs w:val="20"/>
                <w:color w:val="auto"/>
              </w:rPr>
            </w:pPr>
            <w:r>
              <w:rPr>
                <w:rFonts w:ascii="Arial" w:cs="Arial" w:eastAsia="Arial" w:hAnsi="Arial"/>
                <w:sz w:val="14"/>
                <w:szCs w:val="14"/>
                <w:b w:val="1"/>
                <w:bCs w:val="1"/>
                <w:color w:val="auto"/>
                <w:w w:val="88"/>
              </w:rPr>
              <w:t>(State or other jurisdiction of</w:t>
            </w:r>
          </w:p>
        </w:tc>
        <w:tc>
          <w:tcPr>
            <w:tcW w:w="3240" w:type="dxa"/>
            <w:vAlign w:val="bottom"/>
          </w:tcPr>
          <w:p>
            <w:pPr>
              <w:jc w:val="center"/>
              <w:ind w:left="210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920" w:type="dxa"/>
            <w:vAlign w:val="bottom"/>
          </w:tcPr>
          <w:p>
            <w:pPr>
              <w:jc w:val="center"/>
              <w:ind w:right="2086"/>
              <w:spacing w:after="0"/>
              <w:rPr>
                <w:sz w:val="20"/>
                <w:szCs w:val="20"/>
                <w:color w:val="auto"/>
              </w:rPr>
            </w:pPr>
            <w:r>
              <w:rPr>
                <w:rFonts w:ascii="Arial" w:cs="Arial" w:eastAsia="Arial" w:hAnsi="Arial"/>
                <w:sz w:val="14"/>
                <w:szCs w:val="14"/>
                <w:b w:val="1"/>
                <w:bCs w:val="1"/>
                <w:color w:val="auto"/>
                <w:w w:val="88"/>
              </w:rPr>
              <w:t>incorporation or organization)</w:t>
            </w:r>
          </w:p>
        </w:tc>
        <w:tc>
          <w:tcPr>
            <w:tcW w:w="3240" w:type="dxa"/>
            <w:vAlign w:val="bottom"/>
          </w:tcPr>
          <w:p>
            <w:pPr>
              <w:jc w:val="center"/>
              <w:ind w:left="2106"/>
              <w:spacing w:after="0"/>
              <w:rPr>
                <w:sz w:val="20"/>
                <w:szCs w:val="20"/>
                <w:color w:val="auto"/>
              </w:rPr>
            </w:pPr>
            <w:r>
              <w:rPr>
                <w:rFonts w:ascii="Arial" w:cs="Arial" w:eastAsia="Arial" w:hAnsi="Arial"/>
                <w:sz w:val="14"/>
                <w:szCs w:val="14"/>
                <w:b w:val="1"/>
                <w:bCs w:val="1"/>
                <w:color w:val="auto"/>
                <w:w w:val="89"/>
              </w:rPr>
              <w:t>Identification No.)</w:t>
            </w:r>
          </w:p>
        </w:tc>
      </w:tr>
    </w:tbl>
    <w:p>
      <w:pPr>
        <w:spacing w:after="0" w:line="14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of principal executive offices and 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96520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8"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50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Arial" w:cs="Arial" w:eastAsia="Arial" w:hAnsi="Arial"/>
                <w:sz w:val="18"/>
                <w:szCs w:val="18"/>
                <w:color w:val="auto"/>
                <w:w w:val="90"/>
              </w:rPr>
              <w:t>The number of common shares of the registrant outstanding as of November 27, 2013 was 491.9 million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340" w:type="dxa"/>
            <w:vAlign w:val="bottom"/>
            <w:gridSpan w:val="13"/>
            <w:vMerge w:val="restart"/>
          </w:tcPr>
          <w:p>
            <w:pPr>
              <w:jc w:val="center"/>
              <w:ind w:right="228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56"/>
        </w:trPr>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340" w:type="dxa"/>
            <w:vAlign w:val="bottom"/>
            <w:gridSpan w:val="13"/>
            <w:vMerge w:val="continue"/>
          </w:tcPr>
          <w:p>
            <w:pPr>
              <w:spacing w:after="0"/>
              <w:rPr>
                <w:sz w:val="13"/>
                <w:szCs w:val="13"/>
                <w:color w:val="auto"/>
              </w:rPr>
            </w:pPr>
          </w:p>
        </w:tc>
        <w:tc>
          <w:tcPr>
            <w:tcW w:w="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1.</w:t>
            </w:r>
          </w:p>
        </w:tc>
        <w:tc>
          <w:tcPr>
            <w:tcW w:w="3280" w:type="dxa"/>
            <w:vAlign w:val="bottom"/>
            <w:gridSpan w:val="8"/>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17"/>
                <w:szCs w:val="17"/>
                <w:color w:val="auto"/>
              </w:rPr>
            </w:pPr>
          </w:p>
        </w:tc>
        <w:tc>
          <w:tcPr>
            <w:tcW w:w="3820" w:type="dxa"/>
            <w:vAlign w:val="bottom"/>
            <w:gridSpan w:val="6"/>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80" w:type="dxa"/>
            <w:vAlign w:val="bottom"/>
            <w:gridSpan w:val="20"/>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November 2, 2013 and February 2, 2013</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80" w:type="dxa"/>
            <w:vAlign w:val="bottom"/>
            <w:gridSpan w:val="2"/>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440" w:type="dxa"/>
            <w:vAlign w:val="bottom"/>
            <w:shd w:val="clear" w:color="auto" w:fill="0000EE"/>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80" w:type="dxa"/>
            <w:vAlign w:val="bottom"/>
            <w:gridSpan w:val="20"/>
          </w:tcPr>
          <w:p>
            <w:pPr>
              <w:spacing w:after="0" w:line="196" w:lineRule="exact"/>
              <w:rPr>
                <w:rFonts w:ascii="Arial" w:cs="Arial" w:eastAsia="Arial" w:hAnsi="Arial"/>
                <w:sz w:val="18"/>
                <w:szCs w:val="18"/>
                <w:color w:val="0000EE"/>
                <w:w w:val="89"/>
              </w:rPr>
            </w:pPr>
            <w:hyperlink w:anchor="page4">
              <w:r>
                <w:rPr>
                  <w:rFonts w:ascii="Arial" w:cs="Arial" w:eastAsia="Arial" w:hAnsi="Arial"/>
                  <w:sz w:val="18"/>
                  <w:szCs w:val="18"/>
                  <w:color w:val="0000EE"/>
                  <w:w w:val="89"/>
                </w:rPr>
                <w:t>Unaudited Condensed Consolidated Statements of Operations for the three and nine months ended November 2, 2013 and October 27, 2012</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480" w:type="dxa"/>
            <w:vAlign w:val="bottom"/>
            <w:tcBorders>
              <w:top w:val="single" w:sz="8" w:color="0000EE"/>
              <w:bottom w:val="single" w:sz="8" w:color="0000EE"/>
            </w:tcBorders>
            <w:gridSpan w:val="18"/>
          </w:tcPr>
          <w:p>
            <w:pPr>
              <w:spacing w:after="0" w:line="196" w:lineRule="exact"/>
              <w:rPr>
                <w:rFonts w:ascii="Arial" w:cs="Arial" w:eastAsia="Arial" w:hAnsi="Arial"/>
                <w:sz w:val="18"/>
                <w:szCs w:val="18"/>
                <w:color w:val="0000EE"/>
                <w:w w:val="87"/>
              </w:rPr>
            </w:pPr>
            <w:hyperlink w:anchor="page5">
              <w:r>
                <w:rPr>
                  <w:rFonts w:ascii="Arial" w:cs="Arial" w:eastAsia="Arial" w:hAnsi="Arial"/>
                  <w:sz w:val="18"/>
                  <w:szCs w:val="18"/>
                  <w:color w:val="0000EE"/>
                  <w:w w:val="87"/>
                </w:rPr>
                <w:t>Unaudited Condensed Consolidated Statements of Comprehensive Income for the three and nine months ended November 2, 2013 and</w:t>
              </w:r>
            </w:hyperlink>
          </w:p>
        </w:tc>
        <w:tc>
          <w:tcPr>
            <w:tcW w:w="360" w:type="dxa"/>
            <w:vAlign w:val="bottom"/>
            <w:tcBorders>
              <w:top w:val="single" w:sz="8" w:color="0000EE"/>
            </w:tcBorders>
          </w:tcPr>
          <w:p>
            <w:pPr>
              <w:spacing w:after="0"/>
              <w:rPr>
                <w:sz w:val="17"/>
                <w:szCs w:val="17"/>
                <w:color w:val="auto"/>
              </w:rPr>
            </w:pPr>
          </w:p>
        </w:tc>
        <w:tc>
          <w:tcPr>
            <w:tcW w:w="2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80" w:type="dxa"/>
            <w:vAlign w:val="bottom"/>
            <w:gridSpan w:val="20"/>
          </w:tcPr>
          <w:p>
            <w:pPr>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October 27, 2012</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900" w:type="dxa"/>
            <w:vAlign w:val="bottom"/>
            <w:gridSpan w:val="2"/>
          </w:tcPr>
          <w:p>
            <w:pPr>
              <w:spacing w:after="0" w:line="20" w:lineRule="exact"/>
              <w:rPr>
                <w:sz w:val="1"/>
                <w:szCs w:val="1"/>
                <w:color w:val="auto"/>
              </w:rPr>
            </w:pPr>
          </w:p>
        </w:tc>
        <w:tc>
          <w:tcPr>
            <w:tcW w:w="88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80" w:type="dxa"/>
            <w:vAlign w:val="bottom"/>
            <w:gridSpan w:val="20"/>
          </w:tcPr>
          <w:p>
            <w:pPr>
              <w:spacing w:after="0" w:line="196" w:lineRule="exact"/>
              <w:rPr>
                <w:rFonts w:ascii="Arial" w:cs="Arial" w:eastAsia="Arial" w:hAnsi="Arial"/>
                <w:sz w:val="18"/>
                <w:szCs w:val="18"/>
                <w:color w:val="0000EE"/>
                <w:w w:val="95"/>
              </w:rPr>
            </w:pPr>
            <w:hyperlink w:anchor="page6">
              <w:r>
                <w:rPr>
                  <w:rFonts w:ascii="Arial" w:cs="Arial" w:eastAsia="Arial" w:hAnsi="Arial"/>
                  <w:sz w:val="18"/>
                  <w:szCs w:val="18"/>
                  <w:color w:val="0000EE"/>
                  <w:w w:val="95"/>
                </w:rPr>
                <w:t>Unaudited Condensed Consolidated Statements of Cash Flows for the nine months ended November 2, 2013 and October 27, 2012</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680" w:type="dxa"/>
            <w:vAlign w:val="bottom"/>
            <w:tcBorders>
              <w:top w:val="single" w:sz="8" w:color="0000EE"/>
              <w:bottom w:val="single" w:sz="8" w:color="0000EE"/>
            </w:tcBorders>
            <w:gridSpan w:val="12"/>
          </w:tcPr>
          <w:p>
            <w:pPr>
              <w:spacing w:after="0" w:line="196" w:lineRule="exact"/>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4520" w:type="dxa"/>
            <w:vAlign w:val="bottom"/>
            <w:tcBorders>
              <w:top w:val="single" w:sz="8" w:color="0000EE"/>
            </w:tcBorders>
            <w:gridSpan w:val="5"/>
          </w:tcPr>
          <w:p>
            <w:pPr>
              <w:spacing w:after="0"/>
              <w:rPr>
                <w:sz w:val="17"/>
                <w:szCs w:val="17"/>
                <w:color w:val="auto"/>
              </w:rPr>
            </w:pPr>
          </w:p>
        </w:tc>
        <w:tc>
          <w:tcPr>
            <w:tcW w:w="880" w:type="dxa"/>
            <w:vAlign w:val="bottom"/>
            <w:gridSpan w:val="3"/>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80" w:type="dxa"/>
            <w:vAlign w:val="bottom"/>
            <w:gridSpan w:val="20"/>
          </w:tcPr>
          <w:p>
            <w:pPr>
              <w:spacing w:after="0" w:line="196" w:lineRule="exact"/>
              <w:rPr>
                <w:rFonts w:ascii="Arial" w:cs="Arial" w:eastAsia="Arial" w:hAnsi="Arial"/>
                <w:sz w:val="18"/>
                <w:szCs w:val="18"/>
                <w:color w:val="0000EE"/>
              </w:rPr>
            </w:pPr>
            <w:hyperlink w:anchor="page24">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1"/>
          </w:tcPr>
          <w:p>
            <w:pPr>
              <w:spacing w:after="0" w:line="196" w:lineRule="exact"/>
              <w:rPr>
                <w:rFonts w:ascii="Arial" w:cs="Arial" w:eastAsia="Arial" w:hAnsi="Arial"/>
                <w:sz w:val="18"/>
                <w:szCs w:val="18"/>
                <w:color w:val="0000EE"/>
                <w:w w:val="89"/>
              </w:rPr>
            </w:pPr>
            <w:hyperlink w:anchor="page32">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17"/>
                <w:szCs w:val="17"/>
                <w:color w:val="auto"/>
              </w:rPr>
            </w:pPr>
          </w:p>
        </w:tc>
        <w:tc>
          <w:tcPr>
            <w:tcW w:w="378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4.</w:t>
            </w:r>
          </w:p>
        </w:tc>
        <w:tc>
          <w:tcPr>
            <w:tcW w:w="10080" w:type="dxa"/>
            <w:vAlign w:val="bottom"/>
            <w:gridSpan w:val="20"/>
          </w:tcPr>
          <w:p>
            <w:pPr>
              <w:spacing w:after="0" w:line="196" w:lineRule="exact"/>
              <w:rPr>
                <w:rFonts w:ascii="Arial" w:cs="Arial" w:eastAsia="Arial" w:hAnsi="Arial"/>
                <w:sz w:val="18"/>
                <w:szCs w:val="18"/>
                <w:color w:val="0000EE"/>
              </w:rPr>
            </w:pPr>
            <w:hyperlink w:anchor="page34">
              <w:r>
                <w:rPr>
                  <w:rFonts w:ascii="Arial" w:cs="Arial" w:eastAsia="Arial" w:hAnsi="Arial"/>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48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34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540" w:type="dxa"/>
            <w:vAlign w:val="bottom"/>
          </w:tcPr>
          <w:p>
            <w:pPr>
              <w:spacing w:after="0"/>
              <w:rPr>
                <w:sz w:val="17"/>
                <w:szCs w:val="17"/>
                <w:color w:val="auto"/>
              </w:rPr>
            </w:pPr>
          </w:p>
        </w:tc>
        <w:tc>
          <w:tcPr>
            <w:tcW w:w="6800" w:type="dxa"/>
            <w:vAlign w:val="bottom"/>
            <w:gridSpan w:val="12"/>
          </w:tcPr>
          <w:p>
            <w:pPr>
              <w:jc w:val="center"/>
              <w:ind w:right="3820"/>
              <w:spacing w:after="0" w:line="196" w:lineRule="exact"/>
              <w:rPr>
                <w:rFonts w:ascii="Arial" w:cs="Arial" w:eastAsia="Arial" w:hAnsi="Arial"/>
                <w:sz w:val="18"/>
                <w:szCs w:val="18"/>
                <w:b w:val="1"/>
                <w:bCs w:val="1"/>
                <w:color w:val="0000EE"/>
              </w:rPr>
            </w:pPr>
            <w:hyperlink w:anchor="page35">
              <w:r>
                <w:rPr>
                  <w:rFonts w:ascii="Arial" w:cs="Arial" w:eastAsia="Arial" w:hAnsi="Arial"/>
                  <w:sz w:val="18"/>
                  <w:szCs w:val="18"/>
                  <w:b w:val="1"/>
                  <w:bCs w:val="1"/>
                  <w:color w:val="0000EE"/>
                </w:rPr>
                <w:t>PART II. OTHER INFORMATION</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1.</w:t>
            </w:r>
          </w:p>
        </w:tc>
        <w:tc>
          <w:tcPr>
            <w:tcW w:w="3420" w:type="dxa"/>
            <w:vAlign w:val="bottom"/>
            <w:gridSpan w:val="9"/>
          </w:tcPr>
          <w:p>
            <w:pPr>
              <w:spacing w:after="0" w:line="196" w:lineRule="exact"/>
              <w:rPr>
                <w:rFonts w:ascii="Arial" w:cs="Arial" w:eastAsia="Arial" w:hAnsi="Arial"/>
                <w:sz w:val="18"/>
                <w:szCs w:val="18"/>
                <w:color w:val="0000EE"/>
              </w:rPr>
            </w:pPr>
            <w:hyperlink w:anchor="page35">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17"/>
                <w:szCs w:val="17"/>
                <w:color w:val="auto"/>
              </w:rPr>
            </w:pPr>
          </w:p>
        </w:tc>
        <w:tc>
          <w:tcPr>
            <w:tcW w:w="3960" w:type="dxa"/>
            <w:vAlign w:val="bottom"/>
            <w:gridSpan w:val="7"/>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35">
              <w:r>
                <w:rPr>
                  <w:rFonts w:ascii="Arial" w:cs="Arial" w:eastAsia="Arial" w:hAnsi="Arial"/>
                  <w:sz w:val="18"/>
                  <w:szCs w:val="18"/>
                  <w:color w:val="0000EE"/>
                </w:rPr>
                <w:t>Risk Factors</w:t>
              </w:r>
            </w:hyperlink>
          </w:p>
        </w:tc>
        <w:tc>
          <w:tcPr>
            <w:tcW w:w="8780" w:type="dxa"/>
            <w:vAlign w:val="bottom"/>
            <w:gridSpan w:val="1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7"/>
          </w:tcPr>
          <w:p>
            <w:pPr>
              <w:spacing w:after="0" w:line="20" w:lineRule="exact"/>
              <w:rPr>
                <w:sz w:val="1"/>
                <w:szCs w:val="1"/>
                <w:color w:val="auto"/>
              </w:rPr>
            </w:pPr>
          </w:p>
        </w:tc>
        <w:tc>
          <w:tcPr>
            <w:tcW w:w="5840" w:type="dxa"/>
            <w:vAlign w:val="bottom"/>
            <w:gridSpan w:val="1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80" w:type="dxa"/>
            <w:vAlign w:val="bottom"/>
            <w:gridSpan w:val="20"/>
          </w:tcPr>
          <w:p>
            <w:pPr>
              <w:spacing w:after="0" w:line="196" w:lineRule="exact"/>
              <w:rPr>
                <w:rFonts w:ascii="Arial" w:cs="Arial" w:eastAsia="Arial" w:hAnsi="Arial"/>
                <w:sz w:val="18"/>
                <w:szCs w:val="18"/>
                <w:color w:val="0000EE"/>
              </w:rPr>
            </w:pPr>
            <w:hyperlink w:anchor="page50">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10"/>
          </w:tcPr>
          <w:p>
            <w:pPr>
              <w:spacing w:after="0" w:line="196" w:lineRule="exact"/>
              <w:rPr>
                <w:rFonts w:ascii="Arial" w:cs="Arial" w:eastAsia="Arial" w:hAnsi="Arial"/>
                <w:sz w:val="18"/>
                <w:szCs w:val="18"/>
                <w:color w:val="0000EE"/>
              </w:rPr>
            </w:pPr>
            <w:hyperlink w:anchor="page50">
              <w:r>
                <w:rPr>
                  <w:rFonts w:ascii="Arial" w:cs="Arial" w:eastAsia="Arial" w:hAnsi="Arial"/>
                  <w:sz w:val="18"/>
                  <w:szCs w:val="18"/>
                  <w:color w:val="0000EE"/>
                </w:rPr>
                <w:t>Exhibits</w:t>
              </w:r>
            </w:hyperlink>
          </w:p>
        </w:tc>
        <w:tc>
          <w:tcPr>
            <w:tcW w:w="5840" w:type="dxa"/>
            <w:vAlign w:val="bottom"/>
            <w:gridSpan w:val="10"/>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rFonts w:ascii="Arial" w:cs="Arial" w:eastAsia="Arial" w:hAnsi="Arial"/>
                <w:sz w:val="18"/>
                <w:szCs w:val="18"/>
                <w:color w:val="0000EE"/>
                <w:w w:val="95"/>
              </w:rPr>
            </w:pPr>
            <w:hyperlink w:anchor="page51">
              <w:r>
                <w:rPr>
                  <w:rFonts w:ascii="Arial" w:cs="Arial" w:eastAsia="Arial" w:hAnsi="Arial"/>
                  <w:sz w:val="18"/>
                  <w:szCs w:val="18"/>
                  <w:color w:val="0000EE"/>
                  <w:w w:val="95"/>
                </w:rPr>
                <w:t>Signatures</w:t>
              </w:r>
            </w:hyperlink>
          </w:p>
        </w:tc>
        <w:tc>
          <w:tcPr>
            <w:tcW w:w="120" w:type="dxa"/>
            <w:vAlign w:val="bottom"/>
            <w:tcBorders>
              <w:top w:val="single" w:sz="8" w:color="0000EE"/>
            </w:tcBorders>
          </w:tcPr>
          <w:p>
            <w:pPr>
              <w:spacing w:after="0"/>
              <w:rPr>
                <w:sz w:val="17"/>
                <w:szCs w:val="17"/>
                <w:color w:val="auto"/>
              </w:rPr>
            </w:pPr>
          </w:p>
        </w:tc>
        <w:tc>
          <w:tcPr>
            <w:tcW w:w="480" w:type="dxa"/>
            <w:vAlign w:val="bottom"/>
            <w:tcBorders>
              <w:top w:val="single" w:sz="8" w:color="0000EE"/>
            </w:tcBorders>
          </w:tcPr>
          <w:p>
            <w:pPr>
              <w:spacing w:after="0"/>
              <w:rPr>
                <w:sz w:val="17"/>
                <w:szCs w:val="17"/>
                <w:color w:val="auto"/>
              </w:rPr>
            </w:pPr>
          </w:p>
        </w:tc>
        <w:tc>
          <w:tcPr>
            <w:tcW w:w="2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2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9960" w:type="dxa"/>
            <w:vAlign w:val="bottom"/>
            <w:gridSpan w:val="19"/>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920" w:type="dxa"/>
            <w:vAlign w:val="bottom"/>
            <w:gridSpan w:val="22"/>
          </w:tcPr>
          <w:p>
            <w:pPr>
              <w:spacing w:after="0" w:line="196" w:lineRule="exact"/>
              <w:rPr>
                <w:rFonts w:ascii="Arial" w:cs="Arial" w:eastAsia="Arial" w:hAnsi="Arial"/>
                <w:sz w:val="18"/>
                <w:szCs w:val="18"/>
                <w:color w:val="0000EE"/>
              </w:rPr>
            </w:pPr>
            <w:hyperlink w:anchor="page52">
              <w:r>
                <w:rPr>
                  <w:rFonts w:ascii="Arial" w:cs="Arial" w:eastAsia="Arial" w:hAnsi="Arial"/>
                  <w:sz w:val="18"/>
                  <w:szCs w:val="18"/>
                  <w:color w:val="0000EE"/>
                </w:rPr>
                <w:t>Exhibit Index</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6000" w:type="dxa"/>
            <w:vAlign w:val="bottom"/>
            <w:gridSpan w:val="12"/>
          </w:tcPr>
          <w:p>
            <w:pPr>
              <w:jc w:val="right"/>
              <w:ind w:right="1200"/>
              <w:spacing w:after="0"/>
              <w:rPr>
                <w:sz w:val="20"/>
                <w:szCs w:val="20"/>
                <w:color w:val="auto"/>
              </w:rPr>
            </w:pPr>
            <w:r>
              <w:rPr>
                <w:rFonts w:ascii="Arial" w:cs="Arial" w:eastAsia="Arial" w:hAnsi="Arial"/>
                <w:sz w:val="18"/>
                <w:szCs w:val="18"/>
                <w:color w:val="auto"/>
              </w:rPr>
              <w:t>1</w:t>
            </w: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9" w:right="45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20" w:type="dxa"/>
            <w:vAlign w:val="bottom"/>
          </w:tcPr>
          <w:p>
            <w:pPr>
              <w:spacing w:after="0"/>
              <w:rPr>
                <w:sz w:val="14"/>
                <w:szCs w:val="14"/>
                <w:color w:val="auto"/>
              </w:rPr>
            </w:pPr>
          </w:p>
        </w:tc>
        <w:tc>
          <w:tcPr>
            <w:tcW w:w="960" w:type="dxa"/>
            <w:vAlign w:val="bottom"/>
            <w:gridSpan w:val="3"/>
          </w:tcPr>
          <w:p>
            <w:pPr>
              <w:ind w:left="40"/>
              <w:spacing w:after="0"/>
              <w:rPr>
                <w:sz w:val="20"/>
                <w:szCs w:val="20"/>
                <w:color w:val="auto"/>
              </w:rPr>
            </w:pPr>
            <w:r>
              <w:rPr>
                <w:rFonts w:ascii="Arial" w:cs="Arial" w:eastAsia="Arial" w:hAnsi="Arial"/>
                <w:sz w:val="14"/>
                <w:szCs w:val="14"/>
                <w:b w:val="1"/>
                <w:bCs w:val="1"/>
                <w:color w:val="auto"/>
              </w:rPr>
              <w:t>November 2,</w:t>
            </w:r>
          </w:p>
        </w:tc>
        <w:tc>
          <w:tcPr>
            <w:tcW w:w="140" w:type="dxa"/>
            <w:vAlign w:val="bottom"/>
          </w:tcPr>
          <w:p>
            <w:pPr>
              <w:spacing w:after="0"/>
              <w:rPr>
                <w:sz w:val="14"/>
                <w:szCs w:val="14"/>
                <w:color w:val="auto"/>
              </w:rPr>
            </w:pPr>
          </w:p>
        </w:tc>
        <w:tc>
          <w:tcPr>
            <w:tcW w:w="900" w:type="dxa"/>
            <w:vAlign w:val="bottom"/>
            <w:gridSpan w:val="3"/>
          </w:tcPr>
          <w:p>
            <w:pPr>
              <w:ind w:left="6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61"/>
        </w:trPr>
        <w:tc>
          <w:tcPr>
            <w:tcW w:w="9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2013</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420" w:type="dxa"/>
            <w:vAlign w:val="bottom"/>
            <w:shd w:val="clear" w:color="auto" w:fill="CCEEFF"/>
          </w:tcPr>
          <w:p>
            <w:pPr>
              <w:ind w:left="4280"/>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796,330</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751,953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1,007,738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1,167,037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466,729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330,238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380,412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250,420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57,888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77,282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8,562</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8,416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2,717,659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2,585,346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358,150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372,971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16,158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w w:val="84"/>
              </w:rPr>
              <w:t>2,032,538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2,032,138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61,072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89,655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162,379</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164,885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5,347,956</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5,261,764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20" w:type="dxa"/>
            <w:vAlign w:val="bottom"/>
            <w:vMerge w:val="restart"/>
          </w:tcPr>
          <w:p>
            <w:pPr>
              <w:ind w:left="2700"/>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942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400,403</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286,552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139,039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143,991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131,160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117,195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86,370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942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00" w:type="dxa"/>
            <w:vAlign w:val="bottom"/>
          </w:tcPr>
          <w:p>
            <w:pPr>
              <w:spacing w:after="0"/>
              <w:rPr>
                <w:sz w:val="19"/>
                <w:szCs w:val="19"/>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756,972</w:t>
            </w: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607,888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83,290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112,871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42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44,475</w:t>
            </w: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56,410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884,737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777,169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Common shares, $0.002 par value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980</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2,796,764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2,945,643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tcPr>
          <w:p>
            <w:pPr>
              <w:spacing w:after="0"/>
              <w:rPr>
                <w:sz w:val="18"/>
                <w:szCs w:val="18"/>
                <w:color w:val="auto"/>
              </w:rPr>
            </w:pP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57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1,665,418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1,536,787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42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4,463,219</w:t>
            </w: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4,484,595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942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84"/>
              </w:rPr>
              <w:t>5,347,956</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5,261,764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20" w:type="dxa"/>
            <w:vAlign w:val="bottom"/>
            <w:gridSpan w:val="4"/>
          </w:tcPr>
          <w:p>
            <w:pPr>
              <w:jc w:val="right"/>
              <w:ind w:right="173"/>
              <w:spacing w:after="0"/>
              <w:rPr>
                <w:sz w:val="20"/>
                <w:szCs w:val="20"/>
                <w:color w:val="auto"/>
              </w:rPr>
            </w:pPr>
            <w:r>
              <w:rPr>
                <w:rFonts w:ascii="Arial" w:cs="Arial" w:eastAsia="Arial" w:hAnsi="Arial"/>
                <w:sz w:val="14"/>
                <w:szCs w:val="14"/>
                <w:b w:val="1"/>
                <w:bCs w:val="1"/>
                <w:color w:val="auto"/>
                <w:w w:val="96"/>
              </w:rPr>
              <w:t>Three Months Ended</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20" w:type="dxa"/>
            <w:vAlign w:val="bottom"/>
            <w:gridSpan w:val="6"/>
          </w:tcPr>
          <w:p>
            <w:pPr>
              <w:ind w:left="2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2,</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300" w:type="dxa"/>
            <w:vAlign w:val="bottom"/>
          </w:tcPr>
          <w:p>
            <w:pPr>
              <w:spacing w:after="0"/>
              <w:rPr>
                <w:sz w:val="11"/>
                <w:szCs w:val="11"/>
                <w:color w:val="auto"/>
              </w:rPr>
            </w:pPr>
          </w:p>
        </w:tc>
        <w:tc>
          <w:tcPr>
            <w:tcW w:w="1000" w:type="dxa"/>
            <w:vAlign w:val="bottom"/>
            <w:tcBorders>
              <w:top w:val="single" w:sz="8" w:color="auto"/>
            </w:tcBorders>
            <w:gridSpan w:val="3"/>
          </w:tcPr>
          <w:p>
            <w:pPr>
              <w:jc w:val="right"/>
              <w:ind w:right="220"/>
              <w:spacing w:after="0" w:line="129" w:lineRule="exact"/>
              <w:rPr>
                <w:sz w:val="20"/>
                <w:szCs w:val="20"/>
                <w:color w:val="auto"/>
              </w:rPr>
            </w:pPr>
            <w:r>
              <w:rPr>
                <w:rFonts w:ascii="Arial" w:cs="Arial" w:eastAsia="Arial" w:hAnsi="Arial"/>
                <w:sz w:val="14"/>
                <w:szCs w:val="14"/>
                <w:b w:val="1"/>
                <w:bCs w:val="1"/>
                <w:color w:val="auto"/>
                <w:w w:val="90"/>
              </w:rPr>
              <w:t>November 2,</w:t>
            </w: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October 27,</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3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2013</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2012</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3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931,226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780,881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2,472,651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2,393,336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464,981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374,503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1,186,478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1,122,664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4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296,291</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263,615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867,985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783,760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37,496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38,398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116,033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119,498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4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26,589</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24,514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80,104</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75,937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10,645</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13,054</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31,969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40,432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34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836,002</w:t>
            </w:r>
          </w:p>
        </w:tc>
        <w:tc>
          <w:tcPr>
            <w:tcW w:w="3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714,084</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2,282,569</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2,142,291</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95,224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66,797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190,082</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251,045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3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1,536</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2,387</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12,949</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9,308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4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96,760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69,184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203,031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260,353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4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(6,396)</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368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(15,160)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3,920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3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4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2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103,156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68,816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218,191</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256,433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36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36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2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0.44</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4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340" w:type="dxa"/>
            <w:vAlign w:val="bottom"/>
            <w:vMerge w:val="continue"/>
          </w:tcPr>
          <w:p>
            <w:pPr>
              <w:spacing w:after="0"/>
              <w:rPr>
                <w:sz w:val="18"/>
                <w:szCs w:val="18"/>
                <w:color w:val="auto"/>
              </w:rPr>
            </w:pPr>
          </w:p>
        </w:tc>
        <w:tc>
          <w:tcPr>
            <w:tcW w:w="120" w:type="dxa"/>
            <w:vAlign w:val="bottom"/>
            <w:gridSpan w:val="2"/>
          </w:tcPr>
          <w:p>
            <w:pPr>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0.21</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0.43</w:t>
            </w:r>
          </w:p>
        </w:tc>
        <w:tc>
          <w:tcPr>
            <w:tcW w:w="20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3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4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2"/>
              </w:rPr>
              <w:t>491,979</w:t>
            </w:r>
          </w:p>
        </w:tc>
        <w:tc>
          <w:tcPr>
            <w:tcW w:w="32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553,049</w:t>
            </w:r>
          </w:p>
        </w:tc>
        <w:tc>
          <w:tcPr>
            <w:tcW w:w="30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496,151</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565,145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3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501,189</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559,348</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502,401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574,804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360" w:type="dxa"/>
            <w:vAlign w:val="bottom"/>
            <w:gridSpan w:val="2"/>
            <w:vMerge w:val="restart"/>
          </w:tcPr>
          <w:p>
            <w:pPr>
              <w:spacing w:after="0"/>
              <w:rPr>
                <w:sz w:val="20"/>
                <w:szCs w:val="20"/>
                <w:color w:val="auto"/>
              </w:rPr>
            </w:pPr>
            <w:r>
              <w:rPr>
                <w:rFonts w:ascii="Arial" w:cs="Arial" w:eastAsia="Arial" w:hAnsi="Arial"/>
                <w:sz w:val="18"/>
                <w:szCs w:val="18"/>
                <w:color w:val="auto"/>
              </w:rPr>
              <w:t>Cash dividend declared per share</w:t>
            </w: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360" w:type="dxa"/>
            <w:vAlign w:val="bottom"/>
            <w:gridSpan w:val="2"/>
            <w:vMerge w:val="continue"/>
          </w:tcPr>
          <w:p>
            <w:pPr>
              <w:spacing w:after="0"/>
              <w:rPr>
                <w:sz w:val="18"/>
                <w:szCs w:val="18"/>
                <w:color w:val="auto"/>
              </w:rPr>
            </w:pPr>
          </w:p>
        </w:tc>
        <w:tc>
          <w:tcPr>
            <w:tcW w:w="120" w:type="dxa"/>
            <w:vAlign w:val="bottom"/>
            <w:gridSpan w:val="2"/>
          </w:tcPr>
          <w:p>
            <w:pPr>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0.06</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0.18</w:t>
            </w:r>
          </w:p>
        </w:tc>
        <w:tc>
          <w:tcPr>
            <w:tcW w:w="20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3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6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rPr>
              <w:t>Three Months Ended</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20" w:type="dxa"/>
            <w:vAlign w:val="bottom"/>
            <w:gridSpan w:val="5"/>
          </w:tcPr>
          <w:p>
            <w:pPr>
              <w:jc w:val="right"/>
              <w:ind w:right="4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92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9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2,</w:t>
            </w:r>
          </w:p>
        </w:tc>
        <w:tc>
          <w:tcPr>
            <w:tcW w:w="1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2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9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2,</w:t>
            </w:r>
          </w:p>
        </w:tc>
        <w:tc>
          <w:tcPr>
            <w:tcW w:w="1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27,</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jc w:val="right"/>
              <w:ind w:right="157"/>
              <w:spacing w:after="0"/>
              <w:rPr>
                <w:sz w:val="20"/>
                <w:szCs w:val="20"/>
                <w:color w:val="auto"/>
              </w:rPr>
            </w:pPr>
            <w:r>
              <w:rPr>
                <w:rFonts w:ascii="Arial" w:cs="Arial" w:eastAsia="Arial" w:hAnsi="Arial"/>
                <w:sz w:val="14"/>
                <w:szCs w:val="14"/>
                <w:b w:val="1"/>
                <w:bCs w:val="1"/>
                <w:color w:val="auto"/>
              </w:rPr>
              <w:t>2013</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15"/>
              <w:spacing w:after="0"/>
              <w:rPr>
                <w:sz w:val="20"/>
                <w:szCs w:val="20"/>
                <w:color w:val="auto"/>
              </w:rPr>
            </w:pPr>
            <w:r>
              <w:rPr>
                <w:rFonts w:ascii="Arial" w:cs="Arial" w:eastAsia="Arial" w:hAnsi="Arial"/>
                <w:sz w:val="14"/>
                <w:szCs w:val="14"/>
                <w:b w:val="1"/>
                <w:bCs w:val="1"/>
                <w:color w:val="auto"/>
              </w:rPr>
              <w:t>2012</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jc w:val="right"/>
              <w:ind w:right="157"/>
              <w:spacing w:after="0"/>
              <w:rPr>
                <w:sz w:val="20"/>
                <w:szCs w:val="20"/>
                <w:color w:val="auto"/>
              </w:rPr>
            </w:pPr>
            <w:r>
              <w:rPr>
                <w:rFonts w:ascii="Arial" w:cs="Arial" w:eastAsia="Arial" w:hAnsi="Arial"/>
                <w:sz w:val="14"/>
                <w:szCs w:val="14"/>
                <w:b w:val="1"/>
                <w:bCs w:val="1"/>
                <w:color w:val="auto"/>
              </w:rPr>
              <w:t>2013</w:t>
            </w:r>
          </w:p>
        </w:tc>
        <w:tc>
          <w:tcPr>
            <w:tcW w:w="240" w:type="dxa"/>
            <w:vAlign w:val="bottom"/>
          </w:tcPr>
          <w:p>
            <w:pPr>
              <w:spacing w:after="0"/>
              <w:rPr>
                <w:sz w:val="14"/>
                <w:szCs w:val="14"/>
                <w:color w:val="auto"/>
              </w:rPr>
            </w:pPr>
          </w:p>
        </w:tc>
        <w:tc>
          <w:tcPr>
            <w:tcW w:w="860" w:type="dxa"/>
            <w:vAlign w:val="bottom"/>
            <w:gridSpan w:val="2"/>
          </w:tcPr>
          <w:p>
            <w:pPr>
              <w:jc w:val="right"/>
              <w:ind w:right="139"/>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1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103,156</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68,816</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218,191</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$256,433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20" w:type="dxa"/>
            <w:vAlign w:val="bottom"/>
          </w:tcPr>
          <w:p>
            <w:pPr>
              <w:spacing w:after="0"/>
              <w:rPr>
                <w:sz w:val="20"/>
                <w:szCs w:val="20"/>
                <w:color w:val="auto"/>
              </w:rPr>
            </w:pPr>
            <w:r>
              <w:rPr>
                <w:rFonts w:ascii="Arial" w:cs="Arial" w:eastAsia="Arial" w:hAnsi="Arial"/>
                <w:sz w:val="18"/>
                <w:szCs w:val="18"/>
                <w:color w:val="auto"/>
              </w:rPr>
              <w:t>Other comprehensive income, net of tax:</w:t>
            </w:r>
          </w:p>
        </w:tc>
        <w:tc>
          <w:tcPr>
            <w:tcW w:w="1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marketable securities</w:t>
            </w:r>
          </w:p>
        </w:tc>
        <w:tc>
          <w:tcPr>
            <w:tcW w:w="1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1,335</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(479)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(1,199)</w:t>
            </w: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20" w:type="dxa"/>
            <w:vAlign w:val="bottom"/>
          </w:tcPr>
          <w:p>
            <w:pPr>
              <w:ind w:left="420"/>
              <w:spacing w:after="0"/>
              <w:rPr>
                <w:sz w:val="20"/>
                <w:szCs w:val="20"/>
                <w:color w:val="auto"/>
              </w:rPr>
            </w:pPr>
            <w:r>
              <w:rPr>
                <w:rFonts w:ascii="Arial" w:cs="Arial" w:eastAsia="Arial" w:hAnsi="Arial"/>
                <w:sz w:val="18"/>
                <w:szCs w:val="18"/>
                <w:color w:val="auto"/>
              </w:rPr>
              <w:t>Net change in unrealized gain/loss on auction rate securities</w:t>
            </w:r>
          </w:p>
        </w:tc>
        <w:tc>
          <w:tcPr>
            <w:tcW w:w="1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(141)</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(311)</w:t>
            </w:r>
          </w:p>
        </w:tc>
        <w:tc>
          <w:tcPr>
            <w:tcW w:w="960" w:type="dxa"/>
            <w:vAlign w:val="bottom"/>
            <w:gridSpan w:val="3"/>
          </w:tcPr>
          <w:p>
            <w:pPr>
              <w:jc w:val="right"/>
              <w:ind w:right="40"/>
              <w:spacing w:after="0"/>
              <w:rPr>
                <w:sz w:val="20"/>
                <w:szCs w:val="20"/>
                <w:color w:val="auto"/>
              </w:rPr>
            </w:pPr>
            <w:r>
              <w:rPr>
                <w:rFonts w:ascii="Arial" w:cs="Arial" w:eastAsia="Arial" w:hAnsi="Arial"/>
                <w:sz w:val="18"/>
                <w:szCs w:val="18"/>
                <w:color w:val="auto"/>
              </w:rPr>
              <w:t>(112)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cash flow hedges</w:t>
            </w:r>
          </w:p>
        </w:tc>
        <w:tc>
          <w:tcPr>
            <w:tcW w:w="12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435</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2,476</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419</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920" w:type="dxa"/>
            <w:vAlign w:val="bottom"/>
          </w:tcPr>
          <w:p>
            <w:pPr>
              <w:ind w:left="860"/>
              <w:spacing w:after="0"/>
              <w:rPr>
                <w:sz w:val="20"/>
                <w:szCs w:val="20"/>
                <w:color w:val="auto"/>
              </w:rPr>
            </w:pPr>
            <w:r>
              <w:rPr>
                <w:rFonts w:ascii="Arial" w:cs="Arial" w:eastAsia="Arial" w:hAnsi="Arial"/>
                <w:sz w:val="18"/>
                <w:szCs w:val="18"/>
                <w:color w:val="auto"/>
              </w:rPr>
              <w:t>Other comprehensive income (loss), net</w:t>
            </w:r>
          </w:p>
        </w:tc>
        <w:tc>
          <w:tcPr>
            <w:tcW w:w="1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1,629</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1,997</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60" w:type="dxa"/>
            <w:vAlign w:val="bottom"/>
            <w:gridSpan w:val="2"/>
          </w:tcPr>
          <w:p>
            <w:pPr>
              <w:jc w:val="right"/>
              <w:ind w:right="180"/>
              <w:spacing w:after="0"/>
              <w:rPr>
                <w:sz w:val="20"/>
                <w:szCs w:val="20"/>
                <w:color w:val="auto"/>
              </w:rPr>
            </w:pPr>
            <w:r>
              <w:rPr>
                <w:rFonts w:ascii="Arial" w:cs="Arial" w:eastAsia="Arial" w:hAnsi="Arial"/>
                <w:sz w:val="18"/>
                <w:szCs w:val="18"/>
                <w:color w:val="auto"/>
              </w:rPr>
              <w:t>(1,091)</w:t>
            </w:r>
          </w:p>
        </w:tc>
        <w:tc>
          <w:tcPr>
            <w:tcW w:w="960" w:type="dxa"/>
            <w:vAlign w:val="bottom"/>
            <w:gridSpan w:val="3"/>
          </w:tcPr>
          <w:p>
            <w:pPr>
              <w:jc w:val="right"/>
              <w:ind w:right="100"/>
              <w:spacing w:after="0"/>
              <w:rPr>
                <w:sz w:val="20"/>
                <w:szCs w:val="20"/>
                <w:color w:val="auto"/>
              </w:rPr>
            </w:pPr>
            <w:r>
              <w:rPr>
                <w:rFonts w:ascii="Arial" w:cs="Arial" w:eastAsia="Arial" w:hAnsi="Arial"/>
                <w:sz w:val="18"/>
                <w:szCs w:val="18"/>
                <w:color w:val="auto"/>
              </w:rPr>
              <w:t>2,599</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92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2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w:t>
            </w:r>
          </w:p>
        </w:tc>
        <w:tc>
          <w:tcPr>
            <w:tcW w:w="1400" w:type="dxa"/>
            <w:vAlign w:val="bottom"/>
            <w:gridSpan w:val="2"/>
            <w:shd w:val="clear" w:color="auto" w:fill="CCEEFF"/>
          </w:tcPr>
          <w:p>
            <w:pPr>
              <w:ind w:left="128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104,785</w:t>
            </w:r>
          </w:p>
        </w:tc>
        <w:tc>
          <w:tcPr>
            <w:tcW w:w="24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7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4"/>
              </w:rPr>
              <w:t>70,813</w:t>
            </w:r>
          </w:p>
        </w:tc>
        <w:tc>
          <w:tcPr>
            <w:tcW w:w="30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99"/>
              </w:rPr>
              <w:t>$</w:t>
            </w:r>
          </w:p>
        </w:tc>
        <w:tc>
          <w:tcPr>
            <w:tcW w:w="8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2"/>
              </w:rPr>
              <w:t>217,100</w:t>
            </w: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259,032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2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4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9280" w:type="dxa"/>
            <w:vAlign w:val="bottom"/>
          </w:tcPr>
          <w:p>
            <w:pPr>
              <w:spacing w:after="0"/>
              <w:rPr>
                <w:sz w:val="11"/>
                <w:szCs w:val="11"/>
                <w:color w:val="auto"/>
              </w:rPr>
            </w:pPr>
          </w:p>
        </w:tc>
        <w:tc>
          <w:tcPr>
            <w:tcW w:w="11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2,</w:t>
            </w:r>
          </w:p>
        </w:tc>
        <w:tc>
          <w:tcPr>
            <w:tcW w:w="100" w:type="dxa"/>
            <w:vAlign w:val="bottom"/>
            <w:tcBorders>
              <w:top w:val="single" w:sz="8" w:color="auto"/>
            </w:tcBorders>
          </w:tcPr>
          <w:p>
            <w:pPr>
              <w:spacing w:after="0"/>
              <w:rPr>
                <w:sz w:val="11"/>
                <w:szCs w:val="11"/>
                <w:color w:val="auto"/>
              </w:rPr>
            </w:pPr>
          </w:p>
        </w:tc>
        <w:tc>
          <w:tcPr>
            <w:tcW w:w="780" w:type="dxa"/>
            <w:vAlign w:val="bottom"/>
            <w:tcBorders>
              <w:top w:val="single" w:sz="8" w:color="auto"/>
            </w:tcBorders>
          </w:tcPr>
          <w:p>
            <w:pPr>
              <w:jc w:val="right"/>
              <w:ind w:right="13"/>
              <w:spacing w:after="0" w:line="129" w:lineRule="exact"/>
              <w:rPr>
                <w:sz w:val="20"/>
                <w:szCs w:val="20"/>
                <w:color w:val="auto"/>
              </w:rPr>
            </w:pPr>
            <w:r>
              <w:rPr>
                <w:rFonts w:ascii="Arial" w:cs="Arial" w:eastAsia="Arial" w:hAnsi="Arial"/>
                <w:sz w:val="14"/>
                <w:szCs w:val="14"/>
                <w:b w:val="1"/>
                <w:bCs w:val="1"/>
                <w:color w:val="auto"/>
                <w:w w:val="85"/>
              </w:rPr>
              <w:t>October 27,</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2013</w:t>
            </w: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3"/>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218,191</w:t>
            </w:r>
          </w:p>
        </w:tc>
        <w:tc>
          <w:tcPr>
            <w:tcW w:w="4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256,433</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76,576</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64,801</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117,805</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90,794</w:t>
            </w: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31,969</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40,432</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Other expense, net</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5,994</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6,435</w:t>
            </w: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w w:val="88"/>
              </w:rPr>
              <w:t>(136,491)</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32,493</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(129,450)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29,634</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15,012</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15,993</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128,311</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(27,137)</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Accrued liabilities and other non-current liabilities</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(20,510)</w:t>
            </w: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10,286</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13,965</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4,828</w:t>
            </w:r>
          </w:p>
        </w:tc>
        <w:tc>
          <w:tcPr>
            <w:tcW w:w="0" w:type="dxa"/>
            <w:vAlign w:val="bottom"/>
          </w:tcPr>
          <w:p>
            <w:pPr>
              <w:spacing w:after="0"/>
              <w:rPr>
                <w:sz w:val="1"/>
                <w:szCs w:val="1"/>
                <w:color w:val="auto"/>
              </w:rPr>
            </w:pPr>
          </w:p>
        </w:tc>
      </w:tr>
      <w:tr>
        <w:trPr>
          <w:trHeight w:val="223"/>
        </w:trPr>
        <w:tc>
          <w:tcPr>
            <w:tcW w:w="928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10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26,220</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(501)</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347,550</w:t>
            </w:r>
          </w:p>
        </w:tc>
        <w:tc>
          <w:tcPr>
            <w:tcW w:w="4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524,442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available-for-sale securities</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(691,749)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9"/>
              </w:rPr>
              <w:t>(1,205,364)</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Sales and maturities of available-for-sale securities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845,506</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1,317,744</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Investments in privately-held companies</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(1,869)</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(5,750)</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Cash paid for acquisition, net</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(2,551)</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(13,993)</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(10,687)</w:t>
            </w:r>
          </w:p>
        </w:tc>
        <w:tc>
          <w:tcPr>
            <w:tcW w:w="0" w:type="dxa"/>
            <w:vAlign w:val="bottom"/>
          </w:tcPr>
          <w:p>
            <w:pPr>
              <w:spacing w:after="0"/>
              <w:rPr>
                <w:sz w:val="1"/>
                <w:szCs w:val="1"/>
                <w:color w:val="auto"/>
              </w:rPr>
            </w:pPr>
          </w:p>
        </w:tc>
      </w:tr>
      <w:tr>
        <w:trPr>
          <w:trHeight w:val="223"/>
        </w:trPr>
        <w:tc>
          <w:tcPr>
            <w:tcW w:w="9280" w:type="dxa"/>
            <w:vAlign w:val="bottom"/>
          </w:tcPr>
          <w:p>
            <w:pPr>
              <w:ind w:left="44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9"/>
                <w:szCs w:val="19"/>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(53,283)</w:t>
            </w: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(49,090)</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investing activities</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82,061</w:t>
            </w:r>
          </w:p>
        </w:tc>
        <w:tc>
          <w:tcPr>
            <w:tcW w:w="4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45,853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(376,285)</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(676,471)</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97,276</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66,244</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(10,406)</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(9,822)</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100" w:type="dxa"/>
            <w:vAlign w:val="bottom"/>
          </w:tcPr>
          <w:p>
            <w:pPr>
              <w:spacing w:after="0"/>
              <w:rPr>
                <w:sz w:val="18"/>
                <w:szCs w:val="18"/>
                <w:color w:val="auto"/>
              </w:rPr>
            </w:pPr>
          </w:p>
        </w:tc>
        <w:tc>
          <w:tcPr>
            <w:tcW w:w="1060" w:type="dxa"/>
            <w:vAlign w:val="bottom"/>
            <w:gridSpan w:val="2"/>
          </w:tcPr>
          <w:p>
            <w:pPr>
              <w:jc w:val="right"/>
              <w:ind w:right="360"/>
              <w:spacing w:after="0"/>
              <w:rPr>
                <w:sz w:val="20"/>
                <w:szCs w:val="20"/>
                <w:color w:val="auto"/>
              </w:rPr>
            </w:pPr>
            <w:r>
              <w:rPr>
                <w:rFonts w:ascii="Arial" w:cs="Arial" w:eastAsia="Arial" w:hAnsi="Arial"/>
                <w:sz w:val="18"/>
                <w:szCs w:val="18"/>
                <w:color w:val="auto"/>
              </w:rPr>
              <w:t>(89,560)</w:t>
            </w:r>
          </w:p>
        </w:tc>
        <w:tc>
          <w:tcPr>
            <w:tcW w:w="100" w:type="dxa"/>
            <w:vAlign w:val="bottom"/>
          </w:tcPr>
          <w:p>
            <w:pPr>
              <w:spacing w:after="0"/>
              <w:rPr>
                <w:sz w:val="18"/>
                <w:szCs w:val="18"/>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(67,013)</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on technology license obligations</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(6,301)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9280" w:type="dxa"/>
            <w:vAlign w:val="bottom"/>
          </w:tcPr>
          <w:p>
            <w:pPr>
              <w:ind w:left="44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w:t>
            </w: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88"/>
              </w:rPr>
              <w:t>(385,234)</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(687,013)</w:t>
            </w:r>
          </w:p>
        </w:tc>
        <w:tc>
          <w:tcPr>
            <w:tcW w:w="0" w:type="dxa"/>
            <w:vAlign w:val="bottom"/>
          </w:tcPr>
          <w:p>
            <w:pPr>
              <w:spacing w:after="0"/>
              <w:rPr>
                <w:sz w:val="1"/>
                <w:szCs w:val="1"/>
                <w:color w:val="auto"/>
              </w:rPr>
            </w:pPr>
          </w:p>
        </w:tc>
      </w:tr>
      <w:tr>
        <w:trPr>
          <w:trHeight w:val="20"/>
        </w:trPr>
        <w:tc>
          <w:tcPr>
            <w:tcW w:w="9280" w:type="dxa"/>
            <w:vAlign w:val="bottom"/>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28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44,377</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8"/>
                <w:szCs w:val="18"/>
                <w:color w:val="auto"/>
              </w:rPr>
              <w:t>(116,718)</w:t>
            </w:r>
          </w:p>
        </w:tc>
        <w:tc>
          <w:tcPr>
            <w:tcW w:w="0" w:type="dxa"/>
            <w:vAlign w:val="bottom"/>
          </w:tcPr>
          <w:p>
            <w:pPr>
              <w:spacing w:after="0"/>
              <w:rPr>
                <w:sz w:val="1"/>
                <w:szCs w:val="1"/>
                <w:color w:val="auto"/>
              </w:rPr>
            </w:pPr>
          </w:p>
        </w:tc>
      </w:tr>
      <w:tr>
        <w:trPr>
          <w:trHeight w:val="218"/>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751,953</w:t>
            </w:r>
          </w:p>
        </w:tc>
        <w:tc>
          <w:tcPr>
            <w:tcW w:w="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784,902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40" w:type="dxa"/>
            <w:vAlign w:val="bottom"/>
          </w:tcPr>
          <w:p>
            <w:pPr>
              <w:jc w:val="right"/>
              <w:spacing w:after="0"/>
              <w:rPr>
                <w:sz w:val="20"/>
                <w:szCs w:val="20"/>
                <w:color w:val="auto"/>
              </w:rPr>
            </w:pPr>
            <w:r>
              <w:rPr>
                <w:rFonts w:ascii="Arial" w:cs="Arial" w:eastAsia="Arial" w:hAnsi="Arial"/>
                <w:sz w:val="18"/>
                <w:szCs w:val="18"/>
                <w:color w:val="auto"/>
                <w:w w:val="95"/>
              </w:rPr>
              <w:t>796,330</w:t>
            </w:r>
          </w:p>
        </w:tc>
        <w:tc>
          <w:tcPr>
            <w:tcW w:w="42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100"/>
              <w:spacing w:after="0"/>
              <w:rPr>
                <w:sz w:val="20"/>
                <w:szCs w:val="20"/>
                <w:color w:val="auto"/>
              </w:rPr>
            </w:pPr>
            <w:r>
              <w:rPr>
                <w:rFonts w:ascii="Arial" w:cs="Arial" w:eastAsia="Arial" w:hAnsi="Arial"/>
                <w:sz w:val="18"/>
                <w:szCs w:val="18"/>
                <w:color w:val="auto"/>
              </w:rPr>
              <w:t>668,184</w:t>
            </w:r>
          </w:p>
        </w:tc>
        <w:tc>
          <w:tcPr>
            <w:tcW w:w="0" w:type="dxa"/>
            <w:vAlign w:val="bottom"/>
          </w:tcPr>
          <w:p>
            <w:pPr>
              <w:spacing w:after="0"/>
              <w:rPr>
                <w:sz w:val="1"/>
                <w:szCs w:val="1"/>
                <w:color w:val="auto"/>
              </w:rPr>
            </w:pPr>
          </w:p>
        </w:tc>
      </w:tr>
      <w:tr>
        <w:trPr>
          <w:trHeight w:val="20"/>
        </w:trPr>
        <w:tc>
          <w:tcPr>
            <w:tcW w:w="9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 also develops platforms that it defines as integrated hardware, along with software that incorporates digital computing technologies designed and configured to provide an optimized computing solution compared to individual components. The Company’s broad product portfolio includes devices for data storage, enterprise-class Ethernet data switching, Ethernet physical-layer transceivers, mobile handsets and other consumer electronics, Ethernet-based wireless networking, personal area networking, Ethernet-based PC connectivity, control plane communications controllers, video-image processing and power management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Reclassification</w:t>
      </w:r>
    </w:p>
    <w:p>
      <w:pPr>
        <w:spacing w:after="0" w:line="90"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Certain amounts in the unaudited condensed consolidated financial statements and notes to the unaudited condensed consolidated financial statements for prior years have been reclassified to conform to the fiscal 2014 presentation. Net operating results have not been affected by these reclassifications.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2014 has a 52-week period and fiscal 2013 had a 53-week period.</w:t>
      </w:r>
    </w:p>
    <w:p>
      <w:pPr>
        <w:spacing w:after="0" w:line="14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balance sheet as of November 2, 2013, the results of its operations for the three and nine months ended November 2, 2013 and October 27, 2012, its comprehensive income for the three and nine months ended November 2, 2013 and October 27, 2012, and its cash flows for the nine months ended November 2, 2013 and October 27, 2012. The February 2, 2013 condensed consolidated balance sheet data was derived from the audited consolidated financial statements included in the Company’s Annual Report on Form 10-K for the fiscal year ended February 2, 2013, but does not include all disclosures required for annual periods.</w:t>
      </w:r>
    </w:p>
    <w:p>
      <w:pPr>
        <w:spacing w:after="0" w:line="118"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February 2, 2013 as filed on March 29, 2013 with the Securities and Exchange Commission. The results of operations for the three and nine months ended November 2, 2013 are not necessarily indicative of the results that may be expected for any other interim period or for the full fiscal year.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60" w:firstLine="456"/>
        <w:spacing w:after="0" w:line="253" w:lineRule="auto"/>
        <w:rPr>
          <w:sz w:val="20"/>
          <w:szCs w:val="20"/>
          <w:color w:val="auto"/>
        </w:rPr>
      </w:pPr>
      <w:r>
        <w:rPr>
          <w:rFonts w:ascii="Arial" w:cs="Arial" w:eastAsia="Arial" w:hAnsi="Arial"/>
          <w:sz w:val="18"/>
          <w:szCs w:val="18"/>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2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Company adopted the new accounting standard regarding the testing of indefinite-lived intangible assets for impairment at the beginning of fiscal 2014. This amended guidance allows an entity first to assess qualitative factors to determine whether it is more likely than not that an indefinite-lived intangible asset is impaired as a basis for determining whether it is necessary to perform the quantitative impairment test in accordance with the guidance on the impairment of intangible assets other than goodwill. The adoption of this guidance had no impact on the Company’s financial statements.</w:t>
      </w:r>
    </w:p>
    <w:p>
      <w:pPr>
        <w:spacing w:after="0" w:line="11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Company adopted the new accounting standard regarding the reporting of amounts reclassified out of accumulated other comprehensive income. The amendments require an entity to provide information about the amounts reclassified out of accumulated other comprehensive income by component. In addition, an entity is required to present, either in the financial statements or in the notes, significant amounts reclassified out of accumulated other comprehensive income by the respective line items of net income. The Company elected to disclose the information in the Notes to Unaudited Condensed Consolidated Financial Statements beginning in fiscal 2014.</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ind w:left="240"/>
              <w:spacing w:after="0"/>
              <w:rPr>
                <w:sz w:val="20"/>
                <w:szCs w:val="20"/>
                <w:color w:val="auto"/>
              </w:rPr>
            </w:pPr>
            <w:r>
              <w:rPr>
                <w:rFonts w:ascii="Arial" w:cs="Arial" w:eastAsia="Arial" w:hAnsi="Arial"/>
                <w:sz w:val="14"/>
                <w:szCs w:val="14"/>
                <w:b w:val="1"/>
                <w:bCs w:val="1"/>
                <w:color w:val="auto"/>
              </w:rPr>
              <w:t>November 2, 2013</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588,021</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2,262</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(791)</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589,492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309,216</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129</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(82)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309,263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74,431</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74,444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20,307</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25</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(40)</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14,220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9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gridSpan w:val="2"/>
            <w:vMerge w:val="continue"/>
          </w:tcPr>
          <w:p>
            <w:pPr>
              <w:spacing w:after="0"/>
              <w:rPr>
                <w:sz w:val="19"/>
                <w:szCs w:val="19"/>
                <w:color w:val="auto"/>
              </w:rPr>
            </w:pPr>
          </w:p>
        </w:tc>
        <w:tc>
          <w:tcPr>
            <w:tcW w:w="19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1,006,195</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2,509</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(966)</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1,007,738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19,150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(2,992)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9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120" w:type="dxa"/>
            <w:vAlign w:val="bottom"/>
            <w:vMerge w:val="continue"/>
          </w:tcPr>
          <w:p>
            <w:pPr>
              <w:spacing w:after="0"/>
              <w:rPr>
                <w:sz w:val="19"/>
                <w:szCs w:val="19"/>
                <w:color w:val="auto"/>
              </w:rPr>
            </w:pPr>
          </w:p>
        </w:tc>
        <w:tc>
          <w:tcPr>
            <w:tcW w:w="19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19,150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ind w:left="240"/>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(2,992)</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16,158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19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1,025,345</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2,509</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(3,958)</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1,023,896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1940" w:type="dxa"/>
            <w:vAlign w:val="bottom"/>
            <w:vMerge w:val="restart"/>
          </w:tcPr>
          <w:p>
            <w:pPr>
              <w:jc w:val="right"/>
              <w:ind w:right="69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194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240" w:top="459" w:right="29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640"/>
              <w:spacing w:after="0"/>
              <w:rPr>
                <w:sz w:val="20"/>
                <w:szCs w:val="20"/>
                <w:color w:val="auto"/>
              </w:rPr>
            </w:pPr>
            <w:r>
              <w:rPr>
                <w:rFonts w:ascii="Arial" w:cs="Arial" w:eastAsia="Arial" w:hAnsi="Arial"/>
                <w:sz w:val="14"/>
                <w:szCs w:val="14"/>
                <w:b w:val="1"/>
                <w:bCs w:val="1"/>
                <w:color w:val="auto"/>
              </w:rPr>
              <w:t>February 2, 2013</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577,120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(382)</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579,624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318,226</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258</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(5)</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318,479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188,000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Asset backed securities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76,629</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50</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(64)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76,615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560" w:type="dxa"/>
            <w:vAlign w:val="bottom"/>
            <w:gridSpan w:val="2"/>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1,164,295</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3,194</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(452)</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1,167,037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19,450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(2,681)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540" w:type="dxa"/>
            <w:vAlign w:val="bottom"/>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19,450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(2,681)</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1,183,745</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3,194</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(3,133)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1,183,806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As of November 2, 2013, the Company’s investment portfolio included auction rate securities with an aggregate par value of $19.2 million. Beginning in February 2008, liquidity issues in the global credit markets resulted in a failure of auction rate securities, as the amount of securities submitted for sale in those auctions exceeded the amount of bids. Since this time, many of the issuers have refinanced their debt and paid down the auction rate securities, which have resulted in a smaller pool of outstanding securities. Although these securities have continued to pay interest and show an improvement in the underlying collateralization, there is currently limited trading volume.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 auction rate securities as of November 2, 2013 was $3.0 million less than the par value and was recorded in long-term investments. Based on the Company’s balance of approximately $1.8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2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contractual maturities of available-for-sale securities are presented in the following table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7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jc w:val="right"/>
              <w:ind w:right="680"/>
              <w:spacing w:after="0"/>
              <w:rPr>
                <w:sz w:val="20"/>
                <w:szCs w:val="20"/>
                <w:color w:val="auto"/>
              </w:rPr>
            </w:pPr>
            <w:r>
              <w:rPr>
                <w:rFonts w:ascii="Arial" w:cs="Arial" w:eastAsia="Arial" w:hAnsi="Arial"/>
                <w:sz w:val="14"/>
                <w:szCs w:val="14"/>
                <w:b w:val="1"/>
                <w:bCs w:val="1"/>
                <w:color w:val="auto"/>
              </w:rPr>
              <w:t>November 2, 2013</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ind w:left="420"/>
              <w:spacing w:after="0"/>
              <w:rPr>
                <w:sz w:val="20"/>
                <w:szCs w:val="20"/>
                <w:color w:val="auto"/>
              </w:rPr>
            </w:pPr>
            <w:r>
              <w:rPr>
                <w:rFonts w:ascii="Arial" w:cs="Arial" w:eastAsia="Arial" w:hAnsi="Arial"/>
                <w:sz w:val="14"/>
                <w:szCs w:val="14"/>
                <w:b w:val="1"/>
                <w:bCs w:val="1"/>
                <w:color w:val="auto"/>
              </w:rPr>
              <w:t>February 2, 2013</w:t>
            </w:r>
          </w:p>
        </w:tc>
        <w:tc>
          <w:tcPr>
            <w:tcW w:w="0" w:type="dxa"/>
            <w:vAlign w:val="bottom"/>
          </w:tcPr>
          <w:p>
            <w:pPr>
              <w:spacing w:after="0"/>
              <w:rPr>
                <w:sz w:val="1"/>
                <w:szCs w:val="1"/>
                <w:color w:val="auto"/>
              </w:rPr>
            </w:pPr>
          </w:p>
        </w:tc>
      </w:tr>
      <w:tr>
        <w:trPr>
          <w:trHeight w:val="129"/>
        </w:trPr>
        <w:tc>
          <w:tcPr>
            <w:tcW w:w="3740" w:type="dxa"/>
            <w:vAlign w:val="bottom"/>
          </w:tcPr>
          <w:p>
            <w:pPr>
              <w:spacing w:after="0"/>
              <w:rPr>
                <w:sz w:val="11"/>
                <w:szCs w:val="11"/>
                <w:color w:val="auto"/>
              </w:rPr>
            </w:pPr>
          </w:p>
        </w:tc>
        <w:tc>
          <w:tcPr>
            <w:tcW w:w="22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84"/>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7"/>
              </w:rPr>
              <w:t>Amortized</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98"/>
              </w:rPr>
              <w:t>Estimated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jc w:val="right"/>
              <w:ind w:right="660"/>
              <w:spacing w:after="0"/>
              <w:rPr>
                <w:sz w:val="20"/>
                <w:szCs w:val="20"/>
                <w:color w:val="auto"/>
              </w:rPr>
            </w:pPr>
            <w:r>
              <w:rPr>
                <w:rFonts w:ascii="Arial" w:cs="Arial" w:eastAsia="Arial" w:hAnsi="Arial"/>
                <w:sz w:val="14"/>
                <w:szCs w:val="14"/>
                <w:b w:val="1"/>
                <w:bCs w:val="1"/>
                <w:color w:val="auto"/>
              </w:rPr>
              <w:t>Cost</w:t>
            </w:r>
          </w:p>
        </w:tc>
        <w:tc>
          <w:tcPr>
            <w:tcW w:w="100" w:type="dxa"/>
            <w:vAlign w:val="bottom"/>
          </w:tcPr>
          <w:p>
            <w:pPr>
              <w:spacing w:after="0"/>
              <w:rPr>
                <w:sz w:val="14"/>
                <w:szCs w:val="1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Fair Value</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37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2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292,105</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292,286</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519,006</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519,537</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698,295</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699,657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627,769</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629,991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34,945</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31,953</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36,970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74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w w:val="84"/>
              </w:rPr>
              <w:t>1,025,345</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1,023,896</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1,183,745</w:t>
            </w:r>
          </w:p>
        </w:tc>
        <w:tc>
          <w:tcPr>
            <w:tcW w:w="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1,183,806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260" w:type="dxa"/>
            <w:vAlign w:val="bottom"/>
            <w:vMerge w:val="restart"/>
          </w:tcPr>
          <w:p>
            <w:pPr>
              <w:jc w:val="right"/>
              <w:ind w:right="61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740" w:type="dxa"/>
            <w:vAlign w:val="bottom"/>
          </w:tcPr>
          <w:p>
            <w:pPr>
              <w:spacing w:after="0"/>
              <w:rPr>
                <w:sz w:val="24"/>
                <w:szCs w:val="24"/>
                <w:color w:val="auto"/>
              </w:rPr>
            </w:pPr>
          </w:p>
        </w:tc>
        <w:tc>
          <w:tcPr>
            <w:tcW w:w="22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40"/>
          </w:cols>
          <w:pgMar w:left="240" w:top="459" w:right="31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560" w:firstLine="456"/>
        <w:spacing w:after="0" w:line="268" w:lineRule="auto"/>
        <w:rPr>
          <w:sz w:val="20"/>
          <w:szCs w:val="20"/>
          <w:color w:val="auto"/>
        </w:rPr>
      </w:pPr>
      <w:r>
        <w:rPr>
          <w:rFonts w:ascii="Arial" w:cs="Arial" w:eastAsia="Arial" w:hAnsi="Arial"/>
          <w:sz w:val="18"/>
          <w:szCs w:val="18"/>
          <w:color w:val="auto"/>
        </w:rPr>
        <w:t>For individual securities that are in an unrealized loss position, the fair value and gross unrealized loss for these securities aggregated by investment category and length of time in an unrealized position are presented in the following tables (in thousands):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87"/>
              </w:rPr>
              <w:t>November 2, 2013</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94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900" w:type="dxa"/>
            <w:vAlign w:val="bottom"/>
          </w:tcPr>
          <w:p>
            <w:pPr>
              <w:spacing w:after="0"/>
              <w:rPr>
                <w:sz w:val="11"/>
                <w:szCs w:val="11"/>
                <w:color w:val="auto"/>
              </w:rPr>
            </w:pPr>
          </w:p>
        </w:tc>
        <w:tc>
          <w:tcPr>
            <w:tcW w:w="70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2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70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40" w:type="dxa"/>
            <w:vAlign w:val="bottom"/>
          </w:tcPr>
          <w:p>
            <w:pPr>
              <w:spacing w:after="0"/>
              <w:rPr>
                <w:sz w:val="14"/>
                <w:szCs w:val="14"/>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$177,743</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(791)</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$177,743</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68,807</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(82)</w:t>
            </w:r>
          </w:p>
        </w:tc>
        <w:tc>
          <w:tcPr>
            <w:tcW w:w="8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68,807</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44,700</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(35)</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1,917</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(17)</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46,617</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12,968</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(40)</w:t>
            </w:r>
          </w:p>
        </w:tc>
        <w:tc>
          <w:tcPr>
            <w:tcW w:w="8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12,968</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275</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275</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16,158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(2,992)</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16,158</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(2,992)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304,493</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(949)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7"/>
              </w:rPr>
              <w:t>18,075</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4"/>
              </w:rPr>
              <w:t>(3,009)</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322,568</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(3,958)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5900" w:type="dxa"/>
            <w:vAlign w:val="bottom"/>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6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90"/>
              </w:rPr>
              <w:t>February 2, 2013</w:t>
            </w:r>
          </w:p>
        </w:tc>
        <w:tc>
          <w:tcPr>
            <w:tcW w:w="14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94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900" w:type="dxa"/>
            <w:vAlign w:val="bottom"/>
          </w:tcPr>
          <w:p>
            <w:pPr>
              <w:spacing w:after="0"/>
              <w:rPr>
                <w:sz w:val="11"/>
                <w:szCs w:val="11"/>
                <w:color w:val="auto"/>
              </w:rPr>
            </w:pPr>
          </w:p>
        </w:tc>
        <w:tc>
          <w:tcPr>
            <w:tcW w:w="70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2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70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4"/>
                <w:szCs w:val="14"/>
                <w:b w:val="1"/>
                <w:bCs w:val="1"/>
                <w:color w:val="auto"/>
              </w:rPr>
              <w:t>Loss</w:t>
            </w:r>
          </w:p>
        </w:tc>
        <w:tc>
          <w:tcPr>
            <w:tcW w:w="140" w:type="dxa"/>
            <w:vAlign w:val="bottom"/>
          </w:tcPr>
          <w:p>
            <w:pPr>
              <w:spacing w:after="0"/>
              <w:rPr>
                <w:sz w:val="14"/>
                <w:szCs w:val="14"/>
                <w:color w:val="auto"/>
              </w:rPr>
            </w:pPr>
          </w:p>
        </w:tc>
        <w:tc>
          <w:tcPr>
            <w:tcW w:w="9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$141,915</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(382)</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$141,915</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Asset backed securities</w:t>
            </w: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43,882</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(64)</w:t>
            </w:r>
          </w:p>
        </w:tc>
        <w:tc>
          <w:tcPr>
            <w:tcW w:w="8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43,882</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U.S. government and agency debt</w:t>
            </w:r>
          </w:p>
        </w:tc>
        <w:tc>
          <w:tcPr>
            <w:tcW w:w="7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14,677</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14,677</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700" w:type="dxa"/>
            <w:vAlign w:val="bottom"/>
            <w:gridSpan w:val="2"/>
          </w:tcPr>
          <w:p>
            <w:pPr>
              <w:jc w:val="right"/>
              <w:ind w:right="20"/>
              <w:spacing w:after="0"/>
              <w:rPr>
                <w:sz w:val="20"/>
                <w:szCs w:val="20"/>
                <w:color w:val="auto"/>
              </w:rPr>
            </w:pPr>
            <w:r>
              <w:rPr>
                <w:rFonts w:ascii="Arial" w:cs="Arial" w:eastAsia="Arial" w:hAnsi="Arial"/>
                <w:sz w:val="18"/>
                <w:szCs w:val="18"/>
                <w:color w:val="auto"/>
              </w:rPr>
              <w:t>4,319</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(1)</w:t>
            </w:r>
          </w:p>
        </w:tc>
        <w:tc>
          <w:tcPr>
            <w:tcW w:w="80" w:type="dxa"/>
            <w:vAlign w:val="bottom"/>
          </w:tcPr>
          <w:p>
            <w:pPr>
              <w:spacing w:after="0"/>
              <w:rPr>
                <w:sz w:val="18"/>
                <w:szCs w:val="18"/>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4,319</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16,769</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4"/>
              </w:rPr>
              <w:t>(2,681)</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16,769</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(2,681)</w:t>
            </w:r>
          </w:p>
        </w:tc>
        <w:tc>
          <w:tcPr>
            <w:tcW w:w="0" w:type="dxa"/>
            <w:vAlign w:val="bottom"/>
          </w:tcPr>
          <w:p>
            <w:pPr>
              <w:spacing w:after="0"/>
              <w:rPr>
                <w:sz w:val="1"/>
                <w:szCs w:val="1"/>
                <w:color w:val="auto"/>
              </w:rPr>
            </w:pPr>
          </w:p>
        </w:tc>
      </w:tr>
      <w:tr>
        <w:trPr>
          <w:trHeight w:val="20"/>
        </w:trPr>
        <w:tc>
          <w:tcPr>
            <w:tcW w:w="5920" w:type="dxa"/>
            <w:vAlign w:val="bottom"/>
            <w:gridSpan w:val="2"/>
            <w:vMerge w:val="restart"/>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920" w:type="dxa"/>
            <w:vAlign w:val="bottom"/>
            <w:gridSpan w:val="2"/>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204,793</w:t>
            </w:r>
          </w:p>
        </w:tc>
        <w:tc>
          <w:tcPr>
            <w:tcW w:w="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(452)</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w w:val="87"/>
              </w:rPr>
              <w:t>16,769</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(2,681)</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221,562</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(3,133)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20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900" w:type="dxa"/>
            <w:vAlign w:val="bottom"/>
          </w:tcPr>
          <w:p>
            <w:pPr>
              <w:spacing w:after="0"/>
              <w:rPr>
                <w:sz w:val="14"/>
                <w:szCs w:val="14"/>
                <w:color w:val="auto"/>
              </w:rPr>
            </w:pPr>
          </w:p>
        </w:tc>
        <w:tc>
          <w:tcPr>
            <w:tcW w:w="2600" w:type="dxa"/>
            <w:vAlign w:val="bottom"/>
          </w:tcPr>
          <w:p>
            <w:pPr>
              <w:spacing w:after="0"/>
              <w:rPr>
                <w:sz w:val="14"/>
                <w:szCs w:val="14"/>
                <w:color w:val="auto"/>
              </w:rPr>
            </w:pPr>
          </w:p>
        </w:tc>
        <w:tc>
          <w:tcPr>
            <w:tcW w:w="1060" w:type="dxa"/>
            <w:vAlign w:val="bottom"/>
            <w:gridSpan w:val="3"/>
          </w:tcPr>
          <w:p>
            <w:pPr>
              <w:jc w:val="center"/>
              <w:ind w:right="320"/>
              <w:spacing w:after="0"/>
              <w:rPr>
                <w:sz w:val="20"/>
                <w:szCs w:val="20"/>
                <w:color w:val="auto"/>
              </w:rPr>
            </w:pPr>
            <w:r>
              <w:rPr>
                <w:rFonts w:ascii="Arial" w:cs="Arial" w:eastAsia="Arial" w:hAnsi="Arial"/>
                <w:sz w:val="14"/>
                <w:szCs w:val="14"/>
                <w:b w:val="1"/>
                <w:bCs w:val="1"/>
                <w:color w:val="auto"/>
                <w:w w:val="88"/>
              </w:rPr>
              <w:t>November 2,</w:t>
            </w:r>
          </w:p>
        </w:tc>
        <w:tc>
          <w:tcPr>
            <w:tcW w:w="280" w:type="dxa"/>
            <w:vAlign w:val="bottom"/>
          </w:tcPr>
          <w:p>
            <w:pPr>
              <w:spacing w:after="0"/>
              <w:rPr>
                <w:sz w:val="14"/>
                <w:szCs w:val="14"/>
                <w:color w:val="auto"/>
              </w:rPr>
            </w:pPr>
          </w:p>
        </w:tc>
        <w:tc>
          <w:tcPr>
            <w:tcW w:w="8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0"/>
              </w:rPr>
              <w:t>February 2,</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3340" w:type="dxa"/>
            <w:vAlign w:val="bottom"/>
            <w:gridSpan w:val="3"/>
          </w:tcPr>
          <w:p>
            <w:pPr>
              <w:jc w:val="center"/>
              <w:ind w:left="2515"/>
              <w:spacing w:after="0"/>
              <w:rPr>
                <w:sz w:val="20"/>
                <w:szCs w:val="20"/>
                <w:color w:val="auto"/>
              </w:rPr>
            </w:pPr>
            <w:r>
              <w:rPr>
                <w:rFonts w:ascii="Arial" w:cs="Arial" w:eastAsia="Arial" w:hAnsi="Arial"/>
                <w:sz w:val="14"/>
                <w:szCs w:val="14"/>
                <w:b w:val="1"/>
                <w:bCs w:val="1"/>
                <w:color w:val="auto"/>
                <w:w w:val="83"/>
              </w:rPr>
              <w:t>2013</w:t>
            </w:r>
          </w:p>
        </w:tc>
        <w:tc>
          <w:tcPr>
            <w:tcW w:w="320" w:type="dxa"/>
            <w:vAlign w:val="bottom"/>
          </w:tcPr>
          <w:p>
            <w:pPr>
              <w:spacing w:after="0"/>
              <w:rPr>
                <w:sz w:val="14"/>
                <w:szCs w:val="14"/>
                <w:color w:val="auto"/>
              </w:rPr>
            </w:pPr>
          </w:p>
        </w:tc>
        <w:tc>
          <w:tcPr>
            <w:tcW w:w="1000" w:type="dxa"/>
            <w:vAlign w:val="bottom"/>
            <w:gridSpan w:val="2"/>
          </w:tcPr>
          <w:p>
            <w:pPr>
              <w:jc w:val="center"/>
              <w:ind w:left="195"/>
              <w:spacing w:after="0"/>
              <w:rPr>
                <w:sz w:val="20"/>
                <w:szCs w:val="20"/>
                <w:color w:val="auto"/>
              </w:rPr>
            </w:pPr>
            <w:r>
              <w:rPr>
                <w:rFonts w:ascii="Arial" w:cs="Arial" w:eastAsia="Arial" w:hAnsi="Arial"/>
                <w:sz w:val="14"/>
                <w:szCs w:val="14"/>
                <w:b w:val="1"/>
                <w:bCs w:val="1"/>
                <w:color w:val="auto"/>
                <w:w w:val="89"/>
              </w:rPr>
              <w:t>2013</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26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Work-in-process</w:t>
            </w:r>
          </w:p>
        </w:tc>
        <w:tc>
          <w:tcPr>
            <w:tcW w:w="3340" w:type="dxa"/>
            <w:vAlign w:val="bottom"/>
            <w:gridSpan w:val="3"/>
          </w:tcPr>
          <w:p>
            <w:pPr>
              <w:jc w:val="right"/>
              <w:spacing w:after="0"/>
              <w:rPr>
                <w:sz w:val="20"/>
                <w:szCs w:val="20"/>
                <w:color w:val="auto"/>
              </w:rPr>
            </w:pPr>
            <w:r>
              <w:rPr>
                <w:rFonts w:ascii="Arial" w:cs="Arial" w:eastAsia="Arial" w:hAnsi="Arial"/>
                <w:sz w:val="18"/>
                <w:szCs w:val="18"/>
                <w:color w:val="auto"/>
              </w:rPr>
              <w:t>$ 232,382</w:t>
            </w:r>
          </w:p>
        </w:tc>
        <w:tc>
          <w:tcPr>
            <w:tcW w:w="320" w:type="dxa"/>
            <w:vAlign w:val="bottom"/>
          </w:tcPr>
          <w:p>
            <w:pPr>
              <w:spacing w:after="0"/>
              <w:rPr>
                <w:sz w:val="18"/>
                <w:szCs w:val="18"/>
                <w:color w:val="auto"/>
              </w:rPr>
            </w:pP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$ 140,805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2620" w:type="dxa"/>
            <w:vAlign w:val="bottom"/>
            <w:gridSpan w:val="2"/>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148,030</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109,615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00" w:type="dxa"/>
            <w:vAlign w:val="bottom"/>
          </w:tcPr>
          <w:p>
            <w:pPr>
              <w:spacing w:after="0"/>
              <w:rPr>
                <w:sz w:val="20"/>
                <w:szCs w:val="20"/>
                <w:color w:val="auto"/>
              </w:rPr>
            </w:pPr>
            <w:r>
              <w:rPr>
                <w:rFonts w:ascii="Arial" w:cs="Arial" w:eastAsia="Arial" w:hAnsi="Arial"/>
                <w:sz w:val="18"/>
                <w:szCs w:val="18"/>
                <w:color w:val="auto"/>
              </w:rPr>
              <w:t>Inventories</w:t>
            </w:r>
          </w:p>
        </w:tc>
        <w:tc>
          <w:tcPr>
            <w:tcW w:w="3340" w:type="dxa"/>
            <w:vAlign w:val="bottom"/>
            <w:gridSpan w:val="3"/>
          </w:tcPr>
          <w:p>
            <w:pPr>
              <w:jc w:val="right"/>
              <w:spacing w:after="0"/>
              <w:rPr>
                <w:sz w:val="20"/>
                <w:szCs w:val="20"/>
                <w:color w:val="auto"/>
              </w:rPr>
            </w:pPr>
            <w:r>
              <w:rPr>
                <w:rFonts w:ascii="Arial" w:cs="Arial" w:eastAsia="Arial" w:hAnsi="Arial"/>
                <w:sz w:val="18"/>
                <w:szCs w:val="18"/>
                <w:color w:val="auto"/>
              </w:rPr>
              <w:t>$ 380,412</w:t>
            </w:r>
          </w:p>
        </w:tc>
        <w:tc>
          <w:tcPr>
            <w:tcW w:w="320" w:type="dxa"/>
            <w:vAlign w:val="bottom"/>
          </w:tcPr>
          <w:p>
            <w:pPr>
              <w:spacing w:after="0"/>
              <w:rPr>
                <w:sz w:val="19"/>
                <w:szCs w:val="19"/>
                <w:color w:val="auto"/>
              </w:rPr>
            </w:pP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$ 250,420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6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3900" w:type="dxa"/>
            <w:vAlign w:val="bottom"/>
          </w:tcPr>
          <w:p>
            <w:pPr>
              <w:spacing w:after="0"/>
              <w:rPr>
                <w:sz w:val="24"/>
                <w:szCs w:val="24"/>
                <w:color w:val="auto"/>
              </w:rPr>
            </w:pPr>
          </w:p>
        </w:tc>
        <w:tc>
          <w:tcPr>
            <w:tcW w:w="2600" w:type="dxa"/>
            <w:vAlign w:val="bottom"/>
          </w:tcPr>
          <w:p>
            <w:pPr>
              <w:spacing w:after="0"/>
              <w:rPr>
                <w:sz w:val="24"/>
                <w:szCs w:val="24"/>
                <w:color w:val="auto"/>
              </w:rPr>
            </w:pPr>
          </w:p>
        </w:tc>
        <w:tc>
          <w:tcPr>
            <w:tcW w:w="1060" w:type="dxa"/>
            <w:vAlign w:val="bottom"/>
            <w:gridSpan w:val="3"/>
          </w:tcPr>
          <w:p>
            <w:pPr>
              <w:jc w:val="center"/>
              <w:ind w:right="320"/>
              <w:spacing w:after="0"/>
              <w:rPr>
                <w:sz w:val="20"/>
                <w:szCs w:val="20"/>
                <w:color w:val="auto"/>
              </w:rPr>
            </w:pPr>
            <w:r>
              <w:rPr>
                <w:rFonts w:ascii="Arial" w:cs="Arial" w:eastAsia="Arial" w:hAnsi="Arial"/>
                <w:sz w:val="14"/>
                <w:szCs w:val="14"/>
                <w:b w:val="1"/>
                <w:bCs w:val="1"/>
                <w:color w:val="auto"/>
                <w:w w:val="88"/>
              </w:rPr>
              <w:t>November 2,</w:t>
            </w:r>
          </w:p>
        </w:tc>
        <w:tc>
          <w:tcPr>
            <w:tcW w:w="280" w:type="dxa"/>
            <w:vAlign w:val="bottom"/>
          </w:tcPr>
          <w:p>
            <w:pPr>
              <w:spacing w:after="0"/>
              <w:rPr>
                <w:sz w:val="24"/>
                <w:szCs w:val="24"/>
                <w:color w:val="auto"/>
              </w:rPr>
            </w:pPr>
          </w:p>
        </w:tc>
        <w:tc>
          <w:tcPr>
            <w:tcW w:w="8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0"/>
              </w:rPr>
              <w:t>February 2,</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3340" w:type="dxa"/>
            <w:vAlign w:val="bottom"/>
            <w:gridSpan w:val="3"/>
          </w:tcPr>
          <w:p>
            <w:pPr>
              <w:jc w:val="center"/>
              <w:ind w:left="2515"/>
              <w:spacing w:after="0"/>
              <w:rPr>
                <w:sz w:val="20"/>
                <w:szCs w:val="20"/>
                <w:color w:val="auto"/>
              </w:rPr>
            </w:pPr>
            <w:r>
              <w:rPr>
                <w:rFonts w:ascii="Arial" w:cs="Arial" w:eastAsia="Arial" w:hAnsi="Arial"/>
                <w:sz w:val="14"/>
                <w:szCs w:val="14"/>
                <w:b w:val="1"/>
                <w:bCs w:val="1"/>
                <w:color w:val="auto"/>
                <w:w w:val="83"/>
              </w:rPr>
              <w:t>2013</w:t>
            </w:r>
          </w:p>
        </w:tc>
        <w:tc>
          <w:tcPr>
            <w:tcW w:w="320" w:type="dxa"/>
            <w:vAlign w:val="bottom"/>
          </w:tcPr>
          <w:p>
            <w:pPr>
              <w:spacing w:after="0"/>
              <w:rPr>
                <w:sz w:val="14"/>
                <w:szCs w:val="14"/>
                <w:color w:val="auto"/>
              </w:rPr>
            </w:pPr>
          </w:p>
        </w:tc>
        <w:tc>
          <w:tcPr>
            <w:tcW w:w="1000" w:type="dxa"/>
            <w:vAlign w:val="bottom"/>
            <w:gridSpan w:val="2"/>
          </w:tcPr>
          <w:p>
            <w:pPr>
              <w:jc w:val="center"/>
              <w:ind w:left="195"/>
              <w:spacing w:after="0"/>
              <w:rPr>
                <w:sz w:val="20"/>
                <w:szCs w:val="20"/>
                <w:color w:val="auto"/>
              </w:rPr>
            </w:pPr>
            <w:r>
              <w:rPr>
                <w:rFonts w:ascii="Arial" w:cs="Arial" w:eastAsia="Arial" w:hAnsi="Arial"/>
                <w:sz w:val="14"/>
                <w:szCs w:val="14"/>
                <w:b w:val="1"/>
                <w:bCs w:val="1"/>
                <w:color w:val="auto"/>
                <w:w w:val="89"/>
              </w:rPr>
              <w:t>2013</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26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3340" w:type="dxa"/>
            <w:vAlign w:val="bottom"/>
            <w:gridSpan w:val="3"/>
          </w:tcPr>
          <w:p>
            <w:pPr>
              <w:jc w:val="right"/>
              <w:spacing w:after="0"/>
              <w:rPr>
                <w:sz w:val="20"/>
                <w:szCs w:val="20"/>
                <w:color w:val="auto"/>
              </w:rPr>
            </w:pPr>
            <w:r>
              <w:rPr>
                <w:rFonts w:ascii="Arial" w:cs="Arial" w:eastAsia="Arial" w:hAnsi="Arial"/>
                <w:sz w:val="18"/>
                <w:szCs w:val="18"/>
                <w:color w:val="auto"/>
              </w:rPr>
              <w:t>$ 557,477</w:t>
            </w:r>
          </w:p>
        </w:tc>
        <w:tc>
          <w:tcPr>
            <w:tcW w:w="320" w:type="dxa"/>
            <w:vAlign w:val="bottom"/>
          </w:tcPr>
          <w:p>
            <w:pPr>
              <w:spacing w:after="0"/>
              <w:rPr>
                <w:sz w:val="18"/>
                <w:szCs w:val="18"/>
                <w:color w:val="auto"/>
              </w:rPr>
            </w:pP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$ 532,420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3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3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3340" w:type="dxa"/>
            <w:vAlign w:val="bottom"/>
            <w:gridSpan w:val="3"/>
          </w:tcPr>
          <w:p>
            <w:pPr>
              <w:jc w:val="right"/>
              <w:spacing w:after="0"/>
              <w:rPr>
                <w:sz w:val="20"/>
                <w:szCs w:val="20"/>
                <w:color w:val="auto"/>
              </w:rPr>
            </w:pPr>
            <w:r>
              <w:rPr>
                <w:rFonts w:ascii="Arial" w:cs="Arial" w:eastAsia="Arial" w:hAnsi="Arial"/>
                <w:sz w:val="18"/>
                <w:szCs w:val="18"/>
                <w:color w:val="auto"/>
              </w:rPr>
              <w:t>95,233</w:t>
            </w:r>
          </w:p>
        </w:tc>
        <w:tc>
          <w:tcPr>
            <w:tcW w:w="320" w:type="dxa"/>
            <w:vAlign w:val="bottom"/>
          </w:tcPr>
          <w:p>
            <w:pPr>
              <w:spacing w:after="0"/>
              <w:rPr>
                <w:sz w:val="18"/>
                <w:szCs w:val="18"/>
                <w:color w:val="auto"/>
              </w:rPr>
            </w:pP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89,548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33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3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3340" w:type="dxa"/>
            <w:vAlign w:val="bottom"/>
            <w:gridSpan w:val="3"/>
          </w:tcPr>
          <w:p>
            <w:pPr>
              <w:jc w:val="right"/>
              <w:spacing w:after="0"/>
              <w:rPr>
                <w:sz w:val="20"/>
                <w:szCs w:val="20"/>
                <w:color w:val="auto"/>
              </w:rPr>
            </w:pPr>
            <w:r>
              <w:rPr>
                <w:rFonts w:ascii="Arial" w:cs="Arial" w:eastAsia="Arial" w:hAnsi="Arial"/>
                <w:sz w:val="18"/>
                <w:szCs w:val="18"/>
                <w:color w:val="auto"/>
              </w:rPr>
              <w:t>49,614</w:t>
            </w:r>
          </w:p>
        </w:tc>
        <w:tc>
          <w:tcPr>
            <w:tcW w:w="320" w:type="dxa"/>
            <w:vAlign w:val="bottom"/>
          </w:tcPr>
          <w:p>
            <w:pPr>
              <w:spacing w:after="0"/>
              <w:rPr>
                <w:sz w:val="18"/>
                <w:szCs w:val="18"/>
                <w:color w:val="auto"/>
              </w:rPr>
            </w:pP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49,516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33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49,040</w:t>
            </w:r>
          </w:p>
        </w:tc>
        <w:tc>
          <w:tcPr>
            <w:tcW w:w="3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46,205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Furniture and fixtures</w:t>
            </w:r>
          </w:p>
        </w:tc>
        <w:tc>
          <w:tcPr>
            <w:tcW w:w="3340" w:type="dxa"/>
            <w:vAlign w:val="bottom"/>
            <w:gridSpan w:val="3"/>
          </w:tcPr>
          <w:p>
            <w:pPr>
              <w:jc w:val="right"/>
              <w:spacing w:after="0"/>
              <w:rPr>
                <w:sz w:val="20"/>
                <w:szCs w:val="20"/>
                <w:color w:val="auto"/>
              </w:rPr>
            </w:pPr>
            <w:r>
              <w:rPr>
                <w:rFonts w:ascii="Arial" w:cs="Arial" w:eastAsia="Arial" w:hAnsi="Arial"/>
                <w:sz w:val="18"/>
                <w:szCs w:val="18"/>
                <w:color w:val="auto"/>
              </w:rPr>
              <w:t>27,639</w:t>
            </w:r>
          </w:p>
        </w:tc>
        <w:tc>
          <w:tcPr>
            <w:tcW w:w="320" w:type="dxa"/>
            <w:vAlign w:val="bottom"/>
          </w:tcPr>
          <w:p>
            <w:pPr>
              <w:spacing w:after="0"/>
              <w:rPr>
                <w:sz w:val="18"/>
                <w:szCs w:val="18"/>
                <w:color w:val="auto"/>
              </w:rPr>
            </w:pP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25,301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2620" w:type="dxa"/>
            <w:vAlign w:val="bottom"/>
            <w:gridSpan w:val="2"/>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1,634</w:t>
            </w:r>
          </w:p>
        </w:tc>
        <w:tc>
          <w:tcPr>
            <w:tcW w:w="3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00" w:type="dxa"/>
            <w:vAlign w:val="bottom"/>
          </w:tcPr>
          <w:p>
            <w:pPr>
              <w:spacing w:after="0"/>
              <w:rPr>
                <w:sz w:val="19"/>
                <w:szCs w:val="19"/>
                <w:color w:val="auto"/>
              </w:rPr>
            </w:pPr>
          </w:p>
        </w:tc>
        <w:tc>
          <w:tcPr>
            <w:tcW w:w="3340" w:type="dxa"/>
            <w:vAlign w:val="bottom"/>
            <w:gridSpan w:val="3"/>
          </w:tcPr>
          <w:p>
            <w:pPr>
              <w:jc w:val="right"/>
              <w:spacing w:after="0"/>
              <w:rPr>
                <w:sz w:val="20"/>
                <w:szCs w:val="20"/>
                <w:color w:val="auto"/>
              </w:rPr>
            </w:pPr>
            <w:r>
              <w:rPr>
                <w:rFonts w:ascii="Arial" w:cs="Arial" w:eastAsia="Arial" w:hAnsi="Arial"/>
                <w:sz w:val="18"/>
                <w:szCs w:val="18"/>
                <w:color w:val="auto"/>
              </w:rPr>
              <w:t>978,330</w:t>
            </w:r>
          </w:p>
        </w:tc>
        <w:tc>
          <w:tcPr>
            <w:tcW w:w="320" w:type="dxa"/>
            <w:vAlign w:val="bottom"/>
          </w:tcPr>
          <w:p>
            <w:pPr>
              <w:spacing w:after="0"/>
              <w:rPr>
                <w:sz w:val="19"/>
                <w:szCs w:val="19"/>
                <w:color w:val="auto"/>
              </w:rPr>
            </w:pP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946,016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2620" w:type="dxa"/>
            <w:vAlign w:val="bottom"/>
            <w:gridSpan w:val="2"/>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8"/>
              </w:rPr>
              <w:t>(620,180)</w:t>
            </w:r>
          </w:p>
        </w:tc>
        <w:tc>
          <w:tcPr>
            <w:tcW w:w="11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(573,045)</w:t>
            </w:r>
          </w:p>
        </w:tc>
        <w:tc>
          <w:tcPr>
            <w:tcW w:w="0" w:type="dxa"/>
            <w:vAlign w:val="bottom"/>
          </w:tcPr>
          <w:p>
            <w:pPr>
              <w:spacing w:after="0"/>
              <w:rPr>
                <w:sz w:val="1"/>
                <w:szCs w:val="1"/>
                <w:color w:val="auto"/>
              </w:rPr>
            </w:pPr>
          </w:p>
        </w:tc>
      </w:tr>
      <w:tr>
        <w:trPr>
          <w:trHeight w:val="20"/>
        </w:trPr>
        <w:tc>
          <w:tcPr>
            <w:tcW w:w="3900" w:type="dxa"/>
            <w:vAlign w:val="bottom"/>
            <w:vMerge w:val="restart"/>
          </w:tcPr>
          <w:p>
            <w:pPr>
              <w:spacing w:after="0"/>
              <w:rPr>
                <w:sz w:val="20"/>
                <w:szCs w:val="20"/>
                <w:color w:val="auto"/>
              </w:rPr>
            </w:pPr>
            <w:r>
              <w:rPr>
                <w:rFonts w:ascii="Arial" w:cs="Arial" w:eastAsia="Arial" w:hAnsi="Arial"/>
                <w:sz w:val="18"/>
                <w:szCs w:val="18"/>
                <w:color w:val="auto"/>
              </w:rPr>
              <w:t>Property and equipment, net</w:t>
            </w:r>
          </w:p>
        </w:tc>
        <w:tc>
          <w:tcPr>
            <w:tcW w:w="2620" w:type="dxa"/>
            <w:vAlign w:val="bottom"/>
            <w:gridSpan w:val="2"/>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900" w:type="dxa"/>
            <w:vAlign w:val="bottom"/>
            <w:vMerge w:val="continue"/>
          </w:tcPr>
          <w:p>
            <w:pPr>
              <w:spacing w:after="0"/>
              <w:rPr>
                <w:sz w:val="19"/>
                <w:szCs w:val="19"/>
                <w:color w:val="auto"/>
              </w:rPr>
            </w:pPr>
          </w:p>
        </w:tc>
        <w:tc>
          <w:tcPr>
            <w:tcW w:w="3340" w:type="dxa"/>
            <w:vAlign w:val="bottom"/>
            <w:gridSpan w:val="3"/>
          </w:tcPr>
          <w:p>
            <w:pPr>
              <w:jc w:val="right"/>
              <w:spacing w:after="0"/>
              <w:rPr>
                <w:sz w:val="20"/>
                <w:szCs w:val="20"/>
                <w:color w:val="auto"/>
              </w:rPr>
            </w:pPr>
            <w:r>
              <w:rPr>
                <w:rFonts w:ascii="Arial" w:cs="Arial" w:eastAsia="Arial" w:hAnsi="Arial"/>
                <w:sz w:val="18"/>
                <w:szCs w:val="18"/>
                <w:color w:val="auto"/>
              </w:rPr>
              <w:t>$ 358,150</w:t>
            </w:r>
          </w:p>
        </w:tc>
        <w:tc>
          <w:tcPr>
            <w:tcW w:w="320" w:type="dxa"/>
            <w:vAlign w:val="bottom"/>
          </w:tcPr>
          <w:p>
            <w:pPr>
              <w:spacing w:after="0"/>
              <w:rPr>
                <w:sz w:val="19"/>
                <w:szCs w:val="19"/>
                <w:color w:val="auto"/>
              </w:rPr>
            </w:pP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$ 372,971</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600" w:type="dxa"/>
            <w:vAlign w:val="bottom"/>
            <w:vMerge w:val="restart"/>
          </w:tcPr>
          <w:p>
            <w:pPr>
              <w:jc w:val="right"/>
              <w:ind w:right="2035"/>
              <w:spacing w:after="0"/>
              <w:rPr>
                <w:sz w:val="20"/>
                <w:szCs w:val="20"/>
                <w:color w:val="auto"/>
              </w:rPr>
            </w:pPr>
            <w:r>
              <w:rPr>
                <w:rFonts w:ascii="Arial" w:cs="Arial" w:eastAsia="Arial" w:hAnsi="Arial"/>
                <w:sz w:val="18"/>
                <w:szCs w:val="18"/>
                <w:color w:val="auto"/>
              </w:rPr>
              <w:t>9</w:t>
            </w:r>
          </w:p>
        </w:tc>
        <w:tc>
          <w:tcPr>
            <w:tcW w:w="2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900" w:type="dxa"/>
            <w:vAlign w:val="bottom"/>
          </w:tcPr>
          <w:p>
            <w:pPr>
              <w:spacing w:after="0"/>
              <w:rPr>
                <w:sz w:val="24"/>
                <w:szCs w:val="24"/>
                <w:color w:val="auto"/>
              </w:rPr>
            </w:pPr>
          </w:p>
        </w:tc>
        <w:tc>
          <w:tcPr>
            <w:tcW w:w="2600" w:type="dxa"/>
            <w:vAlign w:val="bottom"/>
            <w:vMerge w:val="continue"/>
          </w:tcPr>
          <w:p>
            <w:pPr>
              <w:spacing w:after="0"/>
              <w:rPr>
                <w:sz w:val="24"/>
                <w:szCs w:val="24"/>
                <w:color w:val="auto"/>
              </w:rPr>
            </w:pPr>
          </w:p>
        </w:tc>
        <w:tc>
          <w:tcPr>
            <w:tcW w:w="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5680" w:type="dxa"/>
            <w:vAlign w:val="bottom"/>
          </w:tcPr>
          <w:p>
            <w:pPr>
              <w:spacing w:after="0"/>
              <w:rPr>
                <w:sz w:val="14"/>
                <w:szCs w:val="14"/>
                <w:color w:val="auto"/>
              </w:rPr>
            </w:pPr>
          </w:p>
        </w:tc>
        <w:tc>
          <w:tcPr>
            <w:tcW w:w="760" w:type="dxa"/>
            <w:vAlign w:val="bottom"/>
            <w:gridSpan w:val="3"/>
          </w:tcPr>
          <w:p>
            <w:pPr>
              <w:spacing w:after="0"/>
              <w:rPr>
                <w:sz w:val="20"/>
                <w:szCs w:val="20"/>
                <w:color w:val="auto"/>
              </w:rPr>
            </w:pPr>
            <w:r>
              <w:rPr>
                <w:rFonts w:ascii="Arial" w:cs="Arial" w:eastAsia="Arial" w:hAnsi="Arial"/>
                <w:sz w:val="14"/>
                <w:szCs w:val="14"/>
                <w:b w:val="1"/>
                <w:bCs w:val="1"/>
                <w:color w:val="auto"/>
                <w:w w:val="88"/>
              </w:rPr>
              <w:t>November 2,</w:t>
            </w:r>
          </w:p>
        </w:tc>
        <w:tc>
          <w:tcPr>
            <w:tcW w:w="1320" w:type="dxa"/>
            <w:vAlign w:val="bottom"/>
            <w:gridSpan w:val="4"/>
          </w:tcPr>
          <w:p>
            <w:pPr>
              <w:ind w:left="520"/>
              <w:spacing w:after="0"/>
              <w:rPr>
                <w:sz w:val="20"/>
                <w:szCs w:val="20"/>
                <w:color w:val="auto"/>
              </w:rPr>
            </w:pPr>
            <w:r>
              <w:rPr>
                <w:rFonts w:ascii="Arial" w:cs="Arial" w:eastAsia="Arial" w:hAnsi="Arial"/>
                <w:sz w:val="14"/>
                <w:szCs w:val="14"/>
                <w:b w:val="1"/>
                <w:bCs w:val="1"/>
                <w:color w:val="auto"/>
              </w:rPr>
              <w:t>February 2,</w:t>
            </w:r>
          </w:p>
        </w:tc>
      </w:tr>
      <w:tr>
        <w:trPr>
          <w:trHeight w:val="161"/>
        </w:trPr>
        <w:tc>
          <w:tcPr>
            <w:tcW w:w="56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2013</w:t>
            </w:r>
          </w:p>
        </w:tc>
        <w:tc>
          <w:tcPr>
            <w:tcW w:w="5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56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568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75,325</w:t>
            </w:r>
          </w:p>
        </w:tc>
        <w:tc>
          <w:tcPr>
            <w:tcW w:w="620" w:type="dxa"/>
            <w:vAlign w:val="bottom"/>
            <w:gridSpan w:val="2"/>
          </w:tcPr>
          <w:p>
            <w:pPr>
              <w:ind w:left="52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81,523</w:t>
            </w:r>
          </w:p>
        </w:tc>
        <w:tc>
          <w:tcPr>
            <w:tcW w:w="100" w:type="dxa"/>
            <w:vAlign w:val="bottom"/>
          </w:tcPr>
          <w:p>
            <w:pPr>
              <w:spacing w:after="0"/>
              <w:rPr>
                <w:sz w:val="18"/>
                <w:szCs w:val="18"/>
                <w:color w:val="auto"/>
              </w:rPr>
            </w:pPr>
          </w:p>
        </w:tc>
      </w:tr>
      <w:tr>
        <w:trPr>
          <w:trHeight w:val="216"/>
        </w:trPr>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25,884</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26,291</w:t>
            </w:r>
          </w:p>
        </w:tc>
        <w:tc>
          <w:tcPr>
            <w:tcW w:w="100" w:type="dxa"/>
            <w:vAlign w:val="bottom"/>
            <w:shd w:val="clear" w:color="auto" w:fill="CCEEFF"/>
          </w:tcPr>
          <w:p>
            <w:pPr>
              <w:spacing w:after="0"/>
              <w:rPr>
                <w:sz w:val="18"/>
                <w:szCs w:val="18"/>
                <w:color w:val="auto"/>
              </w:rPr>
            </w:pPr>
          </w:p>
        </w:tc>
      </w:tr>
      <w:tr>
        <w:trPr>
          <w:trHeight w:val="216"/>
        </w:trPr>
        <w:tc>
          <w:tcPr>
            <w:tcW w:w="568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15,065</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14,486</w:t>
            </w:r>
          </w:p>
        </w:tc>
        <w:tc>
          <w:tcPr>
            <w:tcW w:w="100" w:type="dxa"/>
            <w:vAlign w:val="bottom"/>
          </w:tcPr>
          <w:p>
            <w:pPr>
              <w:spacing w:after="0"/>
              <w:rPr>
                <w:sz w:val="18"/>
                <w:szCs w:val="18"/>
                <w:color w:val="auto"/>
              </w:rPr>
            </w:pPr>
          </w:p>
        </w:tc>
      </w:tr>
      <w:tr>
        <w:trPr>
          <w:trHeight w:val="216"/>
        </w:trPr>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13,822</w:t>
            </w:r>
          </w:p>
        </w:tc>
        <w:tc>
          <w:tcPr>
            <w:tcW w:w="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14,056</w:t>
            </w:r>
          </w:p>
        </w:tc>
        <w:tc>
          <w:tcPr>
            <w:tcW w:w="100" w:type="dxa"/>
            <w:vAlign w:val="bottom"/>
            <w:shd w:val="clear" w:color="auto" w:fill="CCEEFF"/>
          </w:tcPr>
          <w:p>
            <w:pPr>
              <w:spacing w:after="0"/>
              <w:rPr>
                <w:sz w:val="18"/>
                <w:szCs w:val="18"/>
                <w:color w:val="auto"/>
              </w:rPr>
            </w:pPr>
          </w:p>
        </w:tc>
      </w:tr>
      <w:tr>
        <w:trPr>
          <w:trHeight w:val="216"/>
        </w:trPr>
        <w:tc>
          <w:tcPr>
            <w:tcW w:w="5680" w:type="dxa"/>
            <w:vAlign w:val="bottom"/>
          </w:tcPr>
          <w:p>
            <w:pPr>
              <w:spacing w:after="0"/>
              <w:rPr>
                <w:sz w:val="20"/>
                <w:szCs w:val="20"/>
                <w:color w:val="auto"/>
              </w:rPr>
            </w:pPr>
            <w:r>
              <w:rPr>
                <w:rFonts w:ascii="Arial" w:cs="Arial" w:eastAsia="Arial" w:hAnsi="Arial"/>
                <w:sz w:val="18"/>
                <w:szCs w:val="18"/>
                <w:color w:val="auto"/>
              </w:rPr>
              <w:t>Deposits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13,331</w:t>
            </w:r>
          </w:p>
        </w:tc>
        <w:tc>
          <w:tcPr>
            <w:tcW w:w="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10,451</w:t>
            </w:r>
          </w:p>
        </w:tc>
        <w:tc>
          <w:tcPr>
            <w:tcW w:w="100" w:type="dxa"/>
            <w:vAlign w:val="bottom"/>
          </w:tcPr>
          <w:p>
            <w:pPr>
              <w:spacing w:after="0"/>
              <w:rPr>
                <w:sz w:val="18"/>
                <w:szCs w:val="18"/>
                <w:color w:val="auto"/>
              </w:rPr>
            </w:pPr>
          </w:p>
        </w:tc>
      </w:tr>
      <w:tr>
        <w:trPr>
          <w:trHeight w:val="216"/>
        </w:trPr>
        <w:tc>
          <w:tcPr>
            <w:tcW w:w="56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18,952</w:t>
            </w:r>
          </w:p>
        </w:tc>
        <w:tc>
          <w:tcPr>
            <w:tcW w:w="5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18,078</w:t>
            </w:r>
          </w:p>
        </w:tc>
        <w:tc>
          <w:tcPr>
            <w:tcW w:w="100" w:type="dxa"/>
            <w:vAlign w:val="bottom"/>
            <w:shd w:val="clear" w:color="auto" w:fill="CCEEFF"/>
          </w:tcPr>
          <w:p>
            <w:pPr>
              <w:spacing w:after="0"/>
              <w:rPr>
                <w:sz w:val="18"/>
                <w:szCs w:val="18"/>
                <w:color w:val="auto"/>
              </w:rPr>
            </w:pPr>
          </w:p>
        </w:tc>
      </w:tr>
      <w:tr>
        <w:trPr>
          <w:trHeight w:val="222"/>
        </w:trPr>
        <w:tc>
          <w:tcPr>
            <w:tcW w:w="56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89"/>
              </w:rPr>
              <w:t>162,379</w:t>
            </w:r>
          </w:p>
        </w:tc>
        <w:tc>
          <w:tcPr>
            <w:tcW w:w="620" w:type="dxa"/>
            <w:vAlign w:val="bottom"/>
            <w:gridSpan w:val="2"/>
          </w:tcPr>
          <w:p>
            <w:pPr>
              <w:ind w:left="520"/>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164,885</w:t>
            </w:r>
          </w:p>
        </w:tc>
        <w:tc>
          <w:tcPr>
            <w:tcW w:w="100" w:type="dxa"/>
            <w:vAlign w:val="bottom"/>
          </w:tcPr>
          <w:p>
            <w:pPr>
              <w:spacing w:after="0"/>
              <w:rPr>
                <w:sz w:val="19"/>
                <w:szCs w:val="19"/>
                <w:color w:val="auto"/>
              </w:rPr>
            </w:pPr>
          </w:p>
        </w:tc>
      </w:tr>
      <w:tr>
        <w:trPr>
          <w:trHeight w:val="20"/>
        </w:trPr>
        <w:tc>
          <w:tcPr>
            <w:tcW w:w="56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370" w:lineRule="auto"/>
        <w:rPr>
          <w:sz w:val="20"/>
          <w:szCs w:val="20"/>
          <w:color w:val="auto"/>
        </w:rPr>
      </w:pPr>
      <w:r>
        <w:rPr>
          <w:rFonts w:ascii="Arial" w:cs="Arial" w:eastAsia="Arial" w:hAnsi="Arial"/>
          <w:sz w:val="15"/>
          <w:szCs w:val="15"/>
          <w:color w:val="auto"/>
        </w:rPr>
        <w:t>Prepaid land use rights, which were previously included in property and equipment, have been reclassified to other non-current assets. The revision to the balance sheet at February 2, 2013 was not considered to be material and it had no impact on total assets, total liabilities, results of operations or cash flows.</w:t>
      </w:r>
    </w:p>
    <w:p>
      <w:pPr>
        <w:spacing w:after="0" w:line="86"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gridSpan w:val="4"/>
          </w:tcPr>
          <w:p>
            <w:pPr>
              <w:spacing w:after="0"/>
              <w:rPr>
                <w:sz w:val="20"/>
                <w:szCs w:val="20"/>
                <w:color w:val="auto"/>
              </w:rPr>
            </w:pPr>
            <w:r>
              <w:rPr>
                <w:rFonts w:ascii="Arial" w:cs="Arial" w:eastAsia="Arial" w:hAnsi="Arial"/>
                <w:sz w:val="14"/>
                <w:szCs w:val="14"/>
                <w:b w:val="1"/>
                <w:bCs w:val="1"/>
                <w:color w:val="auto"/>
                <w:w w:val="88"/>
              </w:rPr>
              <w:t>November 2,</w:t>
            </w:r>
          </w:p>
        </w:tc>
        <w:tc>
          <w:tcPr>
            <w:tcW w:w="1320" w:type="dxa"/>
            <w:vAlign w:val="bottom"/>
            <w:gridSpan w:val="4"/>
          </w:tcPr>
          <w:p>
            <w:pPr>
              <w:ind w:left="520"/>
              <w:spacing w:after="0"/>
              <w:rPr>
                <w:sz w:val="20"/>
                <w:szCs w:val="20"/>
                <w:color w:val="auto"/>
              </w:rPr>
            </w:pPr>
            <w:r>
              <w:rPr>
                <w:rFonts w:ascii="Arial" w:cs="Arial" w:eastAsia="Arial" w:hAnsi="Arial"/>
                <w:sz w:val="14"/>
                <w:szCs w:val="14"/>
                <w:b w:val="1"/>
                <w:bCs w:val="1"/>
                <w:color w:val="auto"/>
              </w:rPr>
              <w:t>February 2,</w:t>
            </w:r>
          </w:p>
        </w:tc>
      </w:tr>
      <w:tr>
        <w:trPr>
          <w:trHeight w:val="161"/>
        </w:trPr>
        <w:tc>
          <w:tcPr>
            <w:tcW w:w="20" w:type="dxa"/>
            <w:vAlign w:val="bottom"/>
          </w:tcPr>
          <w:p>
            <w:pPr>
              <w:spacing w:after="0"/>
              <w:rPr>
                <w:sz w:val="14"/>
                <w:szCs w:val="14"/>
                <w:color w:val="auto"/>
              </w:rPr>
            </w:pPr>
          </w:p>
        </w:tc>
        <w:tc>
          <w:tcPr>
            <w:tcW w:w="4320" w:type="dxa"/>
            <w:vAlign w:val="bottom"/>
            <w:tcBorders>
              <w:bottom w:val="single" w:sz="8" w:color="CCEEFF"/>
            </w:tcBorders>
          </w:tcPr>
          <w:p>
            <w:pPr>
              <w:spacing w:after="0"/>
              <w:rPr>
                <w:sz w:val="14"/>
                <w:szCs w:val="14"/>
                <w:color w:val="auto"/>
              </w:rPr>
            </w:pPr>
          </w:p>
        </w:tc>
        <w:tc>
          <w:tcPr>
            <w:tcW w:w="12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2013</w:t>
            </w: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3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Accrued rebates</w:t>
            </w:r>
          </w:p>
        </w:tc>
        <w:tc>
          <w:tcPr>
            <w:tcW w:w="1460" w:type="dxa"/>
            <w:vAlign w:val="bottom"/>
            <w:gridSpan w:val="4"/>
          </w:tcPr>
          <w:p>
            <w:pPr>
              <w:ind w:left="1340"/>
              <w:spacing w:after="0"/>
              <w:rPr>
                <w:sz w:val="20"/>
                <w:szCs w:val="20"/>
                <w:color w:val="auto"/>
              </w:rPr>
            </w:pPr>
            <w:r>
              <w:rPr>
                <w:rFonts w:ascii="Arial" w:cs="Arial" w:eastAsia="Arial" w:hAnsi="Arial"/>
                <w:sz w:val="18"/>
                <w:szCs w:val="18"/>
                <w:color w:val="auto"/>
                <w:w w:val="99"/>
              </w:rPr>
              <w:t>$</w:t>
            </w: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57,984</w:t>
            </w:r>
          </w:p>
        </w:tc>
        <w:tc>
          <w:tcPr>
            <w:tcW w:w="68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51,712</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13,701</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14,754</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Accrued royalties</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20"/>
              <w:spacing w:after="0"/>
              <w:rPr>
                <w:sz w:val="20"/>
                <w:szCs w:val="20"/>
                <w:color w:val="auto"/>
              </w:rPr>
            </w:pPr>
            <w:r>
              <w:rPr>
                <w:rFonts w:ascii="Arial" w:cs="Arial" w:eastAsia="Arial" w:hAnsi="Arial"/>
                <w:sz w:val="18"/>
                <w:szCs w:val="18"/>
                <w:color w:val="auto"/>
              </w:rPr>
              <w:t>25,518</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16,298</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Technology license obligations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11,510</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Accrued share repurchases</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22,152</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30,326</w:t>
            </w:r>
          </w:p>
        </w:tc>
        <w:tc>
          <w:tcPr>
            <w:tcW w:w="5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29,210</w:t>
            </w:r>
          </w:p>
        </w:tc>
        <w:tc>
          <w:tcPr>
            <w:tcW w:w="100" w:type="dxa"/>
            <w:vAlign w:val="bottom"/>
            <w:shd w:val="clear" w:color="auto" w:fill="CCEEFF"/>
          </w:tcPr>
          <w:p>
            <w:pPr>
              <w:spacing w:after="0"/>
              <w:rPr>
                <w:sz w:val="18"/>
                <w:szCs w:val="18"/>
                <w:color w:val="auto"/>
              </w:rPr>
            </w:pPr>
          </w:p>
        </w:tc>
      </w:tr>
      <w:tr>
        <w:trPr>
          <w:trHeight w:val="222"/>
        </w:trPr>
        <w:tc>
          <w:tcPr>
            <w:tcW w:w="4340" w:type="dxa"/>
            <w:vAlign w:val="bottom"/>
            <w:gridSpan w:val="2"/>
          </w:tcPr>
          <w:p>
            <w:pPr>
              <w:spacing w:after="0"/>
              <w:rPr>
                <w:sz w:val="20"/>
                <w:szCs w:val="20"/>
                <w:color w:val="auto"/>
              </w:rPr>
            </w:pPr>
            <w:r>
              <w:rPr>
                <w:rFonts w:ascii="Arial" w:cs="Arial" w:eastAsia="Arial" w:hAnsi="Arial"/>
                <w:sz w:val="18"/>
                <w:szCs w:val="18"/>
                <w:color w:val="auto"/>
              </w:rPr>
              <w:t>Accrued liabilities</w:t>
            </w:r>
          </w:p>
        </w:tc>
        <w:tc>
          <w:tcPr>
            <w:tcW w:w="1340" w:type="dxa"/>
            <w:vAlign w:val="bottom"/>
            <w:gridSpan w:val="2"/>
          </w:tcPr>
          <w:p>
            <w:pPr>
              <w:spacing w:after="0"/>
              <w:rPr>
                <w:sz w:val="19"/>
                <w:szCs w:val="19"/>
                <w:color w:val="auto"/>
              </w:rPr>
            </w:pPr>
          </w:p>
        </w:tc>
        <w:tc>
          <w:tcPr>
            <w:tcW w:w="760" w:type="dxa"/>
            <w:vAlign w:val="bottom"/>
            <w:gridSpan w:val="4"/>
          </w:tcPr>
          <w:p>
            <w:pPr>
              <w:jc w:val="right"/>
              <w:ind w:right="20"/>
              <w:spacing w:after="0"/>
              <w:rPr>
                <w:sz w:val="20"/>
                <w:szCs w:val="20"/>
                <w:color w:val="auto"/>
              </w:rPr>
            </w:pPr>
            <w:r>
              <w:rPr>
                <w:rFonts w:ascii="Arial" w:cs="Arial" w:eastAsia="Arial" w:hAnsi="Arial"/>
                <w:sz w:val="18"/>
                <w:szCs w:val="18"/>
                <w:color w:val="auto"/>
                <w:w w:val="89"/>
              </w:rPr>
              <w:t>$ 139,039</w:t>
            </w:r>
          </w:p>
        </w:tc>
        <w:tc>
          <w:tcPr>
            <w:tcW w:w="1220" w:type="dxa"/>
            <w:vAlign w:val="bottom"/>
            <w:gridSpan w:val="3"/>
          </w:tcPr>
          <w:p>
            <w:pPr>
              <w:jc w:val="right"/>
              <w:spacing w:after="0"/>
              <w:rPr>
                <w:sz w:val="20"/>
                <w:szCs w:val="20"/>
                <w:color w:val="auto"/>
              </w:rPr>
            </w:pPr>
            <w:r>
              <w:rPr>
                <w:rFonts w:ascii="Arial" w:cs="Arial" w:eastAsia="Arial" w:hAnsi="Arial"/>
                <w:sz w:val="18"/>
                <w:szCs w:val="18"/>
                <w:color w:val="auto"/>
              </w:rPr>
              <w:t>$ 143,991</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432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4320" w:type="dxa"/>
            <w:vAlign w:val="bottom"/>
          </w:tcPr>
          <w:p>
            <w:pPr>
              <w:spacing w:after="0"/>
              <w:rPr>
                <w:sz w:val="24"/>
                <w:szCs w:val="24"/>
                <w:color w:val="auto"/>
              </w:rPr>
            </w:pPr>
          </w:p>
        </w:tc>
        <w:tc>
          <w:tcPr>
            <w:tcW w:w="2100" w:type="dxa"/>
            <w:vAlign w:val="bottom"/>
            <w:gridSpan w:val="6"/>
          </w:tcPr>
          <w:p>
            <w:pPr>
              <w:ind w:left="1240"/>
              <w:spacing w:after="0"/>
              <w:rPr>
                <w:sz w:val="20"/>
                <w:szCs w:val="20"/>
                <w:color w:val="auto"/>
              </w:rPr>
            </w:pPr>
            <w:r>
              <w:rPr>
                <w:rFonts w:ascii="Arial" w:cs="Arial" w:eastAsia="Arial" w:hAnsi="Arial"/>
                <w:sz w:val="14"/>
                <w:szCs w:val="14"/>
                <w:b w:val="1"/>
                <w:bCs w:val="1"/>
                <w:color w:val="auto"/>
                <w:w w:val="99"/>
              </w:rPr>
              <w:t>November 2,</w:t>
            </w:r>
          </w:p>
        </w:tc>
        <w:tc>
          <w:tcPr>
            <w:tcW w:w="1320" w:type="dxa"/>
            <w:vAlign w:val="bottom"/>
            <w:gridSpan w:val="4"/>
          </w:tcPr>
          <w:p>
            <w:pPr>
              <w:ind w:left="520"/>
              <w:spacing w:after="0"/>
              <w:rPr>
                <w:sz w:val="20"/>
                <w:szCs w:val="20"/>
                <w:color w:val="auto"/>
              </w:rPr>
            </w:pPr>
            <w:r>
              <w:rPr>
                <w:rFonts w:ascii="Arial" w:cs="Arial" w:eastAsia="Arial" w:hAnsi="Arial"/>
                <w:sz w:val="14"/>
                <w:szCs w:val="14"/>
                <w:b w:val="1"/>
                <w:bCs w:val="1"/>
                <w:color w:val="auto"/>
              </w:rPr>
              <w:t>February 2,</w:t>
            </w:r>
          </w:p>
        </w:tc>
      </w:tr>
      <w:tr>
        <w:trPr>
          <w:trHeight w:val="161"/>
        </w:trPr>
        <w:tc>
          <w:tcPr>
            <w:tcW w:w="20" w:type="dxa"/>
            <w:vAlign w:val="bottom"/>
          </w:tcPr>
          <w:p>
            <w:pPr>
              <w:spacing w:after="0"/>
              <w:rPr>
                <w:sz w:val="14"/>
                <w:szCs w:val="14"/>
                <w:color w:val="auto"/>
              </w:rPr>
            </w:pPr>
          </w:p>
        </w:tc>
        <w:tc>
          <w:tcPr>
            <w:tcW w:w="4320" w:type="dxa"/>
            <w:vAlign w:val="bottom"/>
            <w:tcBorders>
              <w:bottom w:val="single" w:sz="8" w:color="CCEEFF"/>
            </w:tcBorders>
          </w:tcPr>
          <w:p>
            <w:pPr>
              <w:spacing w:after="0"/>
              <w:rPr>
                <w:sz w:val="14"/>
                <w:szCs w:val="14"/>
                <w:color w:val="auto"/>
              </w:rPr>
            </w:pPr>
          </w:p>
        </w:tc>
        <w:tc>
          <w:tcPr>
            <w:tcW w:w="12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56"/>
              <w:spacing w:after="0"/>
              <w:rPr>
                <w:sz w:val="20"/>
                <w:szCs w:val="20"/>
                <w:color w:val="auto"/>
              </w:rPr>
            </w:pPr>
            <w:r>
              <w:rPr>
                <w:rFonts w:ascii="Arial" w:cs="Arial" w:eastAsia="Arial" w:hAnsi="Arial"/>
                <w:sz w:val="14"/>
                <w:szCs w:val="14"/>
                <w:b w:val="1"/>
                <w:bCs w:val="1"/>
                <w:color w:val="auto"/>
                <w:w w:val="83"/>
              </w:rPr>
              <w:t>2013</w:t>
            </w:r>
          </w:p>
        </w:tc>
        <w:tc>
          <w:tcPr>
            <w:tcW w:w="12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3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1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1340" w:type="dxa"/>
            <w:vAlign w:val="bottom"/>
            <w:gridSpan w:val="2"/>
          </w:tcPr>
          <w:p>
            <w:pPr>
              <w:ind w:left="1240"/>
              <w:spacing w:after="0"/>
              <w:rPr>
                <w:sz w:val="20"/>
                <w:szCs w:val="20"/>
                <w:color w:val="auto"/>
              </w:rPr>
            </w:pPr>
            <w:r>
              <w:rPr>
                <w:rFonts w:ascii="Arial" w:cs="Arial" w:eastAsia="Arial" w:hAnsi="Arial"/>
                <w:sz w:val="18"/>
                <w:szCs w:val="18"/>
                <w:color w:val="auto"/>
                <w:w w:val="79"/>
              </w:rPr>
              <w: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27,808</w:t>
            </w:r>
          </w:p>
        </w:tc>
        <w:tc>
          <w:tcPr>
            <w:tcW w:w="120" w:type="dxa"/>
            <w:vAlign w:val="bottom"/>
          </w:tcPr>
          <w:p>
            <w:pPr>
              <w:spacing w:after="0"/>
              <w:rPr>
                <w:sz w:val="18"/>
                <w:szCs w:val="18"/>
                <w:color w:val="auto"/>
              </w:rPr>
            </w:pPr>
          </w:p>
        </w:tc>
        <w:tc>
          <w:tcPr>
            <w:tcW w:w="68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34,270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6,333</w:t>
            </w:r>
          </w:p>
        </w:tc>
        <w:tc>
          <w:tcPr>
            <w:tcW w:w="1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6,205</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Other</w:t>
            </w:r>
          </w:p>
        </w:tc>
        <w:tc>
          <w:tcPr>
            <w:tcW w:w="12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10,334</w:t>
            </w:r>
          </w:p>
        </w:tc>
        <w:tc>
          <w:tcPr>
            <w:tcW w:w="12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15,935</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1340" w:type="dxa"/>
            <w:vAlign w:val="bottom"/>
            <w:gridSpan w:val="2"/>
            <w:shd w:val="clear" w:color="auto" w:fill="CCEEFF"/>
          </w:tcPr>
          <w:p>
            <w:pPr>
              <w:ind w:left="1240"/>
              <w:spacing w:after="0"/>
              <w:rPr>
                <w:sz w:val="20"/>
                <w:szCs w:val="20"/>
                <w:color w:val="auto"/>
              </w:rPr>
            </w:pPr>
            <w:r>
              <w:rPr>
                <w:rFonts w:ascii="Arial" w:cs="Arial" w:eastAsia="Arial" w:hAnsi="Arial"/>
                <w:sz w:val="18"/>
                <w:szCs w:val="18"/>
                <w:color w:val="auto"/>
                <w:w w:val="79"/>
              </w:rPr>
              <w: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44,475</w:t>
            </w:r>
          </w:p>
        </w:tc>
        <w:tc>
          <w:tcPr>
            <w:tcW w:w="1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56,410</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32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Accumulated other comprehensive income: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changes in accumulated other comprehensive income by component are presented in the following tables (in thousands):</w:t>
      </w:r>
    </w:p>
    <w:p>
      <w:pPr>
        <w:spacing w:after="0" w:line="195"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300" w:type="dxa"/>
            <w:vAlign w:val="bottom"/>
            <w:gridSpan w:val="3"/>
          </w:tcPr>
          <w:p>
            <w:pPr>
              <w:jc w:val="center"/>
              <w:ind w:right="340"/>
              <w:spacing w:after="0"/>
              <w:rPr>
                <w:sz w:val="20"/>
                <w:szCs w:val="20"/>
                <w:color w:val="auto"/>
              </w:rPr>
            </w:pPr>
            <w:r>
              <w:rPr>
                <w:rFonts w:ascii="Arial" w:cs="Arial" w:eastAsia="Arial" w:hAnsi="Arial"/>
                <w:sz w:val="14"/>
                <w:szCs w:val="14"/>
                <w:b w:val="1"/>
                <w:bCs w:val="1"/>
                <w:color w:val="auto"/>
                <w:w w:val="90"/>
              </w:rPr>
              <w:t>Unrealized Gain</w:t>
            </w:r>
          </w:p>
        </w:tc>
        <w:tc>
          <w:tcPr>
            <w:tcW w:w="280" w:type="dxa"/>
            <w:vAlign w:val="bottom"/>
          </w:tcPr>
          <w:p>
            <w:pPr>
              <w:spacing w:after="0"/>
              <w:rPr>
                <w:sz w:val="14"/>
                <w:szCs w:val="14"/>
                <w:color w:val="auto"/>
              </w:rPr>
            </w:pPr>
          </w:p>
        </w:tc>
        <w:tc>
          <w:tcPr>
            <w:tcW w:w="1580" w:type="dxa"/>
            <w:vAlign w:val="bottom"/>
            <w:gridSpan w:val="3"/>
          </w:tcPr>
          <w:p>
            <w:pPr>
              <w:jc w:val="center"/>
              <w:ind w:right="620"/>
              <w:spacing w:after="0"/>
              <w:rPr>
                <w:sz w:val="20"/>
                <w:szCs w:val="20"/>
                <w:color w:val="auto"/>
              </w:rPr>
            </w:pPr>
            <w:r>
              <w:rPr>
                <w:rFonts w:ascii="Arial" w:cs="Arial" w:eastAsia="Arial" w:hAnsi="Arial"/>
                <w:sz w:val="14"/>
                <w:szCs w:val="14"/>
                <w:b w:val="1"/>
                <w:bCs w:val="1"/>
                <w:color w:val="auto"/>
                <w:w w:val="90"/>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2"/>
              </w:rPr>
              <w:t>(Loss) on</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8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2"/>
              </w:rPr>
              <w:t>(Loss) on</w:t>
            </w:r>
          </w:p>
        </w:tc>
        <w:tc>
          <w:tcPr>
            <w:tcW w:w="13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 Gain</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2"/>
              </w:rPr>
              <w:t>Marketable</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8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300" w:type="dxa"/>
            <w:vAlign w:val="bottom"/>
            <w:gridSpan w:val="3"/>
          </w:tcPr>
          <w:p>
            <w:pPr>
              <w:ind w:left="60"/>
              <w:spacing w:after="0" w:line="149" w:lineRule="exact"/>
              <w:rPr>
                <w:sz w:val="20"/>
                <w:szCs w:val="20"/>
                <w:color w:val="auto"/>
              </w:rPr>
            </w:pPr>
            <w:r>
              <w:rPr>
                <w:rFonts w:ascii="Arial" w:cs="Arial" w:eastAsia="Arial" w:hAnsi="Arial"/>
                <w:sz w:val="14"/>
                <w:szCs w:val="14"/>
                <w:b w:val="1"/>
                <w:bCs w:val="1"/>
                <w:color w:val="auto"/>
              </w:rPr>
              <w:t>(Loss) on Cash</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8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3"/>
              </w:rPr>
              <w:t>Securities</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80" w:type="dxa"/>
            <w:vAlign w:val="bottom"/>
            <w:gridSpan w:val="2"/>
          </w:tcPr>
          <w:p>
            <w:pPr>
              <w:jc w:val="center"/>
              <w:ind w:right="72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20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3"/>
              </w:rPr>
              <w:t>Flow Hedges</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2, 2013</w:t>
            </w:r>
          </w:p>
        </w:tc>
        <w:tc>
          <w:tcPr>
            <w:tcW w:w="4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2,742</w:t>
            </w:r>
          </w:p>
        </w:tc>
        <w:tc>
          <w:tcPr>
            <w:tcW w:w="3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(2,681)</w:t>
            </w:r>
          </w:p>
        </w:tc>
        <w:tc>
          <w:tcPr>
            <w:tcW w:w="6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1,087</w:t>
            </w:r>
          </w:p>
        </w:tc>
        <w:tc>
          <w:tcPr>
            <w:tcW w:w="3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7"/>
              </w:rPr>
              <w:t>1,148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Other comprehensive (loss) income before</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ind w:left="640"/>
              <w:spacing w:after="0"/>
              <w:rPr>
                <w:sz w:val="20"/>
                <w:szCs w:val="20"/>
                <w:color w:val="auto"/>
              </w:rPr>
            </w:pPr>
            <w:r>
              <w:rPr>
                <w:rFonts w:ascii="Arial" w:cs="Arial" w:eastAsia="Arial" w:hAnsi="Arial"/>
                <w:sz w:val="18"/>
                <w:szCs w:val="18"/>
                <w:color w:val="auto"/>
              </w:rPr>
              <w:t>reclassifications</w:t>
            </w: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80" w:type="dxa"/>
            <w:vAlign w:val="bottom"/>
            <w:gridSpan w:val="2"/>
          </w:tcPr>
          <w:p>
            <w:pPr>
              <w:jc w:val="right"/>
              <w:ind w:right="280"/>
              <w:spacing w:after="0"/>
              <w:rPr>
                <w:sz w:val="20"/>
                <w:szCs w:val="20"/>
                <w:color w:val="auto"/>
              </w:rPr>
            </w:pPr>
            <w:r>
              <w:rPr>
                <w:rFonts w:ascii="Arial" w:cs="Arial" w:eastAsia="Arial" w:hAnsi="Arial"/>
                <w:sz w:val="18"/>
                <w:szCs w:val="18"/>
                <w:color w:val="auto"/>
              </w:rPr>
              <w:t>(276)</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80" w:type="dxa"/>
            <w:vAlign w:val="bottom"/>
            <w:gridSpan w:val="2"/>
          </w:tcPr>
          <w:p>
            <w:pPr>
              <w:jc w:val="right"/>
              <w:ind w:right="560"/>
              <w:spacing w:after="0"/>
              <w:rPr>
                <w:sz w:val="20"/>
                <w:szCs w:val="20"/>
                <w:color w:val="auto"/>
              </w:rPr>
            </w:pPr>
            <w:r>
              <w:rPr>
                <w:rFonts w:ascii="Arial" w:cs="Arial" w:eastAsia="Arial" w:hAnsi="Arial"/>
                <w:sz w:val="18"/>
                <w:szCs w:val="18"/>
                <w:color w:val="auto"/>
              </w:rPr>
              <w:t>(311)</w:t>
            </w:r>
          </w:p>
        </w:tc>
        <w:tc>
          <w:tcPr>
            <w:tcW w:w="100" w:type="dxa"/>
            <w:vAlign w:val="bottom"/>
          </w:tcPr>
          <w:p>
            <w:pPr>
              <w:spacing w:after="0"/>
              <w:rPr>
                <w:sz w:val="19"/>
                <w:szCs w:val="19"/>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3,103</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gridSpan w:val="2"/>
          </w:tcPr>
          <w:p>
            <w:pPr>
              <w:jc w:val="right"/>
              <w:ind w:right="100"/>
              <w:spacing w:after="0"/>
              <w:rPr>
                <w:sz w:val="20"/>
                <w:szCs w:val="20"/>
                <w:color w:val="auto"/>
              </w:rPr>
            </w:pPr>
            <w:r>
              <w:rPr>
                <w:rFonts w:ascii="Arial" w:cs="Arial" w:eastAsia="Arial" w:hAnsi="Arial"/>
                <w:sz w:val="18"/>
                <w:szCs w:val="18"/>
                <w:color w:val="auto"/>
                <w:w w:val="97"/>
              </w:rPr>
              <w:t>2,516</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Amounts reclassified from accumulated other</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6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comprehensive income</w:t>
            </w: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1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(923)</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(2,684)</w:t>
            </w:r>
          </w:p>
        </w:tc>
        <w:tc>
          <w:tcPr>
            <w:tcW w:w="2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7"/>
              </w:rPr>
              <w:t>(3,607)</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4660" w:type="dxa"/>
            <w:vAlign w:val="bottom"/>
          </w:tcPr>
          <w:p>
            <w:pPr>
              <w:ind w:left="860"/>
              <w:spacing w:after="0"/>
              <w:rPr>
                <w:sz w:val="20"/>
                <w:szCs w:val="20"/>
                <w:color w:val="auto"/>
              </w:rPr>
            </w:pPr>
            <w:r>
              <w:rPr>
                <w:rFonts w:ascii="Arial" w:cs="Arial" w:eastAsia="Arial" w:hAnsi="Arial"/>
                <w:sz w:val="18"/>
                <w:szCs w:val="18"/>
                <w:color w:val="auto"/>
                <w:w w:val="99"/>
              </w:rPr>
              <w:t>Net current-period other comprehensive income</w:t>
            </w:r>
          </w:p>
        </w:tc>
        <w:tc>
          <w:tcPr>
            <w:tcW w:w="42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46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ind w:left="1060"/>
              <w:spacing w:after="0"/>
              <w:rPr>
                <w:sz w:val="20"/>
                <w:szCs w:val="20"/>
                <w:color w:val="auto"/>
              </w:rPr>
            </w:pPr>
            <w:r>
              <w:rPr>
                <w:rFonts w:ascii="Arial" w:cs="Arial" w:eastAsia="Arial" w:hAnsi="Arial"/>
                <w:sz w:val="18"/>
                <w:szCs w:val="18"/>
                <w:color w:val="auto"/>
              </w:rPr>
              <w:t>(loss)</w:t>
            </w: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80" w:type="dxa"/>
            <w:vAlign w:val="bottom"/>
            <w:gridSpan w:val="2"/>
          </w:tcPr>
          <w:p>
            <w:pPr>
              <w:jc w:val="right"/>
              <w:ind w:right="280"/>
              <w:spacing w:after="0"/>
              <w:rPr>
                <w:sz w:val="20"/>
                <w:szCs w:val="20"/>
                <w:color w:val="auto"/>
              </w:rPr>
            </w:pPr>
            <w:r>
              <w:rPr>
                <w:rFonts w:ascii="Arial" w:cs="Arial" w:eastAsia="Arial" w:hAnsi="Arial"/>
                <w:sz w:val="18"/>
                <w:szCs w:val="18"/>
                <w:color w:val="auto"/>
              </w:rPr>
              <w:t>(1,199)</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80" w:type="dxa"/>
            <w:vAlign w:val="bottom"/>
            <w:gridSpan w:val="2"/>
          </w:tcPr>
          <w:p>
            <w:pPr>
              <w:jc w:val="right"/>
              <w:ind w:right="560"/>
              <w:spacing w:after="0"/>
              <w:rPr>
                <w:sz w:val="20"/>
                <w:szCs w:val="20"/>
                <w:color w:val="auto"/>
              </w:rPr>
            </w:pPr>
            <w:r>
              <w:rPr>
                <w:rFonts w:ascii="Arial" w:cs="Arial" w:eastAsia="Arial" w:hAnsi="Arial"/>
                <w:sz w:val="18"/>
                <w:szCs w:val="18"/>
                <w:color w:val="auto"/>
              </w:rPr>
              <w:t>(311)</w:t>
            </w:r>
          </w:p>
        </w:tc>
        <w:tc>
          <w:tcPr>
            <w:tcW w:w="100" w:type="dxa"/>
            <w:vAlign w:val="bottom"/>
          </w:tcPr>
          <w:p>
            <w:pPr>
              <w:spacing w:after="0"/>
              <w:rPr>
                <w:sz w:val="19"/>
                <w:szCs w:val="19"/>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419</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gridSpan w:val="2"/>
          </w:tcPr>
          <w:p>
            <w:pPr>
              <w:jc w:val="right"/>
              <w:ind w:right="40"/>
              <w:spacing w:after="0"/>
              <w:rPr>
                <w:sz w:val="20"/>
                <w:szCs w:val="20"/>
                <w:color w:val="auto"/>
              </w:rPr>
            </w:pPr>
            <w:r>
              <w:rPr>
                <w:rFonts w:ascii="Arial" w:cs="Arial" w:eastAsia="Arial" w:hAnsi="Arial"/>
                <w:sz w:val="18"/>
                <w:szCs w:val="18"/>
                <w:color w:val="auto"/>
                <w:w w:val="87"/>
              </w:rPr>
              <w:t>(1,091)</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6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84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Balance at November 2, 2013</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1,543</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(2,992)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1,506</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960" w:type="dxa"/>
            <w:vAlign w:val="bottom"/>
            <w:tcBorders>
              <w:top w:val="single" w:sz="8" w:color="auto"/>
              <w:bottom w:val="single" w:sz="8" w:color="auto"/>
            </w:tcBorders>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1380" w:type="dxa"/>
            <w:vAlign w:val="bottom"/>
            <w:gridSpan w:val="3"/>
          </w:tcPr>
          <w:p>
            <w:pPr>
              <w:jc w:val="right"/>
              <w:ind w:right="640"/>
              <w:spacing w:after="0"/>
              <w:rPr>
                <w:sz w:val="20"/>
                <w:szCs w:val="20"/>
                <w:color w:val="auto"/>
              </w:rPr>
            </w:pPr>
            <w:r>
              <w:rPr>
                <w:rFonts w:ascii="Arial" w:cs="Arial" w:eastAsia="Arial" w:hAnsi="Arial"/>
                <w:sz w:val="18"/>
                <w:szCs w:val="18"/>
                <w:color w:val="auto"/>
              </w:rPr>
              <w:t>10</w:t>
            </w: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60"/>
          </w:cols>
          <w:pgMar w:left="240" w:top="459" w:right="39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600" w:type="dxa"/>
            <w:vAlign w:val="bottom"/>
            <w:gridSpan w:val="3"/>
          </w:tcPr>
          <w:p>
            <w:pPr>
              <w:jc w:val="center"/>
              <w:ind w:right="620"/>
              <w:spacing w:after="0"/>
              <w:rPr>
                <w:sz w:val="20"/>
                <w:szCs w:val="20"/>
                <w:color w:val="auto"/>
              </w:rPr>
            </w:pPr>
            <w:r>
              <w:rPr>
                <w:rFonts w:ascii="Arial" w:cs="Arial" w:eastAsia="Arial" w:hAnsi="Arial"/>
                <w:sz w:val="14"/>
                <w:szCs w:val="14"/>
                <w:b w:val="1"/>
                <w:bCs w:val="1"/>
                <w:color w:val="auto"/>
                <w:w w:val="88"/>
              </w:rPr>
              <w:t>Unrealized Gain</w:t>
            </w:r>
          </w:p>
        </w:tc>
        <w:tc>
          <w:tcPr>
            <w:tcW w:w="1600" w:type="dxa"/>
            <w:vAlign w:val="bottom"/>
            <w:gridSpan w:val="3"/>
          </w:tcPr>
          <w:p>
            <w:pPr>
              <w:jc w:val="center"/>
              <w:ind w:right="640"/>
              <w:spacing w:after="0"/>
              <w:rPr>
                <w:sz w:val="20"/>
                <w:szCs w:val="20"/>
                <w:color w:val="auto"/>
              </w:rPr>
            </w:pPr>
            <w:r>
              <w:rPr>
                <w:rFonts w:ascii="Arial" w:cs="Arial" w:eastAsia="Arial" w:hAnsi="Arial"/>
                <w:sz w:val="14"/>
                <w:szCs w:val="14"/>
                <w:b w:val="1"/>
                <w:bCs w:val="1"/>
                <w:color w:val="auto"/>
                <w:w w:val="90"/>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8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2"/>
              </w:rPr>
              <w:t>(Loss) on</w:t>
            </w:r>
          </w:p>
        </w:tc>
        <w:tc>
          <w:tcPr>
            <w:tcW w:w="100" w:type="dxa"/>
            <w:vAlign w:val="bottom"/>
          </w:tcPr>
          <w:p>
            <w:pPr>
              <w:spacing w:after="0"/>
              <w:rPr>
                <w:sz w:val="12"/>
                <w:szCs w:val="12"/>
                <w:color w:val="auto"/>
              </w:rPr>
            </w:pPr>
          </w:p>
        </w:tc>
        <w:tc>
          <w:tcPr>
            <w:tcW w:w="150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2"/>
              </w:rPr>
              <w:t>(Loss) on</w:t>
            </w:r>
          </w:p>
        </w:tc>
        <w:tc>
          <w:tcPr>
            <w:tcW w:w="15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 Gain</w:t>
            </w:r>
          </w:p>
        </w:tc>
        <w:tc>
          <w:tcPr>
            <w:tcW w:w="1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8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92"/>
              </w:rPr>
              <w:t>Marketable</w:t>
            </w:r>
          </w:p>
        </w:tc>
        <w:tc>
          <w:tcPr>
            <w:tcW w:w="100" w:type="dxa"/>
            <w:vAlign w:val="bottom"/>
          </w:tcPr>
          <w:p>
            <w:pPr>
              <w:spacing w:after="0"/>
              <w:rPr>
                <w:sz w:val="12"/>
                <w:szCs w:val="12"/>
                <w:color w:val="auto"/>
              </w:rPr>
            </w:pPr>
          </w:p>
        </w:tc>
        <w:tc>
          <w:tcPr>
            <w:tcW w:w="150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58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(Loss) on Cash</w:t>
            </w:r>
          </w:p>
        </w:tc>
        <w:tc>
          <w:tcPr>
            <w:tcW w:w="1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80" w:type="dxa"/>
            <w:vAlign w:val="bottom"/>
            <w:gridSpan w:val="2"/>
          </w:tcPr>
          <w:p>
            <w:pPr>
              <w:jc w:val="center"/>
              <w:ind w:right="76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50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480" w:type="dxa"/>
            <w:vAlign w:val="bottom"/>
            <w:gridSpan w:val="2"/>
          </w:tcPr>
          <w:p>
            <w:pPr>
              <w:jc w:val="right"/>
              <w:ind w:right="740"/>
              <w:spacing w:after="0"/>
              <w:rPr>
                <w:sz w:val="20"/>
                <w:szCs w:val="20"/>
                <w:color w:val="auto"/>
              </w:rPr>
            </w:pPr>
            <w:r>
              <w:rPr>
                <w:rFonts w:ascii="Arial" w:cs="Arial" w:eastAsia="Arial" w:hAnsi="Arial"/>
                <w:sz w:val="14"/>
                <w:szCs w:val="14"/>
                <w:b w:val="1"/>
                <w:bCs w:val="1"/>
                <w:color w:val="auto"/>
                <w:w w:val="83"/>
              </w:rPr>
              <w:t>Flow Hedges</w:t>
            </w:r>
          </w:p>
        </w:tc>
        <w:tc>
          <w:tcPr>
            <w:tcW w:w="100" w:type="dxa"/>
            <w:vAlign w:val="bottom"/>
          </w:tcPr>
          <w:p>
            <w:pPr>
              <w:spacing w:after="0"/>
              <w:rPr>
                <w:sz w:val="14"/>
                <w:szCs w:val="14"/>
                <w:color w:val="auto"/>
              </w:rPr>
            </w:pPr>
          </w:p>
        </w:tc>
        <w:tc>
          <w:tcPr>
            <w:tcW w:w="500" w:type="dxa"/>
            <w:vAlign w:val="bottom"/>
            <w:gridSpan w:val="2"/>
          </w:tcPr>
          <w:p>
            <w:pPr>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28, 2012</w:t>
            </w:r>
          </w:p>
        </w:tc>
        <w:tc>
          <w:tcPr>
            <w:tcW w:w="4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3,702</w:t>
            </w:r>
          </w:p>
        </w:tc>
        <w:tc>
          <w:tcPr>
            <w:tcW w:w="6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(1,285)</w:t>
            </w:r>
          </w:p>
        </w:tc>
        <w:tc>
          <w:tcPr>
            <w:tcW w:w="6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(1,641)</w:t>
            </w:r>
          </w:p>
        </w:tc>
        <w:tc>
          <w:tcPr>
            <w:tcW w:w="6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Other comprehensive income (loss) before</w:t>
            </w: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ind w:left="640"/>
              <w:spacing w:after="0"/>
              <w:rPr>
                <w:sz w:val="20"/>
                <w:szCs w:val="20"/>
                <w:color w:val="auto"/>
              </w:rPr>
            </w:pPr>
            <w:r>
              <w:rPr>
                <w:rFonts w:ascii="Arial" w:cs="Arial" w:eastAsia="Arial" w:hAnsi="Arial"/>
                <w:sz w:val="18"/>
                <w:szCs w:val="18"/>
                <w:color w:val="auto"/>
              </w:rPr>
              <w:t>reclassifications</w:t>
            </w:r>
          </w:p>
        </w:tc>
        <w:tc>
          <w:tcPr>
            <w:tcW w:w="4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80" w:type="dxa"/>
            <w:vAlign w:val="bottom"/>
            <w:gridSpan w:val="2"/>
          </w:tcPr>
          <w:p>
            <w:pPr>
              <w:jc w:val="right"/>
              <w:ind w:right="640"/>
              <w:spacing w:after="0"/>
              <w:rPr>
                <w:sz w:val="20"/>
                <w:szCs w:val="20"/>
                <w:color w:val="auto"/>
              </w:rPr>
            </w:pPr>
            <w:r>
              <w:rPr>
                <w:rFonts w:ascii="Arial" w:cs="Arial" w:eastAsia="Arial" w:hAnsi="Arial"/>
                <w:sz w:val="18"/>
                <w:szCs w:val="18"/>
                <w:color w:val="auto"/>
              </w:rPr>
              <w:t>2,097</w:t>
            </w:r>
          </w:p>
        </w:tc>
        <w:tc>
          <w:tcPr>
            <w:tcW w:w="100" w:type="dxa"/>
            <w:vAlign w:val="bottom"/>
          </w:tcPr>
          <w:p>
            <w:pPr>
              <w:spacing w:after="0"/>
              <w:rPr>
                <w:sz w:val="19"/>
                <w:szCs w:val="19"/>
                <w:color w:val="auto"/>
              </w:rPr>
            </w:pPr>
          </w:p>
        </w:tc>
        <w:tc>
          <w:tcPr>
            <w:tcW w:w="1500" w:type="dxa"/>
            <w:vAlign w:val="bottom"/>
            <w:gridSpan w:val="2"/>
          </w:tcPr>
          <w:p>
            <w:pPr>
              <w:jc w:val="right"/>
              <w:ind w:right="580"/>
              <w:spacing w:after="0"/>
              <w:rPr>
                <w:sz w:val="20"/>
                <w:szCs w:val="20"/>
                <w:color w:val="auto"/>
              </w:rPr>
            </w:pPr>
            <w:r>
              <w:rPr>
                <w:rFonts w:ascii="Arial" w:cs="Arial" w:eastAsia="Arial" w:hAnsi="Arial"/>
                <w:sz w:val="18"/>
                <w:szCs w:val="18"/>
                <w:color w:val="auto"/>
              </w:rPr>
              <w:t>(112)</w:t>
            </w:r>
          </w:p>
        </w:tc>
        <w:tc>
          <w:tcPr>
            <w:tcW w:w="100" w:type="dxa"/>
            <w:vAlign w:val="bottom"/>
          </w:tcPr>
          <w:p>
            <w:pPr>
              <w:spacing w:after="0"/>
              <w:rPr>
                <w:sz w:val="19"/>
                <w:szCs w:val="19"/>
                <w:color w:val="auto"/>
              </w:rPr>
            </w:pPr>
          </w:p>
        </w:tc>
        <w:tc>
          <w:tcPr>
            <w:tcW w:w="1480" w:type="dxa"/>
            <w:vAlign w:val="bottom"/>
            <w:gridSpan w:val="2"/>
          </w:tcPr>
          <w:p>
            <w:pPr>
              <w:jc w:val="right"/>
              <w:ind w:right="560"/>
              <w:spacing w:after="0"/>
              <w:rPr>
                <w:sz w:val="20"/>
                <w:szCs w:val="20"/>
                <w:color w:val="auto"/>
              </w:rPr>
            </w:pPr>
            <w:r>
              <w:rPr>
                <w:rFonts w:ascii="Arial" w:cs="Arial" w:eastAsia="Arial" w:hAnsi="Arial"/>
                <w:sz w:val="18"/>
                <w:szCs w:val="18"/>
                <w:color w:val="auto"/>
              </w:rPr>
              <w:t>(529)</w:t>
            </w:r>
          </w:p>
        </w:tc>
        <w:tc>
          <w:tcPr>
            <w:tcW w:w="10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1,456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Amounts reclassified from accumulated other</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660" w:type="dxa"/>
            <w:vAlign w:val="bottom"/>
            <w:shd w:val="clear" w:color="auto" w:fill="CCEEFF"/>
          </w:tcPr>
          <w:p>
            <w:pPr>
              <w:ind w:left="640"/>
              <w:spacing w:after="0"/>
              <w:rPr>
                <w:sz w:val="20"/>
                <w:szCs w:val="20"/>
                <w:color w:val="auto"/>
              </w:rPr>
            </w:pPr>
            <w:r>
              <w:rPr>
                <w:rFonts w:ascii="Arial" w:cs="Arial" w:eastAsia="Arial" w:hAnsi="Arial"/>
                <w:sz w:val="18"/>
                <w:szCs w:val="18"/>
                <w:color w:val="auto"/>
              </w:rPr>
              <w:t>comprehensive income</w:t>
            </w:r>
          </w:p>
        </w:tc>
        <w:tc>
          <w:tcPr>
            <w:tcW w:w="4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(1,703)</w:t>
            </w:r>
          </w:p>
        </w:tc>
        <w:tc>
          <w:tcPr>
            <w:tcW w:w="100" w:type="dxa"/>
            <w:vAlign w:val="bottom"/>
            <w:shd w:val="clear" w:color="auto" w:fill="CCEEFF"/>
          </w:tcPr>
          <w:p>
            <w:pPr>
              <w:spacing w:after="0"/>
              <w:rPr>
                <w:sz w:val="19"/>
                <w:szCs w:val="19"/>
                <w:color w:val="auto"/>
              </w:rPr>
            </w:pPr>
          </w:p>
        </w:tc>
        <w:tc>
          <w:tcPr>
            <w:tcW w:w="150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2,846</w:t>
            </w:r>
          </w:p>
        </w:tc>
        <w:tc>
          <w:tcPr>
            <w:tcW w:w="6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1,143</w:t>
            </w: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4660" w:type="dxa"/>
            <w:vAlign w:val="bottom"/>
          </w:tcPr>
          <w:p>
            <w:pPr>
              <w:ind w:left="860"/>
              <w:spacing w:after="0"/>
              <w:rPr>
                <w:sz w:val="20"/>
                <w:szCs w:val="20"/>
                <w:color w:val="auto"/>
              </w:rPr>
            </w:pPr>
            <w:r>
              <w:rPr>
                <w:rFonts w:ascii="Arial" w:cs="Arial" w:eastAsia="Arial" w:hAnsi="Arial"/>
                <w:sz w:val="18"/>
                <w:szCs w:val="18"/>
                <w:color w:val="auto"/>
                <w:w w:val="99"/>
              </w:rPr>
              <w:t>Net current-period other comprehensive income</w:t>
            </w:r>
          </w:p>
        </w:tc>
        <w:tc>
          <w:tcPr>
            <w:tcW w:w="440" w:type="dxa"/>
            <w:vAlign w:val="bottom"/>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840" w:type="dxa"/>
            <w:vAlign w:val="bottom"/>
            <w:tcBorders>
              <w:top w:val="single" w:sz="8" w:color="auto"/>
            </w:tcBorders>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6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40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660" w:type="dxa"/>
            <w:vAlign w:val="bottom"/>
          </w:tcPr>
          <w:p>
            <w:pPr>
              <w:ind w:left="1060"/>
              <w:spacing w:after="0"/>
              <w:rPr>
                <w:sz w:val="20"/>
                <w:szCs w:val="20"/>
                <w:color w:val="auto"/>
              </w:rPr>
            </w:pPr>
            <w:r>
              <w:rPr>
                <w:rFonts w:ascii="Arial" w:cs="Arial" w:eastAsia="Arial" w:hAnsi="Arial"/>
                <w:sz w:val="18"/>
                <w:szCs w:val="18"/>
                <w:color w:val="auto"/>
              </w:rPr>
              <w:t>(loss)</w:t>
            </w:r>
          </w:p>
        </w:tc>
        <w:tc>
          <w:tcPr>
            <w:tcW w:w="4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80" w:type="dxa"/>
            <w:vAlign w:val="bottom"/>
            <w:gridSpan w:val="2"/>
          </w:tcPr>
          <w:p>
            <w:pPr>
              <w:jc w:val="right"/>
              <w:ind w:right="640"/>
              <w:spacing w:after="0"/>
              <w:rPr>
                <w:sz w:val="20"/>
                <w:szCs w:val="20"/>
                <w:color w:val="auto"/>
              </w:rPr>
            </w:pPr>
            <w:r>
              <w:rPr>
                <w:rFonts w:ascii="Arial" w:cs="Arial" w:eastAsia="Arial" w:hAnsi="Arial"/>
                <w:sz w:val="18"/>
                <w:szCs w:val="18"/>
                <w:color w:val="auto"/>
              </w:rPr>
              <w:t>394</w:t>
            </w:r>
          </w:p>
        </w:tc>
        <w:tc>
          <w:tcPr>
            <w:tcW w:w="100" w:type="dxa"/>
            <w:vAlign w:val="bottom"/>
          </w:tcPr>
          <w:p>
            <w:pPr>
              <w:spacing w:after="0"/>
              <w:rPr>
                <w:sz w:val="19"/>
                <w:szCs w:val="19"/>
                <w:color w:val="auto"/>
              </w:rPr>
            </w:pPr>
          </w:p>
        </w:tc>
        <w:tc>
          <w:tcPr>
            <w:tcW w:w="1500" w:type="dxa"/>
            <w:vAlign w:val="bottom"/>
            <w:gridSpan w:val="2"/>
          </w:tcPr>
          <w:p>
            <w:pPr>
              <w:jc w:val="right"/>
              <w:ind w:right="580"/>
              <w:spacing w:after="0"/>
              <w:rPr>
                <w:sz w:val="20"/>
                <w:szCs w:val="20"/>
                <w:color w:val="auto"/>
              </w:rPr>
            </w:pPr>
            <w:r>
              <w:rPr>
                <w:rFonts w:ascii="Arial" w:cs="Arial" w:eastAsia="Arial" w:hAnsi="Arial"/>
                <w:sz w:val="18"/>
                <w:szCs w:val="18"/>
                <w:color w:val="auto"/>
              </w:rPr>
              <w:t>(112)</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2,317</w:t>
            </w: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2,599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660" w:type="dxa"/>
            <w:vAlign w:val="bottom"/>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840" w:type="dxa"/>
            <w:vAlign w:val="bottom"/>
            <w:shd w:val="clear" w:color="auto" w:fill="000000"/>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27, 2012</w:t>
            </w: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4,096</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50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(1,397)</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676</w:t>
            </w: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3,375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by components are presented in the following table (in thousands):</w:t>
      </w:r>
    </w:p>
    <w:p>
      <w:pPr>
        <w:spacing w:after="0" w:line="230"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2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580" w:type="dxa"/>
            <w:vAlign w:val="bottom"/>
            <w:tcBorders>
              <w:bottom w:val="single" w:sz="8" w:color="auto"/>
            </w:tcBorders>
            <w:gridSpan w:val="3"/>
          </w:tcPr>
          <w:p>
            <w:pPr>
              <w:ind w:left="500"/>
              <w:spacing w:after="0"/>
              <w:rPr>
                <w:sz w:val="20"/>
                <w:szCs w:val="20"/>
                <w:color w:val="auto"/>
              </w:rPr>
            </w:pPr>
            <w:r>
              <w:rPr>
                <w:rFonts w:ascii="Arial" w:cs="Arial" w:eastAsia="Arial" w:hAnsi="Arial"/>
                <w:sz w:val="14"/>
                <w:szCs w:val="14"/>
                <w:b w:val="1"/>
                <w:bCs w:val="1"/>
                <w:color w:val="auto"/>
                <w:w w:val="88"/>
              </w:rPr>
              <w:t>November 2, 2013</w:t>
            </w:r>
          </w:p>
        </w:tc>
        <w:tc>
          <w:tcPr>
            <w:tcW w:w="62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6"/>
        </w:trPr>
        <w:tc>
          <w:tcPr>
            <w:tcW w:w="6220" w:type="dxa"/>
            <w:vAlign w:val="bottom"/>
            <w:gridSpan w:val="2"/>
            <w:vMerge w:val="continue"/>
          </w:tcPr>
          <w:p>
            <w:pPr>
              <w:spacing w:after="0"/>
              <w:rPr>
                <w:sz w:val="10"/>
                <w:szCs w:val="10"/>
                <w:color w:val="auto"/>
              </w:rPr>
            </w:pPr>
          </w:p>
        </w:tc>
        <w:tc>
          <w:tcPr>
            <w:tcW w:w="20" w:type="dxa"/>
            <w:vAlign w:val="bottom"/>
          </w:tcPr>
          <w:p>
            <w:pPr>
              <w:spacing w:after="0"/>
              <w:rPr>
                <w:sz w:val="10"/>
                <w:szCs w:val="10"/>
                <w:color w:val="auto"/>
              </w:rPr>
            </w:pPr>
          </w:p>
        </w:tc>
        <w:tc>
          <w:tcPr>
            <w:tcW w:w="820" w:type="dxa"/>
            <w:vAlign w:val="bottom"/>
            <w:gridSpan w:val="2"/>
          </w:tcPr>
          <w:p>
            <w:pPr>
              <w:spacing w:after="0" w:line="116" w:lineRule="exact"/>
              <w:rPr>
                <w:sz w:val="20"/>
                <w:szCs w:val="20"/>
                <w:color w:val="auto"/>
              </w:rPr>
            </w:pPr>
            <w:r>
              <w:rPr>
                <w:rFonts w:ascii="Arial" w:cs="Arial" w:eastAsia="Arial" w:hAnsi="Arial"/>
                <w:sz w:val="12"/>
                <w:szCs w:val="12"/>
                <w:b w:val="1"/>
                <w:bCs w:val="1"/>
                <w:color w:val="auto"/>
              </w:rPr>
              <w:t>Three Months</w:t>
            </w:r>
          </w:p>
        </w:tc>
        <w:tc>
          <w:tcPr>
            <w:tcW w:w="1520" w:type="dxa"/>
            <w:vAlign w:val="bottom"/>
            <w:gridSpan w:val="3"/>
          </w:tcPr>
          <w:p>
            <w:pPr>
              <w:ind w:left="760"/>
              <w:spacing w:after="0" w:line="116" w:lineRule="exact"/>
              <w:rPr>
                <w:sz w:val="20"/>
                <w:szCs w:val="20"/>
                <w:color w:val="auto"/>
              </w:rPr>
            </w:pPr>
            <w:r>
              <w:rPr>
                <w:rFonts w:ascii="Arial" w:cs="Arial" w:eastAsia="Arial" w:hAnsi="Arial"/>
                <w:sz w:val="12"/>
                <w:szCs w:val="12"/>
                <w:b w:val="1"/>
                <w:bCs w:val="1"/>
                <w:color w:val="auto"/>
              </w:rPr>
              <w:t>Nine Months</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15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5"/>
              </w:rPr>
              <w:t>Statement of Operations</w:t>
            </w:r>
          </w:p>
        </w:tc>
        <w:tc>
          <w:tcPr>
            <w:tcW w:w="46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80" w:type="dxa"/>
            <w:vAlign w:val="bottom"/>
          </w:tcPr>
          <w:p>
            <w:pPr>
              <w:jc w:val="right"/>
              <w:ind w:right="157"/>
              <w:spacing w:after="0"/>
              <w:rPr>
                <w:sz w:val="20"/>
                <w:szCs w:val="20"/>
                <w:color w:val="auto"/>
              </w:rPr>
            </w:pPr>
            <w:r>
              <w:rPr>
                <w:rFonts w:ascii="Arial" w:cs="Arial" w:eastAsia="Arial" w:hAnsi="Arial"/>
                <w:sz w:val="14"/>
                <w:szCs w:val="14"/>
                <w:b w:val="1"/>
                <w:bCs w:val="1"/>
                <w:color w:val="auto"/>
                <w:w w:val="98"/>
              </w:rPr>
              <w:t>Ended</w:t>
            </w:r>
          </w:p>
        </w:tc>
        <w:tc>
          <w:tcPr>
            <w:tcW w:w="7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20" w:type="dxa"/>
            <w:vAlign w:val="bottom"/>
            <w:gridSpan w:val="2"/>
          </w:tcPr>
          <w:p>
            <w:pPr>
              <w:ind w:left="40"/>
              <w:spacing w:after="0"/>
              <w:rPr>
                <w:sz w:val="20"/>
                <w:szCs w:val="20"/>
                <w:color w:val="auto"/>
              </w:rPr>
            </w:pPr>
            <w:r>
              <w:rPr>
                <w:rFonts w:ascii="Arial" w:cs="Arial" w:eastAsia="Arial" w:hAnsi="Arial"/>
                <w:sz w:val="14"/>
                <w:szCs w:val="14"/>
                <w:b w:val="1"/>
                <w:bCs w:val="1"/>
                <w:color w:val="auto"/>
              </w:rPr>
              <w:t>Ended</w:t>
            </w:r>
          </w:p>
        </w:tc>
        <w:tc>
          <w:tcPr>
            <w:tcW w:w="0" w:type="dxa"/>
            <w:vAlign w:val="bottom"/>
          </w:tcPr>
          <w:p>
            <w:pPr>
              <w:spacing w:after="0"/>
              <w:rPr>
                <w:sz w:val="1"/>
                <w:szCs w:val="1"/>
                <w:color w:val="auto"/>
              </w:rPr>
            </w:pPr>
          </w:p>
        </w:tc>
      </w:tr>
      <w:tr>
        <w:trPr>
          <w:trHeight w:val="190"/>
        </w:trPr>
        <w:tc>
          <w:tcPr>
            <w:tcW w:w="622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color w:val="auto"/>
              </w:rPr>
              <w:t>Available-for-sale securities:</w:t>
            </w:r>
          </w:p>
        </w:tc>
        <w:tc>
          <w:tcPr>
            <w:tcW w:w="20" w:type="dxa"/>
            <w:vAlign w:val="bottom"/>
            <w:tcBorders>
              <w:top w:val="single" w:sz="8" w:color="CCEEFF"/>
            </w:tcBorders>
            <w:shd w:val="clear" w:color="auto" w:fill="CCEEFF"/>
          </w:tcPr>
          <w:p>
            <w:pPr>
              <w:spacing w:after="0"/>
              <w:rPr>
                <w:sz w:val="16"/>
                <w:szCs w:val="16"/>
                <w:color w:val="auto"/>
              </w:rPr>
            </w:pPr>
          </w:p>
        </w:tc>
        <w:tc>
          <w:tcPr>
            <w:tcW w:w="140" w:type="dxa"/>
            <w:vAlign w:val="bottom"/>
            <w:tcBorders>
              <w:top w:val="single" w:sz="8" w:color="auto"/>
            </w:tcBorders>
            <w:shd w:val="clear" w:color="auto" w:fill="CCEEFF"/>
          </w:tcPr>
          <w:p>
            <w:pPr>
              <w:spacing w:after="0"/>
              <w:rPr>
                <w:sz w:val="16"/>
                <w:szCs w:val="16"/>
                <w:color w:val="auto"/>
              </w:rPr>
            </w:pPr>
          </w:p>
        </w:tc>
        <w:tc>
          <w:tcPr>
            <w:tcW w:w="680" w:type="dxa"/>
            <w:vAlign w:val="bottom"/>
            <w:tcBorders>
              <w:top w:val="single" w:sz="8" w:color="auto"/>
            </w:tcBorders>
            <w:shd w:val="clear" w:color="auto" w:fill="CCEEFF"/>
          </w:tcPr>
          <w:p>
            <w:pPr>
              <w:spacing w:after="0"/>
              <w:rPr>
                <w:sz w:val="16"/>
                <w:szCs w:val="16"/>
                <w:color w:val="auto"/>
              </w:rPr>
            </w:pPr>
          </w:p>
        </w:tc>
        <w:tc>
          <w:tcPr>
            <w:tcW w:w="760" w:type="dxa"/>
            <w:vAlign w:val="bottom"/>
            <w:tcBorders>
              <w:top w:val="single" w:sz="8" w:color="CCEEFF"/>
            </w:tcBorders>
            <w:shd w:val="clear" w:color="auto" w:fill="CCEEFF"/>
          </w:tcPr>
          <w:p>
            <w:pPr>
              <w:spacing w:after="0"/>
              <w:rPr>
                <w:sz w:val="16"/>
                <w:szCs w:val="16"/>
                <w:color w:val="auto"/>
              </w:rPr>
            </w:pPr>
          </w:p>
        </w:tc>
        <w:tc>
          <w:tcPr>
            <w:tcW w:w="140" w:type="dxa"/>
            <w:vAlign w:val="bottom"/>
            <w:tcBorders>
              <w:top w:val="single" w:sz="8" w:color="auto"/>
            </w:tcBorders>
            <w:shd w:val="clear" w:color="auto" w:fill="CCEEFF"/>
          </w:tcPr>
          <w:p>
            <w:pPr>
              <w:spacing w:after="0"/>
              <w:rPr>
                <w:sz w:val="16"/>
                <w:szCs w:val="16"/>
                <w:color w:val="auto"/>
              </w:rPr>
            </w:pPr>
          </w:p>
        </w:tc>
        <w:tc>
          <w:tcPr>
            <w:tcW w:w="62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6220" w:type="dxa"/>
            <w:vAlign w:val="bottom"/>
            <w:gridSpan w:val="2"/>
          </w:tcPr>
          <w:p>
            <w:pPr>
              <w:ind w:left="440"/>
              <w:spacing w:after="0"/>
              <w:rPr>
                <w:sz w:val="20"/>
                <w:szCs w:val="20"/>
                <w:color w:val="auto"/>
              </w:rPr>
            </w:pPr>
            <w:r>
              <w:rPr>
                <w:rFonts w:ascii="Arial" w:cs="Arial" w:eastAsia="Arial" w:hAnsi="Arial"/>
                <w:sz w:val="18"/>
                <w:szCs w:val="18"/>
                <w:color w:val="auto"/>
              </w:rPr>
              <w:t>Interest and other income, net</w:t>
            </w: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380</w:t>
            </w:r>
          </w:p>
        </w:tc>
        <w:tc>
          <w:tcPr>
            <w:tcW w:w="900" w:type="dxa"/>
            <w:vAlign w:val="bottom"/>
            <w:gridSpan w:val="2"/>
          </w:tcPr>
          <w:p>
            <w:pPr>
              <w:ind w:left="76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923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20" w:type="dxa"/>
            <w:vAlign w:val="bottom"/>
            <w:gridSpan w:val="2"/>
          </w:tcPr>
          <w:p>
            <w:pPr>
              <w:ind w:left="440"/>
              <w:spacing w:after="0"/>
              <w:rPr>
                <w:sz w:val="20"/>
                <w:szCs w:val="20"/>
                <w:color w:val="auto"/>
              </w:rPr>
            </w:pPr>
            <w:r>
              <w:rPr>
                <w:rFonts w:ascii="Arial" w:cs="Arial" w:eastAsia="Arial" w:hAnsi="Arial"/>
                <w:sz w:val="18"/>
                <w:szCs w:val="18"/>
                <w:color w:val="auto"/>
              </w:rPr>
              <w:t>Cost of goods sold</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41</w:t>
            </w: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149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Research and development</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w:t>
            </w:r>
          </w:p>
        </w:tc>
        <w:tc>
          <w:tcPr>
            <w:tcW w:w="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20" w:type="dxa"/>
            <w:vAlign w:val="bottom"/>
            <w:gridSpan w:val="2"/>
          </w:tcPr>
          <w:p>
            <w:pPr>
              <w:ind w:left="440"/>
              <w:spacing w:after="0"/>
              <w:rPr>
                <w:sz w:val="20"/>
                <w:szCs w:val="20"/>
                <w:color w:val="auto"/>
              </w:rPr>
            </w:pPr>
            <w:r>
              <w:rPr>
                <w:rFonts w:ascii="Arial" w:cs="Arial" w:eastAsia="Arial" w:hAnsi="Arial"/>
                <w:sz w:val="18"/>
                <w:szCs w:val="18"/>
                <w:color w:val="auto"/>
              </w:rPr>
              <w:t>Selling and marketing</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53</w:t>
            </w:r>
          </w:p>
        </w:tc>
        <w:tc>
          <w:tcPr>
            <w:tcW w:w="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198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2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General and administrative</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7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6220" w:type="dxa"/>
            <w:vAlign w:val="bottom"/>
            <w:gridSpan w:val="2"/>
          </w:tcPr>
          <w:p>
            <w:pPr>
              <w:spacing w:after="0"/>
              <w:rPr>
                <w:sz w:val="20"/>
                <w:szCs w:val="20"/>
                <w:color w:val="auto"/>
              </w:rPr>
            </w:pPr>
            <w:r>
              <w:rPr>
                <w:rFonts w:ascii="Arial" w:cs="Arial" w:eastAsia="Arial" w:hAnsi="Arial"/>
                <w:sz w:val="18"/>
                <w:szCs w:val="18"/>
                <w:color w:val="auto"/>
              </w:rPr>
              <w:t>Total</w:t>
            </w: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1,127</w:t>
            </w:r>
          </w:p>
        </w:tc>
        <w:tc>
          <w:tcPr>
            <w:tcW w:w="900" w:type="dxa"/>
            <w:vAlign w:val="bottom"/>
            <w:gridSpan w:val="2"/>
          </w:tcPr>
          <w:p>
            <w:pPr>
              <w:ind w:left="760"/>
              <w:spacing w:after="0"/>
              <w:rPr>
                <w:sz w:val="20"/>
                <w:szCs w:val="20"/>
                <w:color w:val="auto"/>
              </w:rPr>
            </w:pPr>
            <w:r>
              <w:rPr>
                <w:rFonts w:ascii="Arial" w:cs="Arial" w:eastAsia="Arial" w:hAnsi="Arial"/>
                <w:sz w:val="18"/>
                <w:szCs w:val="18"/>
                <w:color w:val="auto"/>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3,607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580" w:type="dxa"/>
            <w:vAlign w:val="bottom"/>
          </w:tcPr>
          <w:p>
            <w:pPr>
              <w:spacing w:after="0" w:line="20" w:lineRule="exact"/>
              <w:rPr>
                <w:sz w:val="1"/>
                <w:szCs w:val="1"/>
                <w:color w:val="auto"/>
              </w:rPr>
            </w:pPr>
          </w:p>
        </w:tc>
        <w:tc>
          <w:tcPr>
            <w:tcW w:w="46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per share:</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on the weighted average number of common shares outstanding, and diluted net income per share, which is based on the weighted average number of common shares outstanding and potentially dilutive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4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760" w:type="dxa"/>
            <w:vAlign w:val="bottom"/>
            <w:gridSpan w:val="4"/>
          </w:tcPr>
          <w:p>
            <w:pPr>
              <w:jc w:val="right"/>
              <w:ind w:right="235"/>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60" w:type="dxa"/>
            <w:vAlign w:val="bottom"/>
            <w:gridSpan w:val="5"/>
          </w:tcPr>
          <w:p>
            <w:pPr>
              <w:ind w:left="2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4460" w:type="dxa"/>
            <w:vAlign w:val="bottom"/>
          </w:tcPr>
          <w:p>
            <w:pPr>
              <w:spacing w:after="0"/>
              <w:rPr>
                <w:sz w:val="11"/>
                <w:szCs w:val="11"/>
                <w:color w:val="auto"/>
              </w:rPr>
            </w:pPr>
          </w:p>
        </w:tc>
        <w:tc>
          <w:tcPr>
            <w:tcW w:w="170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4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48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4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27,</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60" w:type="dxa"/>
            <w:vAlign w:val="bottom"/>
            <w:tcBorders>
              <w:bottom w:val="single" w:sz="8" w:color="CCEEFF"/>
            </w:tcBorders>
          </w:tcPr>
          <w:p>
            <w:pPr>
              <w:spacing w:after="0"/>
              <w:rPr>
                <w:sz w:val="14"/>
                <w:szCs w:val="14"/>
                <w:color w:val="auto"/>
              </w:rPr>
            </w:pPr>
          </w:p>
        </w:tc>
        <w:tc>
          <w:tcPr>
            <w:tcW w:w="17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2013</w:t>
            </w:r>
          </w:p>
        </w:tc>
        <w:tc>
          <w:tcPr>
            <w:tcW w:w="4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2012</w:t>
            </w:r>
          </w:p>
        </w:tc>
        <w:tc>
          <w:tcPr>
            <w:tcW w:w="4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2013</w:t>
            </w:r>
          </w:p>
        </w:tc>
        <w:tc>
          <w:tcPr>
            <w:tcW w:w="4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4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1820" w:type="dxa"/>
            <w:vAlign w:val="bottom"/>
            <w:gridSpan w:val="2"/>
          </w:tcPr>
          <w:p>
            <w:pPr>
              <w:ind w:left="1700"/>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103,156</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68,816</w:t>
            </w:r>
          </w:p>
        </w:tc>
        <w:tc>
          <w:tcPr>
            <w:tcW w:w="600" w:type="dxa"/>
            <w:vAlign w:val="bottom"/>
            <w:gridSpan w:val="2"/>
          </w:tcPr>
          <w:p>
            <w:pPr>
              <w:ind w:left="480"/>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218,191</w:t>
            </w:r>
          </w:p>
        </w:tc>
        <w:tc>
          <w:tcPr>
            <w:tcW w:w="560" w:type="dxa"/>
            <w:vAlign w:val="bottom"/>
            <w:gridSpan w:val="2"/>
          </w:tcPr>
          <w:p>
            <w:pPr>
              <w:ind w:left="480"/>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256,433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6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Weighted average common shares outstanding:</w:t>
            </w:r>
          </w:p>
        </w:tc>
        <w:tc>
          <w:tcPr>
            <w:tcW w:w="1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491,979</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553,049</w:t>
            </w: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2"/>
              </w:rPr>
              <w:t>496,151</w:t>
            </w: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565,145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7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460" w:type="dxa"/>
            <w:vAlign w:val="bottom"/>
          </w:tcPr>
          <w:p>
            <w:pPr>
              <w:ind w:left="440"/>
              <w:spacing w:after="0"/>
              <w:rPr>
                <w:sz w:val="20"/>
                <w:szCs w:val="20"/>
                <w:color w:val="auto"/>
              </w:rPr>
            </w:pPr>
            <w:r>
              <w:rPr>
                <w:rFonts w:ascii="Arial" w:cs="Arial" w:eastAsia="Arial" w:hAnsi="Arial"/>
                <w:sz w:val="18"/>
                <w:szCs w:val="18"/>
                <w:color w:val="auto"/>
              </w:rPr>
              <w:t>Common share-based awards</w:t>
            </w:r>
          </w:p>
        </w:tc>
        <w:tc>
          <w:tcPr>
            <w:tcW w:w="17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9,210</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6,299</w:t>
            </w:r>
          </w:p>
        </w:tc>
        <w:tc>
          <w:tcPr>
            <w:tcW w:w="4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6,250</w:t>
            </w:r>
          </w:p>
        </w:tc>
        <w:tc>
          <w:tcPr>
            <w:tcW w:w="4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9,659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17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501,189</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559,348</w:t>
            </w:r>
          </w:p>
        </w:tc>
        <w:tc>
          <w:tcPr>
            <w:tcW w:w="4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2"/>
              </w:rPr>
              <w:t>502,401</w:t>
            </w:r>
          </w:p>
        </w:tc>
        <w:tc>
          <w:tcPr>
            <w:tcW w:w="4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574,804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6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17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460" w:type="dxa"/>
            <w:vAlign w:val="bottom"/>
            <w:vMerge w:val="continue"/>
          </w:tcPr>
          <w:p>
            <w:pPr>
              <w:spacing w:after="0"/>
              <w:rPr>
                <w:sz w:val="18"/>
                <w:szCs w:val="18"/>
                <w:color w:val="auto"/>
              </w:rPr>
            </w:pPr>
          </w:p>
        </w:tc>
        <w:tc>
          <w:tcPr>
            <w:tcW w:w="17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4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Basic</w:t>
            </w:r>
          </w:p>
        </w:tc>
        <w:tc>
          <w:tcPr>
            <w:tcW w:w="1820" w:type="dxa"/>
            <w:vAlign w:val="bottom"/>
            <w:gridSpan w:val="2"/>
            <w:shd w:val="clear" w:color="auto" w:fill="CCEEFF"/>
          </w:tcPr>
          <w:p>
            <w:pPr>
              <w:ind w:left="170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0.21</w:t>
            </w:r>
          </w:p>
        </w:tc>
        <w:tc>
          <w:tcPr>
            <w:tcW w:w="5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60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0.44</w:t>
            </w:r>
          </w:p>
        </w:tc>
        <w:tc>
          <w:tcPr>
            <w:tcW w:w="560" w:type="dxa"/>
            <w:vAlign w:val="bottom"/>
            <w:gridSpan w:val="2"/>
            <w:shd w:val="clear" w:color="auto" w:fill="CCEEFF"/>
          </w:tcPr>
          <w:p>
            <w:pPr>
              <w:ind w:left="480"/>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460" w:type="dxa"/>
            <w:vAlign w:val="bottom"/>
          </w:tcPr>
          <w:p>
            <w:pPr>
              <w:ind w:left="880"/>
              <w:spacing w:after="0"/>
              <w:rPr>
                <w:sz w:val="20"/>
                <w:szCs w:val="20"/>
                <w:color w:val="auto"/>
              </w:rPr>
            </w:pPr>
            <w:r>
              <w:rPr>
                <w:rFonts w:ascii="Arial" w:cs="Arial" w:eastAsia="Arial" w:hAnsi="Arial"/>
                <w:sz w:val="18"/>
                <w:szCs w:val="18"/>
                <w:color w:val="auto"/>
              </w:rPr>
              <w:t>Diluted</w:t>
            </w:r>
          </w:p>
        </w:tc>
        <w:tc>
          <w:tcPr>
            <w:tcW w:w="1820" w:type="dxa"/>
            <w:vAlign w:val="bottom"/>
            <w:gridSpan w:val="2"/>
          </w:tcPr>
          <w:p>
            <w:pPr>
              <w:ind w:left="1700"/>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0.21</w:t>
            </w:r>
          </w:p>
        </w:tc>
        <w:tc>
          <w:tcPr>
            <w:tcW w:w="560" w:type="dxa"/>
            <w:vAlign w:val="bottom"/>
            <w:gridSpan w:val="2"/>
          </w:tcPr>
          <w:p>
            <w:pPr>
              <w:ind w:left="46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0.12</w:t>
            </w:r>
          </w:p>
        </w:tc>
        <w:tc>
          <w:tcPr>
            <w:tcW w:w="600" w:type="dxa"/>
            <w:vAlign w:val="bottom"/>
            <w:gridSpan w:val="2"/>
          </w:tcPr>
          <w:p>
            <w:pPr>
              <w:ind w:left="480"/>
              <w:spacing w:after="0"/>
              <w:rPr>
                <w:sz w:val="20"/>
                <w:szCs w:val="20"/>
                <w:color w:val="auto"/>
              </w:rPr>
            </w:pPr>
            <w:r>
              <w:rPr>
                <w:rFonts w:ascii="Arial" w:cs="Arial" w:eastAsia="Arial" w:hAnsi="Arial"/>
                <w:sz w:val="18"/>
                <w:szCs w:val="18"/>
                <w:color w:val="auto"/>
                <w:w w:val="9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0.43</w:t>
            </w:r>
          </w:p>
        </w:tc>
        <w:tc>
          <w:tcPr>
            <w:tcW w:w="560" w:type="dxa"/>
            <w:vAlign w:val="bottom"/>
            <w:gridSpan w:val="2"/>
          </w:tcPr>
          <w:p>
            <w:pPr>
              <w:ind w:left="480"/>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0.45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4460" w:type="dxa"/>
            <w:vAlign w:val="bottom"/>
          </w:tcPr>
          <w:p>
            <w:pPr>
              <w:spacing w:after="0"/>
              <w:rPr>
                <w:sz w:val="24"/>
                <w:szCs w:val="24"/>
                <w:color w:val="auto"/>
              </w:rPr>
            </w:pPr>
          </w:p>
        </w:tc>
        <w:tc>
          <w:tcPr>
            <w:tcW w:w="1700" w:type="dxa"/>
            <w:vAlign w:val="bottom"/>
          </w:tcPr>
          <w:p>
            <w:pPr>
              <w:jc w:val="right"/>
              <w:ind w:right="732"/>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20"/>
          </w:cols>
          <w:pgMar w:left="240" w:top="459" w:right="4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7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180" w:type="dxa"/>
            <w:vAlign w:val="bottom"/>
            <w:gridSpan w:val="5"/>
          </w:tcPr>
          <w:p>
            <w:pPr>
              <w:ind w:left="240"/>
              <w:spacing w:after="0"/>
              <w:rPr>
                <w:sz w:val="20"/>
                <w:szCs w:val="20"/>
                <w:color w:val="auto"/>
              </w:rPr>
            </w:pPr>
            <w:r>
              <w:rPr>
                <w:rFonts w:ascii="Arial" w:cs="Arial" w:eastAsia="Arial" w:hAnsi="Arial"/>
                <w:sz w:val="14"/>
                <w:szCs w:val="14"/>
                <w:b w:val="1"/>
                <w:bCs w:val="1"/>
                <w:color w:val="auto"/>
              </w:rPr>
              <w:t>Three Months Ended</w:t>
            </w: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60" w:type="dxa"/>
            <w:vAlign w:val="bottom"/>
            <w:gridSpan w:val="4"/>
          </w:tcPr>
          <w:p>
            <w:pPr>
              <w:ind w:left="28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5740" w:type="dxa"/>
            <w:vAlign w:val="bottom"/>
          </w:tcPr>
          <w:p>
            <w:pPr>
              <w:spacing w:after="0"/>
              <w:rPr>
                <w:sz w:val="11"/>
                <w:szCs w:val="11"/>
                <w:color w:val="auto"/>
              </w:rPr>
            </w:pPr>
          </w:p>
        </w:tc>
        <w:tc>
          <w:tcPr>
            <w:tcW w:w="106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November 2,</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27,</w:t>
            </w:r>
          </w:p>
        </w:tc>
        <w:tc>
          <w:tcPr>
            <w:tcW w:w="3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6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27,</w:t>
            </w:r>
          </w:p>
        </w:tc>
        <w:tc>
          <w:tcPr>
            <w:tcW w:w="100" w:type="dxa"/>
            <w:vAlign w:val="bottom"/>
          </w:tcPr>
          <w:p>
            <w:pPr>
              <w:spacing w:after="0"/>
              <w:rPr>
                <w:sz w:val="11"/>
                <w:szCs w:val="11"/>
                <w:color w:val="auto"/>
              </w:rPr>
            </w:pPr>
          </w:p>
        </w:tc>
      </w:tr>
      <w:tr>
        <w:trPr>
          <w:trHeight w:val="161"/>
        </w:trPr>
        <w:tc>
          <w:tcPr>
            <w:tcW w:w="57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jc w:val="right"/>
              <w:ind w:right="142"/>
              <w:spacing w:after="0"/>
              <w:rPr>
                <w:sz w:val="20"/>
                <w:szCs w:val="20"/>
                <w:color w:val="auto"/>
              </w:rPr>
            </w:pPr>
            <w:r>
              <w:rPr>
                <w:rFonts w:ascii="Arial" w:cs="Arial" w:eastAsia="Arial" w:hAnsi="Arial"/>
                <w:sz w:val="14"/>
                <w:szCs w:val="14"/>
                <w:b w:val="1"/>
                <w:bCs w:val="1"/>
                <w:color w:val="auto"/>
              </w:rPr>
              <w:t>2013</w:t>
            </w:r>
          </w:p>
        </w:tc>
        <w:tc>
          <w:tcPr>
            <w:tcW w:w="320" w:type="dxa"/>
            <w:vAlign w:val="bottom"/>
          </w:tcPr>
          <w:p>
            <w:pPr>
              <w:spacing w:after="0"/>
              <w:rPr>
                <w:sz w:val="14"/>
                <w:szCs w:val="14"/>
                <w:color w:val="auto"/>
              </w:rPr>
            </w:pPr>
          </w:p>
        </w:tc>
        <w:tc>
          <w:tcPr>
            <w:tcW w:w="98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jc w:val="right"/>
              <w:ind w:right="162"/>
              <w:spacing w:after="0"/>
              <w:rPr>
                <w:sz w:val="20"/>
                <w:szCs w:val="20"/>
                <w:color w:val="auto"/>
              </w:rPr>
            </w:pPr>
            <w:r>
              <w:rPr>
                <w:rFonts w:ascii="Arial" w:cs="Arial" w:eastAsia="Arial" w:hAnsi="Arial"/>
                <w:sz w:val="14"/>
                <w:szCs w:val="14"/>
                <w:b w:val="1"/>
                <w:bCs w:val="1"/>
                <w:color w:val="auto"/>
              </w:rPr>
              <w:t>2013</w:t>
            </w:r>
          </w:p>
        </w:tc>
        <w:tc>
          <w:tcPr>
            <w:tcW w:w="128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r>
      <w:tr>
        <w:trPr>
          <w:trHeight w:val="196"/>
        </w:trPr>
        <w:tc>
          <w:tcPr>
            <w:tcW w:w="57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Anti-dilutive potential common shares:</w:t>
            </w:r>
          </w:p>
        </w:tc>
        <w:tc>
          <w:tcPr>
            <w:tcW w:w="16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5740" w:type="dxa"/>
            <w:vAlign w:val="bottom"/>
          </w:tcPr>
          <w:p>
            <w:pPr>
              <w:ind w:left="440"/>
              <w:spacing w:after="0"/>
              <w:rPr>
                <w:sz w:val="20"/>
                <w:szCs w:val="20"/>
                <w:color w:val="auto"/>
              </w:rPr>
            </w:pPr>
            <w:r>
              <w:rPr>
                <w:rFonts w:ascii="Arial" w:cs="Arial" w:eastAsia="Arial" w:hAnsi="Arial"/>
                <w:sz w:val="18"/>
                <w:szCs w:val="18"/>
                <w:color w:val="auto"/>
              </w:rPr>
              <w:t>Weighted average shares outstanding from stock options</w:t>
            </w:r>
          </w:p>
        </w:tc>
        <w:tc>
          <w:tcPr>
            <w:tcW w:w="16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43,167</w:t>
            </w:r>
          </w:p>
        </w:tc>
        <w:tc>
          <w:tcPr>
            <w:tcW w:w="1280" w:type="dxa"/>
            <w:vAlign w:val="bottom"/>
            <w:gridSpan w:val="3"/>
          </w:tcPr>
          <w:p>
            <w:pPr>
              <w:jc w:val="right"/>
              <w:ind w:right="300"/>
              <w:spacing w:after="0"/>
              <w:rPr>
                <w:sz w:val="20"/>
                <w:szCs w:val="20"/>
                <w:color w:val="auto"/>
              </w:rPr>
            </w:pPr>
            <w:r>
              <w:rPr>
                <w:rFonts w:ascii="Arial" w:cs="Arial" w:eastAsia="Arial" w:hAnsi="Arial"/>
                <w:sz w:val="18"/>
                <w:szCs w:val="18"/>
                <w:color w:val="auto"/>
              </w:rPr>
              <w:t>42,149</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39,854</w:t>
            </w:r>
          </w:p>
        </w:tc>
        <w:tc>
          <w:tcPr>
            <w:tcW w:w="1280" w:type="dxa"/>
            <w:vAlign w:val="bottom"/>
            <w:gridSpan w:val="2"/>
          </w:tcPr>
          <w:p>
            <w:pPr>
              <w:jc w:val="right"/>
              <w:spacing w:after="0"/>
              <w:rPr>
                <w:sz w:val="20"/>
                <w:szCs w:val="20"/>
                <w:color w:val="auto"/>
              </w:rPr>
            </w:pPr>
            <w:r>
              <w:rPr>
                <w:rFonts w:ascii="Arial" w:cs="Arial" w:eastAsia="Arial" w:hAnsi="Arial"/>
                <w:sz w:val="18"/>
                <w:szCs w:val="18"/>
                <w:color w:val="auto"/>
              </w:rPr>
              <w:t>27,560</w:t>
            </w:r>
          </w:p>
        </w:tc>
        <w:tc>
          <w:tcPr>
            <w:tcW w:w="100" w:type="dxa"/>
            <w:vAlign w:val="bottom"/>
          </w:tcPr>
          <w:p>
            <w:pPr>
              <w:spacing w:after="0"/>
              <w:rPr>
                <w:sz w:val="18"/>
                <w:szCs w:val="18"/>
                <w:color w:val="auto"/>
              </w:rPr>
            </w:pPr>
          </w:p>
        </w:tc>
      </w:tr>
      <w:tr>
        <w:trPr>
          <w:trHeight w:val="20"/>
        </w:trPr>
        <w:tc>
          <w:tcPr>
            <w:tcW w:w="57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57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exercise price</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14.71</w:t>
            </w:r>
          </w:p>
        </w:tc>
        <w:tc>
          <w:tcPr>
            <w:tcW w:w="12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  15.43</w:t>
            </w:r>
          </w:p>
        </w:tc>
        <w:tc>
          <w:tcPr>
            <w:tcW w:w="4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15.18</w:t>
            </w:r>
          </w:p>
        </w:tc>
        <w:tc>
          <w:tcPr>
            <w:tcW w:w="1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17.67</w:t>
            </w:r>
          </w:p>
        </w:tc>
        <w:tc>
          <w:tcPr>
            <w:tcW w:w="100" w:type="dxa"/>
            <w:vAlign w:val="bottom"/>
            <w:shd w:val="clear" w:color="auto" w:fill="CCEEFF"/>
          </w:tcPr>
          <w:p>
            <w:pPr>
              <w:spacing w:after="0"/>
              <w:rPr>
                <w:sz w:val="18"/>
                <w:szCs w:val="18"/>
                <w:color w:val="auto"/>
              </w:rPr>
            </w:pPr>
          </w:p>
        </w:tc>
      </w:tr>
      <w:tr>
        <w:trPr>
          <w:trHeight w:val="20"/>
        </w:trPr>
        <w:tc>
          <w:tcPr>
            <w:tcW w:w="57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Anti-dilutive potential common shares for stock options are excluded from the calculation of diluted earnings per share for the periods reported above because either their exercise price exceeded the average market price during the period or certain stock options with exercise prices less than the average market price were determined to be anti-dilutive based on applying the treasury stock method. The anti-dilutive shares reported above also include shares from stock options that contain market conditions for vesting since the market value of the Company’s stock as of November 2, 2013 and October 27, 2012 was lower than the required market condition. For the three and nine months ended November 2, 2013, there were 2.7 million anti-dilutive shares from stock options that contain market conditions. For the corresponding three and nine months ended October 27, 2012, there were 3.0 million and 3.1 million anti-dilutive shares, respectively, from stock options that contain market conditions.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generally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foreign currency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5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3"/>
          </w:tcPr>
          <w:p>
            <w:pPr>
              <w:jc w:val="right"/>
              <w:ind w:right="3"/>
              <w:spacing w:after="0"/>
              <w:rPr>
                <w:sz w:val="20"/>
                <w:szCs w:val="20"/>
                <w:color w:val="auto"/>
              </w:rPr>
            </w:pPr>
            <w:r>
              <w:rPr>
                <w:rFonts w:ascii="Arial" w:cs="Arial" w:eastAsia="Arial" w:hAnsi="Arial"/>
                <w:sz w:val="14"/>
                <w:szCs w:val="14"/>
                <w:b w:val="1"/>
                <w:bCs w:val="1"/>
                <w:color w:val="auto"/>
              </w:rPr>
              <w:t>Buy Contracts</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65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2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3"/>
              </w:rPr>
              <w:t>November 2,</w:t>
            </w:r>
          </w:p>
        </w:tc>
        <w:tc>
          <w:tcPr>
            <w:tcW w:w="1340" w:type="dxa"/>
            <w:vAlign w:val="bottom"/>
            <w:gridSpan w:val="3"/>
          </w:tcPr>
          <w:p>
            <w:pPr>
              <w:ind w:left="640"/>
              <w:spacing w:after="0" w:line="129" w:lineRule="exact"/>
              <w:rPr>
                <w:sz w:val="20"/>
                <w:szCs w:val="20"/>
                <w:color w:val="auto"/>
              </w:rPr>
            </w:pPr>
            <w:r>
              <w:rPr>
                <w:rFonts w:ascii="Arial" w:cs="Arial" w:eastAsia="Arial" w:hAnsi="Arial"/>
                <w:sz w:val="14"/>
                <w:szCs w:val="14"/>
                <w:b w:val="1"/>
                <w:bCs w:val="1"/>
                <w:color w:val="auto"/>
                <w:w w:val="90"/>
              </w:rPr>
              <w:t>February 2,</w:t>
            </w:r>
          </w:p>
        </w:tc>
        <w:tc>
          <w:tcPr>
            <w:tcW w:w="100" w:type="dxa"/>
            <w:vAlign w:val="bottom"/>
          </w:tcPr>
          <w:p>
            <w:pPr>
              <w:spacing w:after="0"/>
              <w:rPr>
                <w:sz w:val="11"/>
                <w:szCs w:val="11"/>
                <w:color w:val="auto"/>
              </w:rPr>
            </w:pPr>
          </w:p>
        </w:tc>
      </w:tr>
      <w:tr>
        <w:trPr>
          <w:trHeight w:val="161"/>
        </w:trPr>
        <w:tc>
          <w:tcPr>
            <w:tcW w:w="65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9"/>
              <w:spacing w:after="0"/>
              <w:rPr>
                <w:sz w:val="20"/>
                <w:szCs w:val="20"/>
                <w:color w:val="auto"/>
              </w:rPr>
            </w:pPr>
            <w:r>
              <w:rPr>
                <w:rFonts w:ascii="Arial" w:cs="Arial" w:eastAsia="Arial" w:hAnsi="Arial"/>
                <w:sz w:val="14"/>
                <w:szCs w:val="14"/>
                <w:b w:val="1"/>
                <w:bCs w:val="1"/>
                <w:color w:val="auto"/>
              </w:rPr>
              <w:t>2013</w:t>
            </w:r>
          </w:p>
        </w:tc>
        <w:tc>
          <w:tcPr>
            <w:tcW w:w="6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210"/>
        </w:trPr>
        <w:tc>
          <w:tcPr>
            <w:tcW w:w="65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Euro</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5,718</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r>
      <w:tr>
        <w:trPr>
          <w:trHeight w:val="216"/>
        </w:trPr>
        <w:tc>
          <w:tcPr>
            <w:tcW w:w="6500" w:type="dxa"/>
            <w:vAlign w:val="bottom"/>
          </w:tcPr>
          <w:p>
            <w:pPr>
              <w:spacing w:after="0"/>
              <w:rPr>
                <w:sz w:val="20"/>
                <w:szCs w:val="20"/>
                <w:color w:val="auto"/>
              </w:rPr>
            </w:pPr>
            <w:r>
              <w:rPr>
                <w:rFonts w:ascii="Arial" w:cs="Arial" w:eastAsia="Arial" w:hAnsi="Arial"/>
                <w:sz w:val="18"/>
                <w:szCs w:val="18"/>
                <w:color w:val="auto"/>
              </w:rPr>
              <w:t>Israeli shekel</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58,898</w:t>
            </w: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ind w:left="60"/>
              <w:spacing w:after="0"/>
              <w:rPr>
                <w:sz w:val="20"/>
                <w:szCs w:val="20"/>
                <w:color w:val="auto"/>
              </w:rPr>
            </w:pPr>
            <w:r>
              <w:rPr>
                <w:rFonts w:ascii="Arial" w:cs="Arial" w:eastAsia="Arial" w:hAnsi="Arial"/>
                <w:sz w:val="18"/>
                <w:szCs w:val="18"/>
                <w:color w:val="auto"/>
                <w:w w:val="83"/>
              </w:rPr>
              <w:t>38,249</w:t>
            </w:r>
          </w:p>
        </w:tc>
        <w:tc>
          <w:tcPr>
            <w:tcW w:w="100" w:type="dxa"/>
            <w:vAlign w:val="bottom"/>
          </w:tcPr>
          <w:p>
            <w:pPr>
              <w:spacing w:after="0"/>
              <w:rPr>
                <w:sz w:val="18"/>
                <w:szCs w:val="18"/>
                <w:color w:val="auto"/>
              </w:rPr>
            </w:pPr>
          </w:p>
        </w:tc>
      </w:tr>
      <w:tr>
        <w:trPr>
          <w:trHeight w:val="216"/>
        </w:trPr>
        <w:tc>
          <w:tcPr>
            <w:tcW w:w="6500" w:type="dxa"/>
            <w:vAlign w:val="bottom"/>
            <w:shd w:val="clear" w:color="auto" w:fill="CCEEFF"/>
          </w:tcPr>
          <w:p>
            <w:pPr>
              <w:spacing w:after="0"/>
              <w:rPr>
                <w:sz w:val="20"/>
                <w:szCs w:val="20"/>
                <w:color w:val="auto"/>
              </w:rPr>
            </w:pPr>
            <w:r>
              <w:rPr>
                <w:rFonts w:ascii="Arial" w:cs="Arial" w:eastAsia="Arial" w:hAnsi="Arial"/>
                <w:sz w:val="18"/>
                <w:szCs w:val="18"/>
                <w:color w:val="auto"/>
              </w:rPr>
              <w:t>Swedish krona</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3,968</w:t>
            </w:r>
          </w:p>
        </w:tc>
        <w:tc>
          <w:tcPr>
            <w:tcW w:w="6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r>
      <w:tr>
        <w:trPr>
          <w:trHeight w:val="222"/>
        </w:trPr>
        <w:tc>
          <w:tcPr>
            <w:tcW w:w="6500" w:type="dxa"/>
            <w:vAlign w:val="bottom"/>
          </w:tcPr>
          <w:p>
            <w:pPr>
              <w:spacing w:after="0"/>
              <w:rPr>
                <w:sz w:val="19"/>
                <w:szCs w:val="19"/>
                <w:color w:val="auto"/>
              </w:rPr>
            </w:pP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68,584</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tcPr>
          <w:p>
            <w:pPr>
              <w:ind w:left="60"/>
              <w:spacing w:after="0"/>
              <w:rPr>
                <w:sz w:val="20"/>
                <w:szCs w:val="20"/>
                <w:color w:val="auto"/>
              </w:rPr>
            </w:pPr>
            <w:r>
              <w:rPr>
                <w:rFonts w:ascii="Arial" w:cs="Arial" w:eastAsia="Arial" w:hAnsi="Arial"/>
                <w:sz w:val="18"/>
                <w:szCs w:val="18"/>
                <w:color w:val="auto"/>
                <w:w w:val="83"/>
              </w:rPr>
              <w:t>38,249</w:t>
            </w:r>
          </w:p>
        </w:tc>
        <w:tc>
          <w:tcPr>
            <w:tcW w:w="100" w:type="dxa"/>
            <w:vAlign w:val="bottom"/>
          </w:tcPr>
          <w:p>
            <w:pPr>
              <w:spacing w:after="0"/>
              <w:rPr>
                <w:sz w:val="19"/>
                <w:szCs w:val="19"/>
                <w:color w:val="auto"/>
              </w:rPr>
            </w:pPr>
          </w:p>
        </w:tc>
      </w:tr>
      <w:tr>
        <w:trPr>
          <w:trHeight w:val="20"/>
        </w:trPr>
        <w:tc>
          <w:tcPr>
            <w:tcW w:w="65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60"/>
          </w:cols>
          <w:pgMar w:left="240" w:top="459" w:right="29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2—Include 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to value these instruments consist of market yields, reported trades and broker/dealer quotes, which are corroborated with observable market data. In addition, forward contracts and the severance pay fund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0.3% of total assets as of November 2, 2013.</w:t>
      </w:r>
    </w:p>
    <w:p>
      <w:pPr>
        <w:spacing w:after="0" w:line="120"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tables below set forth, by level, the Company’s assets that were accounted for at fair value as of November 2, 2013 and February 2, 2013. The tables do not include assets and liabilities that are measured at historical cost or any basis other than fair value (in thousands):</w:t>
      </w:r>
    </w:p>
    <w:p>
      <w:pPr>
        <w:spacing w:after="0" w:line="156"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280" w:type="dxa"/>
            <w:vAlign w:val="bottom"/>
            <w:gridSpan w:val="3"/>
          </w:tcPr>
          <w:p>
            <w:pPr>
              <w:ind w:left="20"/>
              <w:spacing w:after="0"/>
              <w:rPr>
                <w:sz w:val="20"/>
                <w:szCs w:val="20"/>
                <w:color w:val="auto"/>
              </w:rPr>
            </w:pPr>
            <w:r>
              <w:rPr>
                <w:rFonts w:ascii="Arial" w:cs="Arial" w:eastAsia="Arial" w:hAnsi="Arial"/>
                <w:sz w:val="14"/>
                <w:szCs w:val="14"/>
                <w:b w:val="1"/>
                <w:bCs w:val="1"/>
                <w:color w:val="auto"/>
                <w:w w:val="97"/>
              </w:rPr>
              <w:t>Portion of Carrying</w:t>
            </w:r>
          </w:p>
        </w:tc>
        <w:tc>
          <w:tcPr>
            <w:tcW w:w="0" w:type="dxa"/>
            <w:vAlign w:val="bottom"/>
          </w:tcPr>
          <w:p>
            <w:pPr>
              <w:spacing w:after="0"/>
              <w:rPr>
                <w:sz w:val="1"/>
                <w:szCs w:val="1"/>
                <w:color w:val="auto"/>
              </w:rPr>
            </w:pPr>
          </w:p>
        </w:tc>
      </w:tr>
      <w:tr>
        <w:trPr>
          <w:trHeight w:val="149"/>
        </w:trPr>
        <w:tc>
          <w:tcPr>
            <w:tcW w:w="40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28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40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0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61"/>
        </w:trPr>
        <w:tc>
          <w:tcPr>
            <w:tcW w:w="40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ind w:left="20"/>
              <w:spacing w:after="0"/>
              <w:rPr>
                <w:sz w:val="20"/>
                <w:szCs w:val="20"/>
                <w:color w:val="auto"/>
              </w:rPr>
            </w:pPr>
            <w:r>
              <w:rPr>
                <w:rFonts w:ascii="Arial" w:cs="Arial" w:eastAsia="Arial" w:hAnsi="Arial"/>
                <w:sz w:val="14"/>
                <w:szCs w:val="14"/>
                <w:b w:val="1"/>
                <w:bCs w:val="1"/>
                <w:color w:val="auto"/>
              </w:rPr>
              <w:t>Level 1</w:t>
            </w:r>
          </w:p>
        </w:tc>
        <w:tc>
          <w:tcPr>
            <w:tcW w:w="100" w:type="dxa"/>
            <w:vAlign w:val="bottom"/>
          </w:tcPr>
          <w:p>
            <w:pPr>
              <w:spacing w:after="0"/>
              <w:rPr>
                <w:sz w:val="14"/>
                <w:szCs w:val="14"/>
                <w:color w:val="auto"/>
              </w:rPr>
            </w:pPr>
          </w:p>
        </w:tc>
        <w:tc>
          <w:tcPr>
            <w:tcW w:w="1060" w:type="dxa"/>
            <w:vAlign w:val="bottom"/>
            <w:gridSpan w:val="2"/>
          </w:tcPr>
          <w:p>
            <w:pPr>
              <w:ind w:left="20"/>
              <w:spacing w:after="0"/>
              <w:rPr>
                <w:sz w:val="20"/>
                <w:szCs w:val="20"/>
                <w:color w:val="auto"/>
              </w:rPr>
            </w:pPr>
            <w:r>
              <w:rPr>
                <w:rFonts w:ascii="Arial" w:cs="Arial" w:eastAsia="Arial" w:hAnsi="Arial"/>
                <w:sz w:val="14"/>
                <w:szCs w:val="14"/>
                <w:b w:val="1"/>
                <w:bCs w:val="1"/>
                <w:color w:val="auto"/>
              </w:rPr>
              <w:t>Level 2</w:t>
            </w:r>
          </w:p>
        </w:tc>
        <w:tc>
          <w:tcPr>
            <w:tcW w:w="82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rPr>
              <w:t>Level 3</w:t>
            </w:r>
          </w:p>
        </w:tc>
        <w:tc>
          <w:tcPr>
            <w:tcW w:w="260" w:type="dxa"/>
            <w:vAlign w:val="bottom"/>
          </w:tcPr>
          <w:p>
            <w:pPr>
              <w:spacing w:after="0"/>
              <w:rPr>
                <w:sz w:val="14"/>
                <w:szCs w:val="14"/>
                <w:color w:val="auto"/>
              </w:rPr>
            </w:pPr>
          </w:p>
        </w:tc>
        <w:tc>
          <w:tcPr>
            <w:tcW w:w="1280" w:type="dxa"/>
            <w:vAlign w:val="bottom"/>
            <w:gridSpan w:val="3"/>
          </w:tcPr>
          <w:p>
            <w:pPr>
              <w:spacing w:after="0"/>
              <w:rPr>
                <w:sz w:val="20"/>
                <w:szCs w:val="20"/>
                <w:color w:val="auto"/>
              </w:rPr>
            </w:pPr>
            <w:r>
              <w:rPr>
                <w:rFonts w:ascii="Arial" w:cs="Arial" w:eastAsia="Arial" w:hAnsi="Arial"/>
                <w:sz w:val="14"/>
                <w:szCs w:val="14"/>
                <w:b w:val="1"/>
                <w:bCs w:val="1"/>
                <w:color w:val="auto"/>
                <w:w w:val="93"/>
              </w:rPr>
              <w:t>at November 2, 2013</w:t>
            </w:r>
          </w:p>
        </w:tc>
        <w:tc>
          <w:tcPr>
            <w:tcW w:w="0" w:type="dxa"/>
            <w:vAlign w:val="bottom"/>
          </w:tcPr>
          <w:p>
            <w:pPr>
              <w:spacing w:after="0"/>
              <w:rPr>
                <w:sz w:val="1"/>
                <w:szCs w:val="1"/>
                <w:color w:val="auto"/>
              </w:rPr>
            </w:pPr>
          </w:p>
        </w:tc>
      </w:tr>
      <w:tr>
        <w:trPr>
          <w:trHeight w:val="196"/>
        </w:trPr>
        <w:tc>
          <w:tcPr>
            <w:tcW w:w="40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8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Assets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Money market funds</w:t>
            </w:r>
          </w:p>
        </w:tc>
        <w:tc>
          <w:tcPr>
            <w:tcW w:w="9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rPr>
              <w:t>8,378</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8,378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Time deposits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86"/>
              </w:rPr>
              <w:t>216,359</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216,359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Municipal debt securities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rPr>
              <w:t>5,700</w:t>
            </w:r>
          </w:p>
        </w:tc>
        <w:tc>
          <w:tcPr>
            <w:tcW w:w="10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5,700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1,600</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Short-term investments: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86"/>
              </w:rPr>
              <w:t>309,263</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309,263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w w:val="86"/>
              </w:rPr>
              <w:t>589,492</w:t>
            </w:r>
          </w:p>
        </w:tc>
        <w:tc>
          <w:tcPr>
            <w:tcW w:w="10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589,492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Asset backed securities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74,444</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74,444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Foreign government and agency debt</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rPr>
              <w:t>20,292</w:t>
            </w:r>
          </w:p>
        </w:tc>
        <w:tc>
          <w:tcPr>
            <w:tcW w:w="100" w:type="dxa"/>
            <w:vAlign w:val="bottom"/>
          </w:tcPr>
          <w:p>
            <w:pPr>
              <w:spacing w:after="0"/>
              <w:rPr>
                <w:sz w:val="18"/>
                <w:szCs w:val="18"/>
                <w:color w:val="auto"/>
              </w:rPr>
            </w:pPr>
          </w:p>
        </w:tc>
        <w:tc>
          <w:tcPr>
            <w:tcW w:w="7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14,247</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Forward contracts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1,618</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Long-term investments: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3"/>
              </w:rPr>
              <w:t>16,158</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8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2,104</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080" w:type="dxa"/>
            <w:vAlign w:val="bottom"/>
          </w:tcPr>
          <w:p>
            <w:pPr>
              <w:spacing w:after="0"/>
              <w:rPr>
                <w:sz w:val="20"/>
                <w:szCs w:val="20"/>
                <w:color w:val="auto"/>
              </w:rPr>
            </w:pPr>
            <w:r>
              <w:rPr>
                <w:rFonts w:ascii="Arial" w:cs="Arial" w:eastAsia="Arial" w:hAnsi="Arial"/>
                <w:sz w:val="18"/>
                <w:szCs w:val="18"/>
                <w:color w:val="auto"/>
              </w:rPr>
              <w:t>Total assets</w:t>
            </w:r>
          </w:p>
        </w:tc>
        <w:tc>
          <w:tcPr>
            <w:tcW w:w="92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w w:val="86"/>
              </w:rPr>
              <w:t>317,641</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1060" w:type="dxa"/>
            <w:vAlign w:val="bottom"/>
            <w:gridSpan w:val="2"/>
          </w:tcPr>
          <w:p>
            <w:pPr>
              <w:jc w:val="right"/>
              <w:ind w:right="480"/>
              <w:spacing w:after="0"/>
              <w:rPr>
                <w:sz w:val="20"/>
                <w:szCs w:val="20"/>
                <w:color w:val="auto"/>
              </w:rPr>
            </w:pPr>
            <w:r>
              <w:rPr>
                <w:rFonts w:ascii="Arial" w:cs="Arial" w:eastAsia="Arial" w:hAnsi="Arial"/>
                <w:sz w:val="18"/>
                <w:szCs w:val="18"/>
                <w:color w:val="auto"/>
                <w:w w:val="86"/>
              </w:rPr>
              <w:t>925,856</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gridSpan w:val="2"/>
          </w:tcPr>
          <w:p>
            <w:pPr>
              <w:jc w:val="right"/>
              <w:ind w:right="240"/>
              <w:spacing w:after="0"/>
              <w:rPr>
                <w:sz w:val="20"/>
                <w:szCs w:val="20"/>
                <w:color w:val="auto"/>
              </w:rPr>
            </w:pPr>
            <w:r>
              <w:rPr>
                <w:rFonts w:ascii="Arial" w:cs="Arial" w:eastAsia="Arial" w:hAnsi="Arial"/>
                <w:sz w:val="18"/>
                <w:szCs w:val="18"/>
                <w:color w:val="auto"/>
                <w:w w:val="83"/>
              </w:rPr>
              <w:t>16,158</w:t>
            </w:r>
          </w:p>
        </w:tc>
        <w:tc>
          <w:tcPr>
            <w:tcW w:w="44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1,259,655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80" w:type="dxa"/>
            <w:vAlign w:val="bottom"/>
          </w:tcPr>
          <w:p>
            <w:pPr>
              <w:spacing w:after="0" w:line="20" w:lineRule="exact"/>
              <w:rPr>
                <w:sz w:val="1"/>
                <w:szCs w:val="1"/>
                <w:color w:val="auto"/>
              </w:rPr>
            </w:pPr>
          </w:p>
        </w:tc>
        <w:tc>
          <w:tcPr>
            <w:tcW w:w="820" w:type="dxa"/>
            <w:vAlign w:val="bottom"/>
            <w:vMerge w:val="restart"/>
          </w:tcPr>
          <w:p>
            <w:pPr>
              <w:jc w:val="right"/>
              <w:spacing w:after="0"/>
              <w:rPr>
                <w:sz w:val="20"/>
                <w:szCs w:val="20"/>
                <w:color w:val="auto"/>
              </w:rPr>
            </w:pPr>
            <w:r>
              <w:rPr>
                <w:rFonts w:ascii="Arial" w:cs="Arial" w:eastAsia="Arial" w:hAnsi="Arial"/>
                <w:sz w:val="18"/>
                <w:szCs w:val="18"/>
                <w:color w:val="auto"/>
              </w:rPr>
              <w:t>13</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080" w:type="dxa"/>
            <w:vAlign w:val="bottom"/>
          </w:tcPr>
          <w:p>
            <w:pPr>
              <w:spacing w:after="0"/>
              <w:rPr>
                <w:sz w:val="24"/>
                <w:szCs w:val="24"/>
                <w:color w:val="auto"/>
              </w:rPr>
            </w:pPr>
          </w:p>
        </w:tc>
        <w:tc>
          <w:tcPr>
            <w:tcW w:w="8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720" w:type="dxa"/>
            <w:vAlign w:val="bottom"/>
            <w:gridSpan w:val="4"/>
          </w:tcPr>
          <w:p>
            <w:pPr>
              <w:ind w:left="480"/>
              <w:spacing w:after="0"/>
              <w:rPr>
                <w:sz w:val="20"/>
                <w:szCs w:val="20"/>
                <w:color w:val="auto"/>
              </w:rPr>
            </w:pPr>
            <w:r>
              <w:rPr>
                <w:rFonts w:ascii="Arial" w:cs="Arial" w:eastAsia="Arial" w:hAnsi="Arial"/>
                <w:sz w:val="14"/>
                <w:szCs w:val="14"/>
                <w:b w:val="1"/>
                <w:bCs w:val="1"/>
                <w:color w:val="auto"/>
                <w:w w:val="95"/>
              </w:rPr>
              <w:t>Portion of Carrying</w:t>
            </w: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r>
      <w:tr>
        <w:trPr>
          <w:trHeight w:val="149"/>
        </w:trPr>
        <w:tc>
          <w:tcPr>
            <w:tcW w:w="20" w:type="dxa"/>
            <w:vAlign w:val="bottom"/>
          </w:tcPr>
          <w:p>
            <w:pPr>
              <w:spacing w:after="0"/>
              <w:rPr>
                <w:sz w:val="12"/>
                <w:szCs w:val="12"/>
                <w:color w:val="auto"/>
              </w:rPr>
            </w:pPr>
          </w:p>
        </w:tc>
        <w:tc>
          <w:tcPr>
            <w:tcW w:w="466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9"/>
              </w:rPr>
              <w:t>Fair Value</w:t>
            </w:r>
          </w:p>
        </w:tc>
      </w:t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w w:val="92"/>
              </w:rPr>
              <w:t>Level 1</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4"/>
              <w:spacing w:after="0"/>
              <w:rPr>
                <w:sz w:val="20"/>
                <w:szCs w:val="20"/>
                <w:color w:val="auto"/>
              </w:rPr>
            </w:pPr>
            <w:r>
              <w:rPr>
                <w:rFonts w:ascii="Arial" w:cs="Arial" w:eastAsia="Arial" w:hAnsi="Arial"/>
                <w:sz w:val="14"/>
                <w:szCs w:val="14"/>
                <w:b w:val="1"/>
                <w:bCs w:val="1"/>
                <w:color w:val="auto"/>
                <w:w w:val="88"/>
              </w:rPr>
              <w:t>Level 2</w:t>
            </w:r>
          </w:p>
        </w:tc>
        <w:tc>
          <w:tcPr>
            <w:tcW w:w="46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480" w:type="dxa"/>
            <w:vAlign w:val="bottom"/>
          </w:tcPr>
          <w:p>
            <w:pPr>
              <w:spacing w:after="0"/>
              <w:rPr>
                <w:sz w:val="14"/>
                <w:szCs w:val="14"/>
                <w:color w:val="auto"/>
              </w:rPr>
            </w:pPr>
          </w:p>
        </w:tc>
        <w:tc>
          <w:tcPr>
            <w:tcW w:w="1240" w:type="dxa"/>
            <w:vAlign w:val="bottom"/>
            <w:gridSpan w:val="3"/>
          </w:tcPr>
          <w:p>
            <w:pPr>
              <w:spacing w:after="0"/>
              <w:rPr>
                <w:sz w:val="20"/>
                <w:szCs w:val="20"/>
                <w:color w:val="auto"/>
              </w:rPr>
            </w:pPr>
            <w:r>
              <w:rPr>
                <w:rFonts w:ascii="Arial" w:cs="Arial" w:eastAsia="Arial" w:hAnsi="Arial"/>
                <w:sz w:val="14"/>
                <w:szCs w:val="14"/>
                <w:b w:val="1"/>
                <w:bCs w:val="1"/>
                <w:color w:val="auto"/>
                <w:w w:val="96"/>
              </w:rPr>
              <w:t>at February 2, 2013</w:t>
            </w:r>
          </w:p>
        </w:tc>
      </w:tr>
      <w:tr>
        <w:trPr>
          <w:trHeight w:val="196"/>
        </w:trPr>
        <w:tc>
          <w:tcPr>
            <w:tcW w:w="20" w:type="dxa"/>
            <w:vAlign w:val="bottom"/>
          </w:tcPr>
          <w:p>
            <w:pPr>
              <w:spacing w:after="0"/>
              <w:rPr>
                <w:sz w:val="17"/>
                <w:szCs w:val="17"/>
                <w:color w:val="auto"/>
              </w:rPr>
            </w:pPr>
          </w:p>
        </w:tc>
        <w:tc>
          <w:tcPr>
            <w:tcW w:w="46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9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Assets</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27,029</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40" w:type="dxa"/>
            <w:vAlign w:val="bottom"/>
            <w:gridSpan w:val="2"/>
          </w:tcPr>
          <w:p>
            <w:pPr>
              <w:ind w:left="48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27,029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Money market funds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21,523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21,523</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119,874</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119,874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318,479</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318,479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579,624</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579,624</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Time deposits</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188,000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188,000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76,615</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76,615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4,319</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4,319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Forward contracts</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1,144</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1,144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Auction rate securities</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16,769</w:t>
            </w:r>
          </w:p>
        </w:tc>
        <w:tc>
          <w:tcPr>
            <w:tcW w:w="4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16,769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Severance pay fund</w:t>
            </w:r>
          </w:p>
        </w:tc>
        <w:tc>
          <w:tcPr>
            <w:tcW w:w="1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1,977</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1,977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367,031</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971,553</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16,769</w:t>
            </w:r>
          </w:p>
        </w:tc>
        <w:tc>
          <w:tcPr>
            <w:tcW w:w="64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1,355,353</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change in fair value for Level 3 items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4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50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Nine Months Ended</w:t>
            </w:r>
          </w:p>
        </w:tc>
        <w:tc>
          <w:tcPr>
            <w:tcW w:w="48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4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12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November 2,</w:t>
            </w:r>
          </w:p>
        </w:tc>
        <w:tc>
          <w:tcPr>
            <w:tcW w:w="1000" w:type="dxa"/>
            <w:vAlign w:val="bottom"/>
            <w:gridSpan w:val="3"/>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4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9"/>
              <w:spacing w:after="0"/>
              <w:rPr>
                <w:sz w:val="20"/>
                <w:szCs w:val="20"/>
                <w:color w:val="auto"/>
              </w:rPr>
            </w:pPr>
            <w:r>
              <w:rPr>
                <w:rFonts w:ascii="Arial" w:cs="Arial" w:eastAsia="Arial" w:hAnsi="Arial"/>
                <w:sz w:val="14"/>
                <w:szCs w:val="14"/>
                <w:b w:val="1"/>
                <w:bCs w:val="1"/>
                <w:color w:val="auto"/>
              </w:rPr>
              <w:t>2013</w:t>
            </w:r>
          </w:p>
        </w:tc>
        <w:tc>
          <w:tcPr>
            <w:tcW w:w="40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83"/>
              </w:rPr>
              <w:t>2012</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4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16,769</w:t>
            </w:r>
          </w:p>
        </w:tc>
        <w:tc>
          <w:tcPr>
            <w:tcW w:w="4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23,215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20" w:type="dxa"/>
            <w:vAlign w:val="bottom"/>
          </w:tcPr>
          <w:p>
            <w:pPr>
              <w:spacing w:after="0"/>
              <w:rPr>
                <w:sz w:val="20"/>
                <w:szCs w:val="20"/>
                <w:color w:val="auto"/>
              </w:rPr>
            </w:pPr>
            <w:r>
              <w:rPr>
                <w:rFonts w:ascii="Arial" w:cs="Arial" w:eastAsia="Arial" w:hAnsi="Arial"/>
                <w:sz w:val="18"/>
                <w:szCs w:val="18"/>
                <w:color w:val="auto"/>
              </w:rPr>
              <w:t>Sales and redemptions</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80" w:type="dxa"/>
            <w:vAlign w:val="bottom"/>
            <w:gridSpan w:val="2"/>
          </w:tcPr>
          <w:p>
            <w:pPr>
              <w:jc w:val="right"/>
              <w:ind w:right="340"/>
              <w:spacing w:after="0"/>
              <w:rPr>
                <w:sz w:val="20"/>
                <w:szCs w:val="20"/>
                <w:color w:val="auto"/>
              </w:rPr>
            </w:pPr>
            <w:r>
              <w:rPr>
                <w:rFonts w:ascii="Arial" w:cs="Arial" w:eastAsia="Arial" w:hAnsi="Arial"/>
                <w:sz w:val="18"/>
                <w:szCs w:val="18"/>
                <w:color w:val="auto"/>
              </w:rPr>
              <w:t>(300)</w:t>
            </w:r>
          </w:p>
        </w:tc>
        <w:tc>
          <w:tcPr>
            <w:tcW w:w="3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w w:val="91"/>
              </w:rPr>
              <w:t>(5,000)</w:t>
            </w:r>
          </w:p>
        </w:tc>
        <w:tc>
          <w:tcPr>
            <w:tcW w:w="0" w:type="dxa"/>
            <w:vAlign w:val="bottom"/>
          </w:tcPr>
          <w:p>
            <w:pPr>
              <w:spacing w:after="0"/>
              <w:rPr>
                <w:sz w:val="1"/>
                <w:szCs w:val="1"/>
                <w:color w:val="auto"/>
              </w:rPr>
            </w:pPr>
          </w:p>
        </w:tc>
      </w:tr>
      <w:tr>
        <w:trPr>
          <w:trHeight w:val="216"/>
        </w:trPr>
        <w:tc>
          <w:tcPr>
            <w:tcW w:w="642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losses included in accumulated other comprehensive income</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(311)</w:t>
            </w:r>
          </w:p>
        </w:tc>
        <w:tc>
          <w:tcPr>
            <w:tcW w:w="3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(112)</w:t>
            </w:r>
          </w:p>
        </w:tc>
        <w:tc>
          <w:tcPr>
            <w:tcW w:w="0" w:type="dxa"/>
            <w:vAlign w:val="bottom"/>
          </w:tcPr>
          <w:p>
            <w:pPr>
              <w:spacing w:after="0"/>
              <w:rPr>
                <w:sz w:val="1"/>
                <w:szCs w:val="1"/>
                <w:color w:val="auto"/>
              </w:rPr>
            </w:pPr>
          </w:p>
        </w:tc>
      </w:tr>
      <w:tr>
        <w:trPr>
          <w:trHeight w:val="20"/>
        </w:trPr>
        <w:tc>
          <w:tcPr>
            <w:tcW w:w="6420" w:type="dxa"/>
            <w:vAlign w:val="bottom"/>
            <w:vMerge w:val="restart"/>
          </w:tcPr>
          <w:p>
            <w:pPr>
              <w:spacing w:after="0"/>
              <w:rPr>
                <w:sz w:val="20"/>
                <w:szCs w:val="20"/>
                <w:color w:val="auto"/>
              </w:rPr>
            </w:pPr>
            <w:r>
              <w:rPr>
                <w:rFonts w:ascii="Arial" w:cs="Arial" w:eastAsia="Arial" w:hAnsi="Arial"/>
                <w:sz w:val="18"/>
                <w:szCs w:val="18"/>
                <w:color w:val="auto"/>
              </w:rPr>
              <w:t>Ending balance</w:t>
            </w:r>
          </w:p>
        </w:tc>
        <w:tc>
          <w:tcPr>
            <w:tcW w:w="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420" w:type="dxa"/>
            <w:vAlign w:val="bottom"/>
            <w:vMerge w:val="continue"/>
          </w:tcPr>
          <w:p>
            <w:pPr>
              <w:spacing w:after="0"/>
              <w:rPr>
                <w:sz w:val="19"/>
                <w:szCs w:val="19"/>
                <w:color w:val="auto"/>
              </w:rPr>
            </w:pP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16,158</w:t>
            </w:r>
          </w:p>
        </w:tc>
        <w:tc>
          <w:tcPr>
            <w:tcW w:w="400" w:type="dxa"/>
            <w:vAlign w:val="bottom"/>
          </w:tcPr>
          <w:p>
            <w:pPr>
              <w:spacing w:after="0"/>
              <w:rPr>
                <w:sz w:val="19"/>
                <w:szCs w:val="19"/>
                <w:color w:val="auto"/>
              </w:rPr>
            </w:pPr>
          </w:p>
        </w:tc>
        <w:tc>
          <w:tcPr>
            <w:tcW w:w="520" w:type="dxa"/>
            <w:vAlign w:val="bottom"/>
            <w:gridSpan w:val="2"/>
          </w:tcPr>
          <w:p>
            <w:pPr>
              <w:jc w:val="right"/>
              <w:ind w:right="23"/>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18,103</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4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Goodwill</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activity related to the carrying value of goodwill (in thousands):</w:t>
      </w:r>
    </w:p>
    <w:p>
      <w:pPr>
        <w:spacing w:after="0" w:line="220"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2013</w:t>
            </w:r>
          </w:p>
        </w:tc>
        <w:tc>
          <w:tcPr>
            <w:tcW w:w="4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$2,032,138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280" w:type="dxa"/>
            <w:vAlign w:val="bottom"/>
          </w:tcPr>
          <w:p>
            <w:pPr>
              <w:spacing w:after="0"/>
              <w:rPr>
                <w:sz w:val="20"/>
                <w:szCs w:val="20"/>
                <w:color w:val="auto"/>
              </w:rPr>
            </w:pPr>
            <w:r>
              <w:rPr>
                <w:rFonts w:ascii="Arial" w:cs="Arial" w:eastAsia="Arial" w:hAnsi="Arial"/>
                <w:sz w:val="18"/>
                <w:szCs w:val="18"/>
                <w:color w:val="auto"/>
              </w:rPr>
              <w:t>Additions due to business combinations</w:t>
            </w:r>
          </w:p>
        </w:tc>
        <w:tc>
          <w:tcPr>
            <w:tcW w:w="3560" w:type="dxa"/>
            <w:vAlign w:val="bottom"/>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spacing w:after="0"/>
              <w:rPr>
                <w:sz w:val="20"/>
                <w:szCs w:val="20"/>
                <w:color w:val="auto"/>
              </w:rPr>
            </w:pPr>
            <w:r>
              <w:rPr>
                <w:rFonts w:ascii="Arial" w:cs="Arial" w:eastAsia="Arial" w:hAnsi="Arial"/>
                <w:sz w:val="18"/>
                <w:szCs w:val="18"/>
                <w:color w:val="auto"/>
              </w:rPr>
              <w:t>Balance at November 2, 2013</w:t>
            </w:r>
          </w:p>
        </w:tc>
        <w:tc>
          <w:tcPr>
            <w:tcW w:w="43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2,032,538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280" w:type="dxa"/>
            <w:vAlign w:val="bottom"/>
          </w:tcPr>
          <w:p>
            <w:pPr>
              <w:spacing w:after="0" w:line="20" w:lineRule="exact"/>
              <w:rPr>
                <w:sz w:val="1"/>
                <w:szCs w:val="1"/>
                <w:color w:val="auto"/>
              </w:rPr>
            </w:pPr>
          </w:p>
        </w:tc>
        <w:tc>
          <w:tcPr>
            <w:tcW w:w="3560" w:type="dxa"/>
            <w:vAlign w:val="bottom"/>
            <w:vMerge w:val="restart"/>
          </w:tcPr>
          <w:p>
            <w:pPr>
              <w:jc w:val="right"/>
              <w:ind w:right="2812"/>
              <w:spacing w:after="0"/>
              <w:rPr>
                <w:sz w:val="20"/>
                <w:szCs w:val="20"/>
                <w:color w:val="auto"/>
              </w:rPr>
            </w:pPr>
            <w:r>
              <w:rPr>
                <w:rFonts w:ascii="Arial" w:cs="Arial" w:eastAsia="Arial" w:hAnsi="Arial"/>
                <w:sz w:val="18"/>
                <w:szCs w:val="18"/>
                <w:color w:val="auto"/>
              </w:rPr>
              <w:t>14</w:t>
            </w: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3280" w:type="dxa"/>
            <w:vAlign w:val="bottom"/>
          </w:tcPr>
          <w:p>
            <w:pPr>
              <w:spacing w:after="0"/>
              <w:rPr>
                <w:sz w:val="24"/>
                <w:szCs w:val="24"/>
                <w:color w:val="auto"/>
              </w:rPr>
            </w:pPr>
          </w:p>
        </w:tc>
        <w:tc>
          <w:tcPr>
            <w:tcW w:w="3560" w:type="dxa"/>
            <w:vAlign w:val="bottom"/>
            <w:vMerge w:val="continue"/>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 of acquired intangible assets, net,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4"/>
          </w:tcPr>
          <w:p>
            <w:pPr>
              <w:jc w:val="right"/>
              <w:ind w:right="220"/>
              <w:spacing w:after="0"/>
              <w:rPr>
                <w:sz w:val="20"/>
                <w:szCs w:val="20"/>
                <w:color w:val="auto"/>
              </w:rPr>
            </w:pPr>
            <w:r>
              <w:rPr>
                <w:rFonts w:ascii="Arial" w:cs="Arial" w:eastAsia="Arial" w:hAnsi="Arial"/>
                <w:sz w:val="14"/>
                <w:szCs w:val="14"/>
                <w:b w:val="1"/>
                <w:bCs w:val="1"/>
                <w:color w:val="auto"/>
                <w:w w:val="95"/>
              </w:rPr>
              <w:t>November 2, 2013</w:t>
            </w:r>
          </w:p>
        </w:tc>
        <w:tc>
          <w:tcPr>
            <w:tcW w:w="58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4"/>
          </w:tcPr>
          <w:p>
            <w:pPr>
              <w:jc w:val="right"/>
              <w:ind w:right="120"/>
              <w:spacing w:after="0"/>
              <w:rPr>
                <w:sz w:val="20"/>
                <w:szCs w:val="20"/>
                <w:color w:val="auto"/>
              </w:rPr>
            </w:pPr>
            <w:r>
              <w:rPr>
                <w:rFonts w:ascii="Arial" w:cs="Arial" w:eastAsia="Arial" w:hAnsi="Arial"/>
                <w:sz w:val="14"/>
                <w:szCs w:val="14"/>
                <w:b w:val="1"/>
                <w:bCs w:val="1"/>
                <w:color w:val="auto"/>
              </w:rPr>
              <w:t>February 2, 2013</w:t>
            </w: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47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00" w:type="dxa"/>
            <w:vAlign w:val="bottom"/>
            <w:gridSpan w:val="3"/>
          </w:tcPr>
          <w:p>
            <w:pPr>
              <w:ind w:left="20"/>
              <w:spacing w:after="0" w:line="129" w:lineRule="exact"/>
              <w:rPr>
                <w:sz w:val="20"/>
                <w:szCs w:val="20"/>
                <w:color w:val="auto"/>
              </w:rPr>
            </w:pPr>
            <w:r>
              <w:rPr>
                <w:rFonts w:ascii="Arial" w:cs="Arial" w:eastAsia="Arial" w:hAnsi="Arial"/>
                <w:sz w:val="14"/>
                <w:szCs w:val="14"/>
                <w:b w:val="1"/>
                <w:bCs w:val="1"/>
                <w:color w:val="auto"/>
              </w:rPr>
              <w:t>Accumulated</w:t>
            </w: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960" w:type="dxa"/>
            <w:vAlign w:val="bottom"/>
            <w:gridSpan w:val="3"/>
          </w:tcPr>
          <w:p>
            <w:pPr>
              <w:jc w:val="center"/>
              <w:ind w:right="20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r>
      <w:tr>
        <w:trPr>
          <w:trHeight w:val="149"/>
        </w:trPr>
        <w:tc>
          <w:tcPr>
            <w:tcW w:w="47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Gross</w:t>
            </w:r>
          </w:p>
        </w:tc>
        <w:tc>
          <w:tcPr>
            <w:tcW w:w="280" w:type="dxa"/>
            <w:vAlign w:val="bottom"/>
          </w:tcPr>
          <w:p>
            <w:pPr>
              <w:spacing w:after="0"/>
              <w:rPr>
                <w:sz w:val="12"/>
                <w:szCs w:val="12"/>
                <w:color w:val="auto"/>
              </w:rPr>
            </w:pPr>
          </w:p>
        </w:tc>
        <w:tc>
          <w:tcPr>
            <w:tcW w:w="110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Amortization</w:t>
            </w: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Net</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jc w:val="center"/>
              <w:ind w:right="35"/>
              <w:spacing w:after="0" w:line="149" w:lineRule="exact"/>
              <w:rPr>
                <w:sz w:val="20"/>
                <w:szCs w:val="20"/>
                <w:color w:val="auto"/>
              </w:rPr>
            </w:pPr>
            <w:r>
              <w:rPr>
                <w:rFonts w:ascii="Arial" w:cs="Arial" w:eastAsia="Arial" w:hAnsi="Arial"/>
                <w:sz w:val="14"/>
                <w:szCs w:val="14"/>
                <w:b w:val="1"/>
                <w:bCs w:val="1"/>
                <w:color w:val="auto"/>
                <w:w w:val="83"/>
              </w:rPr>
              <w:t>Gross</w:t>
            </w:r>
          </w:p>
        </w:tc>
        <w:tc>
          <w:tcPr>
            <w:tcW w:w="300" w:type="dxa"/>
            <w:vAlign w:val="bottom"/>
          </w:tcPr>
          <w:p>
            <w:pPr>
              <w:spacing w:after="0"/>
              <w:rPr>
                <w:sz w:val="12"/>
                <w:szCs w:val="12"/>
                <w:color w:val="auto"/>
              </w:rPr>
            </w:pPr>
          </w:p>
        </w:tc>
        <w:tc>
          <w:tcPr>
            <w:tcW w:w="96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2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r>
      <w:tr>
        <w:trPr>
          <w:trHeight w:val="149"/>
        </w:trPr>
        <w:tc>
          <w:tcPr>
            <w:tcW w:w="4780" w:type="dxa"/>
            <w:vAlign w:val="bottom"/>
          </w:tcPr>
          <w:p>
            <w:pPr>
              <w:spacing w:after="0"/>
              <w:rPr>
                <w:sz w:val="12"/>
                <w:szCs w:val="12"/>
                <w:color w:val="auto"/>
              </w:rPr>
            </w:pPr>
          </w:p>
        </w:tc>
        <w:tc>
          <w:tcPr>
            <w:tcW w:w="9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Range of</w:t>
            </w:r>
          </w:p>
        </w:tc>
        <w:tc>
          <w:tcPr>
            <w:tcW w:w="20" w:type="dxa"/>
            <w:vAlign w:val="bottom"/>
          </w:tcPr>
          <w:p>
            <w:pPr>
              <w:spacing w:after="0"/>
              <w:rPr>
                <w:sz w:val="12"/>
                <w:szCs w:val="12"/>
                <w:color w:val="auto"/>
              </w:rPr>
            </w:pPr>
          </w:p>
        </w:tc>
        <w:tc>
          <w:tcPr>
            <w:tcW w:w="660" w:type="dxa"/>
            <w:vAlign w:val="bottom"/>
            <w:gridSpan w:val="3"/>
          </w:tcPr>
          <w:p>
            <w:pPr>
              <w:jc w:val="center"/>
              <w:ind w:right="40"/>
              <w:spacing w:after="0" w:line="149" w:lineRule="exact"/>
              <w:rPr>
                <w:sz w:val="20"/>
                <w:szCs w:val="20"/>
                <w:color w:val="auto"/>
              </w:rPr>
            </w:pPr>
            <w:r>
              <w:rPr>
                <w:rFonts w:ascii="Arial" w:cs="Arial" w:eastAsia="Arial" w:hAnsi="Arial"/>
                <w:sz w:val="14"/>
                <w:szCs w:val="14"/>
                <w:b w:val="1"/>
                <w:bCs w:val="1"/>
                <w:color w:val="auto"/>
                <w:w w:val="93"/>
              </w:rPr>
              <w:t>Carrying</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gridSpan w:val="2"/>
          </w:tcPr>
          <w:p>
            <w:pPr>
              <w:jc w:val="right"/>
              <w:ind w:right="600"/>
              <w:spacing w:after="0" w:line="149" w:lineRule="exact"/>
              <w:rPr>
                <w:sz w:val="20"/>
                <w:szCs w:val="20"/>
                <w:color w:val="auto"/>
              </w:rPr>
            </w:pPr>
            <w:r>
              <w:rPr>
                <w:rFonts w:ascii="Arial" w:cs="Arial" w:eastAsia="Arial" w:hAnsi="Arial"/>
                <w:sz w:val="14"/>
                <w:szCs w:val="14"/>
                <w:b w:val="1"/>
                <w:bCs w:val="1"/>
                <w:color w:val="auto"/>
              </w:rPr>
              <w:t>and</w:t>
            </w: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6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and</w:t>
            </w:r>
          </w:p>
        </w:tc>
        <w:tc>
          <w:tcPr>
            <w:tcW w:w="12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r>
      <w:tr>
        <w:trPr>
          <w:trHeight w:val="161"/>
        </w:trPr>
        <w:tc>
          <w:tcPr>
            <w:tcW w:w="4780" w:type="dxa"/>
            <w:vAlign w:val="bottom"/>
          </w:tcPr>
          <w:p>
            <w:pPr>
              <w:spacing w:after="0"/>
              <w:rPr>
                <w:sz w:val="14"/>
                <w:szCs w:val="14"/>
                <w:color w:val="auto"/>
              </w:rPr>
            </w:pPr>
          </w:p>
        </w:tc>
        <w:tc>
          <w:tcPr>
            <w:tcW w:w="9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Useful Lives</w:t>
            </w:r>
          </w:p>
        </w:tc>
        <w:tc>
          <w:tcPr>
            <w:tcW w:w="20" w:type="dxa"/>
            <w:vAlign w:val="bottom"/>
          </w:tcPr>
          <w:p>
            <w:pPr>
              <w:spacing w:after="0"/>
              <w:rPr>
                <w:sz w:val="14"/>
                <w:szCs w:val="14"/>
                <w:color w:val="auto"/>
              </w:rPr>
            </w:pPr>
          </w:p>
        </w:tc>
        <w:tc>
          <w:tcPr>
            <w:tcW w:w="660" w:type="dxa"/>
            <w:vAlign w:val="bottom"/>
            <w:gridSpan w:val="3"/>
          </w:tcPr>
          <w:p>
            <w:pPr>
              <w:jc w:val="center"/>
              <w:ind w:right="40"/>
              <w:spacing w:after="0"/>
              <w:rPr>
                <w:sz w:val="20"/>
                <w:szCs w:val="20"/>
                <w:color w:val="auto"/>
              </w:rPr>
            </w:pPr>
            <w:r>
              <w:rPr>
                <w:rFonts w:ascii="Arial" w:cs="Arial" w:eastAsia="Arial" w:hAnsi="Arial"/>
                <w:sz w:val="14"/>
                <w:szCs w:val="14"/>
                <w:b w:val="1"/>
                <w:bCs w:val="1"/>
                <w:color w:val="auto"/>
                <w:w w:val="88"/>
              </w:rPr>
              <w:t>Amounts</w:t>
            </w:r>
          </w:p>
        </w:tc>
        <w:tc>
          <w:tcPr>
            <w:tcW w:w="280" w:type="dxa"/>
            <w:vAlign w:val="bottom"/>
          </w:tcPr>
          <w:p>
            <w:pPr>
              <w:spacing w:after="0"/>
              <w:rPr>
                <w:sz w:val="14"/>
                <w:szCs w:val="14"/>
                <w:color w:val="auto"/>
              </w:rPr>
            </w:pPr>
          </w:p>
        </w:tc>
        <w:tc>
          <w:tcPr>
            <w:tcW w:w="110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Write-Offs</w:t>
            </w: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6"/>
              </w:rPr>
              <w:t>Amount</w:t>
            </w:r>
          </w:p>
        </w:tc>
        <w:tc>
          <w:tcPr>
            <w:tcW w:w="300" w:type="dxa"/>
            <w:vAlign w:val="bottom"/>
          </w:tcPr>
          <w:p>
            <w:pPr>
              <w:spacing w:after="0"/>
              <w:rPr>
                <w:sz w:val="14"/>
                <w:szCs w:val="14"/>
                <w:color w:val="auto"/>
              </w:rPr>
            </w:pPr>
          </w:p>
        </w:tc>
        <w:tc>
          <w:tcPr>
            <w:tcW w:w="680" w:type="dxa"/>
            <w:vAlign w:val="bottom"/>
            <w:gridSpan w:val="2"/>
          </w:tcPr>
          <w:p>
            <w:pPr>
              <w:jc w:val="center"/>
              <w:spacing w:after="0"/>
              <w:rPr>
                <w:sz w:val="20"/>
                <w:szCs w:val="20"/>
                <w:color w:val="auto"/>
              </w:rPr>
            </w:pPr>
            <w:r>
              <w:rPr>
                <w:rFonts w:ascii="Arial" w:cs="Arial" w:eastAsia="Arial" w:hAnsi="Arial"/>
                <w:sz w:val="14"/>
                <w:szCs w:val="14"/>
                <w:b w:val="1"/>
                <w:bCs w:val="1"/>
                <w:color w:val="auto"/>
                <w:w w:val="85"/>
              </w:rPr>
              <w:t>Amounts</w:t>
            </w:r>
          </w:p>
        </w:tc>
        <w:tc>
          <w:tcPr>
            <w:tcW w:w="300" w:type="dxa"/>
            <w:vAlign w:val="bottom"/>
          </w:tcPr>
          <w:p>
            <w:pPr>
              <w:spacing w:after="0"/>
              <w:rPr>
                <w:sz w:val="14"/>
                <w:szCs w:val="14"/>
                <w:color w:val="auto"/>
              </w:rPr>
            </w:pPr>
          </w:p>
        </w:tc>
        <w:tc>
          <w:tcPr>
            <w:tcW w:w="96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4"/>
              </w:rPr>
              <w:t>Write-Offs</w:t>
            </w:r>
          </w:p>
        </w:tc>
        <w:tc>
          <w:tcPr>
            <w:tcW w:w="12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0"/>
              </w:rPr>
              <w:t>Amount</w:t>
            </w:r>
          </w:p>
        </w:tc>
      </w:tr>
      <w:tr>
        <w:trPr>
          <w:trHeight w:val="210"/>
        </w:trPr>
        <w:tc>
          <w:tcPr>
            <w:tcW w:w="47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7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4"/>
              </w:rPr>
              <w:t>4 - 7 years</w:t>
            </w:r>
          </w:p>
        </w:tc>
        <w:tc>
          <w:tcPr>
            <w:tcW w:w="2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54,690</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(25,313)</w:t>
            </w:r>
          </w:p>
        </w:tc>
        <w:tc>
          <w:tcPr>
            <w:tcW w:w="3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$29,377</w:t>
            </w: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54,690</w:t>
            </w: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(18,552)</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$36,138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780" w:type="dxa"/>
            <w:vAlign w:val="bottom"/>
          </w:tcPr>
          <w:p>
            <w:pPr>
              <w:spacing w:after="0"/>
              <w:rPr>
                <w:sz w:val="20"/>
                <w:szCs w:val="20"/>
                <w:color w:val="auto"/>
              </w:rPr>
            </w:pPr>
            <w:r>
              <w:rPr>
                <w:rFonts w:ascii="Arial" w:cs="Arial" w:eastAsia="Arial" w:hAnsi="Arial"/>
                <w:sz w:val="18"/>
                <w:szCs w:val="18"/>
                <w:color w:val="auto"/>
              </w:rPr>
              <w:t>Core technology</w:t>
            </w:r>
          </w:p>
        </w:tc>
        <w:tc>
          <w:tcPr>
            <w:tcW w:w="960" w:type="dxa"/>
            <w:vAlign w:val="bottom"/>
            <w:gridSpan w:val="2"/>
          </w:tcPr>
          <w:p>
            <w:pPr>
              <w:jc w:val="center"/>
              <w:ind w:right="200"/>
              <w:spacing w:after="0"/>
              <w:rPr>
                <w:sz w:val="20"/>
                <w:szCs w:val="20"/>
                <w:color w:val="auto"/>
              </w:rPr>
            </w:pPr>
            <w:r>
              <w:rPr>
                <w:rFonts w:ascii="Arial" w:cs="Arial" w:eastAsia="Arial" w:hAnsi="Arial"/>
                <w:sz w:val="18"/>
                <w:szCs w:val="18"/>
                <w:color w:val="auto"/>
                <w:w w:val="84"/>
              </w:rPr>
              <w:t>5 - 8 years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82"/>
              </w:rPr>
              <w:t>138,650</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w w:val="90"/>
              </w:rPr>
              <w:t>(137,793)</w:t>
            </w:r>
          </w:p>
        </w:tc>
        <w:tc>
          <w:tcPr>
            <w:tcW w:w="580" w:type="dxa"/>
            <w:vAlign w:val="bottom"/>
          </w:tcPr>
          <w:p>
            <w:pPr>
              <w:jc w:val="right"/>
              <w:spacing w:after="0"/>
              <w:rPr>
                <w:sz w:val="20"/>
                <w:szCs w:val="20"/>
                <w:color w:val="auto"/>
              </w:rPr>
            </w:pPr>
            <w:r>
              <w:rPr>
                <w:rFonts w:ascii="Arial" w:cs="Arial" w:eastAsia="Arial" w:hAnsi="Arial"/>
                <w:sz w:val="18"/>
                <w:szCs w:val="18"/>
                <w:color w:val="auto"/>
              </w:rPr>
              <w:t>857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138,650</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w w:val="90"/>
              </w:rPr>
              <w:t>(123,298)</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15,352</w:t>
            </w:r>
          </w:p>
        </w:tc>
        <w:tc>
          <w:tcPr>
            <w:tcW w:w="100" w:type="dxa"/>
            <w:vAlign w:val="bottom"/>
          </w:tcPr>
          <w:p>
            <w:pPr>
              <w:spacing w:after="0"/>
              <w:rPr>
                <w:sz w:val="18"/>
                <w:szCs w:val="18"/>
                <w:color w:val="auto"/>
              </w:rPr>
            </w:pPr>
          </w:p>
        </w:tc>
      </w:tr>
      <w:tr>
        <w:trPr>
          <w:trHeight w:val="216"/>
        </w:trPr>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Trade names</w:t>
            </w:r>
          </w:p>
        </w:tc>
        <w:tc>
          <w:tcPr>
            <w:tcW w:w="960" w:type="dxa"/>
            <w:vAlign w:val="bottom"/>
            <w:gridSpan w:val="2"/>
            <w:shd w:val="clear" w:color="auto" w:fill="CCEEFF"/>
          </w:tcPr>
          <w:p>
            <w:pPr>
              <w:jc w:val="center"/>
              <w:ind w:right="200"/>
              <w:spacing w:after="0"/>
              <w:rPr>
                <w:sz w:val="20"/>
                <w:szCs w:val="20"/>
                <w:color w:val="auto"/>
              </w:rPr>
            </w:pPr>
            <w:r>
              <w:rPr>
                <w:rFonts w:ascii="Arial" w:cs="Arial" w:eastAsia="Arial" w:hAnsi="Arial"/>
                <w:sz w:val="18"/>
                <w:szCs w:val="18"/>
                <w:color w:val="auto"/>
                <w:w w:val="88"/>
              </w:rPr>
              <w:t>5 years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1,300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(503)</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(308)</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992</w:t>
            </w:r>
          </w:p>
        </w:tc>
        <w:tc>
          <w:tcPr>
            <w:tcW w:w="100" w:type="dxa"/>
            <w:vAlign w:val="bottom"/>
            <w:shd w:val="clear" w:color="auto" w:fill="CCEEFF"/>
          </w:tcPr>
          <w:p>
            <w:pPr>
              <w:spacing w:after="0"/>
              <w:rPr>
                <w:sz w:val="18"/>
                <w:szCs w:val="18"/>
                <w:color w:val="auto"/>
              </w:rPr>
            </w:pPr>
          </w:p>
        </w:tc>
      </w:tr>
      <w:tr>
        <w:trPr>
          <w:trHeight w:val="216"/>
        </w:trPr>
        <w:tc>
          <w:tcPr>
            <w:tcW w:w="4780" w:type="dxa"/>
            <w:vAlign w:val="bottom"/>
          </w:tcPr>
          <w:p>
            <w:pPr>
              <w:spacing w:after="0"/>
              <w:rPr>
                <w:sz w:val="20"/>
                <w:szCs w:val="20"/>
                <w:color w:val="auto"/>
              </w:rPr>
            </w:pPr>
            <w:r>
              <w:rPr>
                <w:rFonts w:ascii="Arial" w:cs="Arial" w:eastAsia="Arial" w:hAnsi="Arial"/>
                <w:sz w:val="18"/>
                <w:szCs w:val="18"/>
                <w:color w:val="auto"/>
              </w:rPr>
              <w:t>Customer intangibles</w:t>
            </w:r>
          </w:p>
        </w:tc>
        <w:tc>
          <w:tcPr>
            <w:tcW w:w="960" w:type="dxa"/>
            <w:vAlign w:val="bottom"/>
            <w:gridSpan w:val="2"/>
          </w:tcPr>
          <w:p>
            <w:pPr>
              <w:jc w:val="center"/>
              <w:ind w:right="200"/>
              <w:spacing w:after="0"/>
              <w:rPr>
                <w:sz w:val="20"/>
                <w:szCs w:val="20"/>
                <w:color w:val="auto"/>
              </w:rPr>
            </w:pPr>
            <w:r>
              <w:rPr>
                <w:rFonts w:ascii="Arial" w:cs="Arial" w:eastAsia="Arial" w:hAnsi="Arial"/>
                <w:sz w:val="18"/>
                <w:szCs w:val="18"/>
                <w:color w:val="auto"/>
                <w:w w:val="84"/>
              </w:rPr>
              <w:t>5 - 7 years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8"/>
              </w:rPr>
              <w:t>89,400</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rPr>
              <w:t>(72,445)</w:t>
            </w:r>
          </w:p>
        </w:tc>
        <w:tc>
          <w:tcPr>
            <w:tcW w:w="580" w:type="dxa"/>
            <w:vAlign w:val="bottom"/>
          </w:tcPr>
          <w:p>
            <w:pPr>
              <w:jc w:val="right"/>
              <w:spacing w:after="0"/>
              <w:rPr>
                <w:sz w:val="20"/>
                <w:szCs w:val="20"/>
                <w:color w:val="auto"/>
              </w:rPr>
            </w:pPr>
            <w:r>
              <w:rPr>
                <w:rFonts w:ascii="Arial" w:cs="Arial" w:eastAsia="Arial" w:hAnsi="Arial"/>
                <w:sz w:val="18"/>
                <w:szCs w:val="18"/>
                <w:color w:val="auto"/>
              </w:rPr>
              <w:t>16,955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89,400</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rPr>
              <w:t>(61,927)</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27,473</w:t>
            </w:r>
          </w:p>
        </w:tc>
        <w:tc>
          <w:tcPr>
            <w:tcW w:w="100" w:type="dxa"/>
            <w:vAlign w:val="bottom"/>
          </w:tcPr>
          <w:p>
            <w:pPr>
              <w:spacing w:after="0"/>
              <w:rPr>
                <w:sz w:val="18"/>
                <w:szCs w:val="18"/>
                <w:color w:val="auto"/>
              </w:rPr>
            </w:pPr>
          </w:p>
        </w:tc>
      </w:tr>
      <w:tr>
        <w:trPr>
          <w:trHeight w:val="216"/>
        </w:trPr>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IPR&amp;D</w:t>
            </w: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13,086</w:t>
            </w:r>
          </w:p>
        </w:tc>
        <w:tc>
          <w:tcPr>
            <w:tcW w:w="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13,086</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30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660" w:type="dxa"/>
            <w:vAlign w:val="bottom"/>
            <w:tcBorders>
              <w:bottom w:val="single" w:sz="8" w:color="auto"/>
            </w:tcBorders>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9,700</w:t>
            </w:r>
          </w:p>
        </w:tc>
        <w:tc>
          <w:tcPr>
            <w:tcW w:w="100" w:type="dxa"/>
            <w:vAlign w:val="bottom"/>
            <w:shd w:val="clear" w:color="auto" w:fill="CCEEFF"/>
          </w:tcPr>
          <w:p>
            <w:pPr>
              <w:spacing w:after="0"/>
              <w:rPr>
                <w:sz w:val="18"/>
                <w:szCs w:val="18"/>
                <w:color w:val="auto"/>
              </w:rPr>
            </w:pPr>
          </w:p>
        </w:tc>
      </w:tr>
      <w:tr>
        <w:trPr>
          <w:trHeight w:val="222"/>
        </w:trPr>
        <w:tc>
          <w:tcPr>
            <w:tcW w:w="4780" w:type="dxa"/>
            <w:vAlign w:val="bottom"/>
          </w:tcPr>
          <w:p>
            <w:pPr>
              <w:ind w:left="440"/>
              <w:spacing w:after="0"/>
              <w:rPr>
                <w:sz w:val="20"/>
                <w:szCs w:val="20"/>
                <w:color w:val="auto"/>
              </w:rPr>
            </w:pPr>
            <w:r>
              <w:rPr>
                <w:rFonts w:ascii="Arial" w:cs="Arial" w:eastAsia="Arial" w:hAnsi="Arial"/>
                <w:sz w:val="18"/>
                <w:szCs w:val="18"/>
                <w:color w:val="auto"/>
              </w:rPr>
              <w:t>Total intangible assets, net</w:t>
            </w:r>
          </w:p>
        </w:tc>
        <w:tc>
          <w:tcPr>
            <w:tcW w:w="7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82"/>
              </w:rPr>
              <w:t>297,126</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980" w:type="dxa"/>
            <w:vAlign w:val="bottom"/>
            <w:gridSpan w:val="2"/>
          </w:tcPr>
          <w:p>
            <w:pPr>
              <w:jc w:val="right"/>
              <w:ind w:right="260"/>
              <w:spacing w:after="0"/>
              <w:rPr>
                <w:sz w:val="20"/>
                <w:szCs w:val="20"/>
                <w:color w:val="auto"/>
              </w:rPr>
            </w:pPr>
            <w:r>
              <w:rPr>
                <w:rFonts w:ascii="Arial" w:cs="Arial" w:eastAsia="Arial" w:hAnsi="Arial"/>
                <w:sz w:val="18"/>
                <w:szCs w:val="18"/>
                <w:color w:val="auto"/>
                <w:w w:val="90"/>
              </w:rPr>
              <w:t>(236,054)</w:t>
            </w: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61,072</w:t>
            </w:r>
          </w:p>
        </w:tc>
        <w:tc>
          <w:tcPr>
            <w:tcW w:w="4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293,740</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20"/>
              <w:spacing w:after="0"/>
              <w:rPr>
                <w:sz w:val="20"/>
                <w:szCs w:val="20"/>
                <w:color w:val="auto"/>
              </w:rPr>
            </w:pPr>
            <w:r>
              <w:rPr>
                <w:rFonts w:ascii="Arial" w:cs="Arial" w:eastAsia="Arial" w:hAnsi="Arial"/>
                <w:sz w:val="18"/>
                <w:szCs w:val="18"/>
                <w:color w:val="auto"/>
                <w:w w:val="90"/>
              </w:rPr>
              <w:t>(204,085)</w:t>
            </w:r>
          </w:p>
        </w:tc>
        <w:tc>
          <w:tcPr>
            <w:tcW w:w="7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89,655</w:t>
            </w:r>
          </w:p>
        </w:tc>
        <w:tc>
          <w:tcPr>
            <w:tcW w:w="100" w:type="dxa"/>
            <w:vAlign w:val="bottom"/>
          </w:tcPr>
          <w:p>
            <w:pPr>
              <w:spacing w:after="0"/>
              <w:rPr>
                <w:sz w:val="19"/>
                <w:szCs w:val="19"/>
                <w:color w:val="auto"/>
              </w:rPr>
            </w:pPr>
          </w:p>
        </w:tc>
      </w:tr>
      <w:tr>
        <w:trPr>
          <w:trHeight w:val="20"/>
        </w:trPr>
        <w:tc>
          <w:tcPr>
            <w:tcW w:w="47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8" w:lineRule="exact"/>
        <w:rPr>
          <w:sz w:val="20"/>
          <w:szCs w:val="20"/>
          <w:color w:val="auto"/>
        </w:rPr>
      </w:pPr>
    </w:p>
    <w:p>
      <w:pPr>
        <w:jc w:val="both"/>
        <w:ind w:left="220" w:right="120" w:hanging="212"/>
        <w:spacing w:after="0" w:line="259"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Upon completion of projects, the related in-process research and development (“IPR&amp;D”) assets will be amortized over its estimated useful life. If any of the projects are abandoned or the forecast of the project indicates that the fair value is less than the carrying amount, the Company will be required to write down the related IPR&amp;D asset.</w:t>
      </w:r>
    </w:p>
    <w:p>
      <w:pPr>
        <w:spacing w:after="0" w:line="140"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Based on the identified intangible assets recorded at November 2, 2013, the future amortization expense excluding IPR&amp;D for the next five fiscal years is as follows (in thousands):</w:t>
      </w:r>
    </w:p>
    <w:p>
      <w:pPr>
        <w:spacing w:after="0" w:line="16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42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6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2014</w:t>
            </w: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2015</w:t>
            </w:r>
          </w:p>
        </w:tc>
        <w:tc>
          <w:tcPr>
            <w:tcW w:w="3760" w:type="dxa"/>
            <w:vAlign w:val="bottom"/>
          </w:tcPr>
          <w:p>
            <w:pPr>
              <w:spacing w:after="0"/>
              <w:rPr>
                <w:sz w:val="18"/>
                <w:szCs w:val="18"/>
                <w:color w:val="auto"/>
              </w:rPr>
            </w:pPr>
          </w:p>
        </w:tc>
        <w:tc>
          <w:tcPr>
            <w:tcW w:w="2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14,942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2016</w:t>
            </w:r>
          </w:p>
        </w:tc>
        <w:tc>
          <w:tcPr>
            <w:tcW w:w="376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12,203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Arial" w:cs="Arial" w:eastAsia="Arial" w:hAnsi="Arial"/>
                <w:sz w:val="18"/>
                <w:szCs w:val="18"/>
                <w:color w:val="auto"/>
              </w:rPr>
              <w:t>2017</w:t>
            </w:r>
          </w:p>
        </w:tc>
        <w:tc>
          <w:tcPr>
            <w:tcW w:w="3760" w:type="dxa"/>
            <w:vAlign w:val="bottom"/>
          </w:tcPr>
          <w:p>
            <w:pPr>
              <w:spacing w:after="0"/>
              <w:rPr>
                <w:sz w:val="18"/>
                <w:szCs w:val="18"/>
                <w:color w:val="auto"/>
              </w:rPr>
            </w:pPr>
          </w:p>
        </w:tc>
        <w:tc>
          <w:tcPr>
            <w:tcW w:w="2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11,018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376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6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760" w:type="dxa"/>
            <w:vAlign w:val="bottom"/>
            <w:shd w:val="clear" w:color="auto" w:fill="CCEEFF"/>
          </w:tcPr>
          <w:p>
            <w:pPr>
              <w:spacing w:after="0"/>
              <w:rPr>
                <w:sz w:val="18"/>
                <w:szCs w:val="18"/>
                <w:color w:val="auto"/>
              </w:rPr>
            </w:pPr>
          </w:p>
        </w:tc>
        <w:tc>
          <w:tcPr>
            <w:tcW w:w="27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47,986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The Company recorded a $4.2 million charge primarily related to the closure of two sites in the three months ended November 2, 2013. This amount included $2.8 million of severance costs, $1.3 million for other exit-related costs in connection with vacating three facilities and $0.1 million for the write off of equipment. All activities related to the closure of the two sites were substantially completed by the end of the quarter.</w:t>
      </w:r>
    </w:p>
    <w:p>
      <w:pPr>
        <w:spacing w:after="0" w:line="10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During the nine months ended November 2, 2013, the Company also continued to make payments and incur on-going operating expenses related to vacated facilities under previous restructure actions.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54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0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rPr>
              <w:t>Three Months Ended</w:t>
            </w: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4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3540" w:type="dxa"/>
            <w:vAlign w:val="bottom"/>
          </w:tcPr>
          <w:p>
            <w:pPr>
              <w:spacing w:after="0"/>
              <w:rPr>
                <w:sz w:val="11"/>
                <w:szCs w:val="11"/>
                <w:color w:val="auto"/>
              </w:rPr>
            </w:pPr>
          </w:p>
        </w:tc>
        <w:tc>
          <w:tcPr>
            <w:tcW w:w="1980" w:type="dxa"/>
            <w:vAlign w:val="bottom"/>
          </w:tcPr>
          <w:p>
            <w:pPr>
              <w:spacing w:after="0"/>
              <w:rPr>
                <w:sz w:val="11"/>
                <w:szCs w:val="11"/>
                <w:color w:val="auto"/>
              </w:rPr>
            </w:pPr>
          </w:p>
        </w:tc>
        <w:tc>
          <w:tcPr>
            <w:tcW w:w="14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2,</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6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40" w:type="dxa"/>
            <w:vAlign w:val="bottom"/>
            <w:tcBorders>
              <w:bottom w:val="single" w:sz="8" w:color="CCEEFF"/>
            </w:tcBorders>
          </w:tcPr>
          <w:p>
            <w:pPr>
              <w:spacing w:after="0"/>
              <w:rPr>
                <w:sz w:val="14"/>
                <w:szCs w:val="14"/>
                <w:color w:val="auto"/>
              </w:rPr>
            </w:pPr>
          </w:p>
        </w:tc>
        <w:tc>
          <w:tcPr>
            <w:tcW w:w="19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9"/>
              <w:spacing w:after="0"/>
              <w:rPr>
                <w:sz w:val="20"/>
                <w:szCs w:val="20"/>
                <w:color w:val="auto"/>
              </w:rPr>
            </w:pPr>
            <w:r>
              <w:rPr>
                <w:rFonts w:ascii="Arial" w:cs="Arial" w:eastAsia="Arial" w:hAnsi="Arial"/>
                <w:sz w:val="14"/>
                <w:szCs w:val="14"/>
                <w:b w:val="1"/>
                <w:bCs w:val="1"/>
                <w:color w:val="auto"/>
              </w:rPr>
              <w:t>2013</w:t>
            </w:r>
          </w:p>
        </w:tc>
        <w:tc>
          <w:tcPr>
            <w:tcW w:w="6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2012</w:t>
            </w:r>
          </w:p>
        </w:tc>
        <w:tc>
          <w:tcPr>
            <w:tcW w:w="36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9"/>
              <w:spacing w:after="0"/>
              <w:rPr>
                <w:sz w:val="20"/>
                <w:szCs w:val="20"/>
                <w:color w:val="auto"/>
              </w:rPr>
            </w:pPr>
            <w:r>
              <w:rPr>
                <w:rFonts w:ascii="Arial" w:cs="Arial" w:eastAsia="Arial" w:hAnsi="Arial"/>
                <w:sz w:val="14"/>
                <w:szCs w:val="14"/>
                <w:b w:val="1"/>
                <w:bCs w:val="1"/>
                <w:color w:val="auto"/>
              </w:rPr>
              <w:t>2013</w:t>
            </w:r>
          </w:p>
        </w:tc>
        <w:tc>
          <w:tcPr>
            <w:tcW w:w="6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5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19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3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40" w:type="dxa"/>
            <w:vAlign w:val="bottom"/>
          </w:tcPr>
          <w:p>
            <w:pPr>
              <w:spacing w:after="0"/>
              <w:rPr>
                <w:sz w:val="20"/>
                <w:szCs w:val="20"/>
                <w:color w:val="auto"/>
              </w:rPr>
            </w:pPr>
            <w:r>
              <w:rPr>
                <w:rFonts w:ascii="Arial" w:cs="Arial" w:eastAsia="Arial" w:hAnsi="Arial"/>
                <w:sz w:val="18"/>
                <w:szCs w:val="18"/>
                <w:color w:val="auto"/>
              </w:rPr>
              <w:t>Selling and marketing</w:t>
            </w:r>
          </w:p>
        </w:tc>
        <w:tc>
          <w:tcPr>
            <w:tcW w:w="19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60" w:type="dxa"/>
            <w:vAlign w:val="bottom"/>
            <w:gridSpan w:val="2"/>
          </w:tcPr>
          <w:p>
            <w:pPr>
              <w:jc w:val="right"/>
              <w:ind w:right="680"/>
              <w:spacing w:after="0"/>
              <w:rPr>
                <w:sz w:val="20"/>
                <w:szCs w:val="20"/>
                <w:color w:val="auto"/>
              </w:rPr>
            </w:pPr>
            <w:r>
              <w:rPr>
                <w:rFonts w:ascii="Arial" w:cs="Arial" w:eastAsia="Arial" w:hAnsi="Arial"/>
                <w:sz w:val="18"/>
                <w:szCs w:val="18"/>
                <w:color w:val="auto"/>
              </w:rPr>
              <w:t>795</w:t>
            </w:r>
          </w:p>
        </w:tc>
        <w:tc>
          <w:tcPr>
            <w:tcW w:w="14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795</w:t>
            </w: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35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9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527</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w:t>
            </w:r>
          </w:p>
        </w:tc>
        <w:tc>
          <w:tcPr>
            <w:tcW w:w="3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933</w:t>
            </w: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1,060</w:t>
            </w:r>
          </w:p>
        </w:tc>
        <w:tc>
          <w:tcPr>
            <w:tcW w:w="0" w:type="dxa"/>
            <w:vAlign w:val="bottom"/>
          </w:tcPr>
          <w:p>
            <w:pPr>
              <w:spacing w:after="0"/>
              <w:rPr>
                <w:sz w:val="1"/>
                <w:szCs w:val="1"/>
                <w:color w:val="auto"/>
              </w:rPr>
            </w:pPr>
          </w:p>
        </w:tc>
      </w:tr>
      <w:tr>
        <w:trPr>
          <w:trHeight w:val="20"/>
        </w:trPr>
        <w:tc>
          <w:tcPr>
            <w:tcW w:w="354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540" w:type="dxa"/>
            <w:vAlign w:val="bottom"/>
          </w:tcPr>
          <w:p>
            <w:pPr>
              <w:spacing w:after="0"/>
              <w:rPr>
                <w:sz w:val="19"/>
                <w:szCs w:val="19"/>
                <w:color w:val="auto"/>
              </w:rPr>
            </w:pPr>
          </w:p>
        </w:tc>
        <w:tc>
          <w:tcPr>
            <w:tcW w:w="2140" w:type="dxa"/>
            <w:vAlign w:val="bottom"/>
            <w:gridSpan w:val="2"/>
          </w:tcPr>
          <w:p>
            <w:pPr>
              <w:ind w:left="1980"/>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680"/>
              <w:spacing w:after="0"/>
              <w:rPr>
                <w:sz w:val="20"/>
                <w:szCs w:val="20"/>
                <w:color w:val="auto"/>
              </w:rPr>
            </w:pPr>
            <w:r>
              <w:rPr>
                <w:rFonts w:ascii="Arial" w:cs="Arial" w:eastAsia="Arial" w:hAnsi="Arial"/>
                <w:sz w:val="18"/>
                <w:szCs w:val="18"/>
                <w:color w:val="auto"/>
              </w:rPr>
              <w:t>4,208</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129</w:t>
            </w:r>
          </w:p>
        </w:tc>
        <w:tc>
          <w:tcPr>
            <w:tcW w:w="360" w:type="dxa"/>
            <w:vAlign w:val="bottom"/>
          </w:tcPr>
          <w:p>
            <w:pPr>
              <w:spacing w:after="0"/>
              <w:rPr>
                <w:sz w:val="19"/>
                <w:szCs w:val="19"/>
                <w:color w:val="auto"/>
              </w:rPr>
            </w:pPr>
          </w:p>
        </w:tc>
        <w:tc>
          <w:tcPr>
            <w:tcW w:w="4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4,614</w:t>
            </w:r>
          </w:p>
        </w:tc>
        <w:tc>
          <w:tcPr>
            <w:tcW w:w="82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1,103</w:t>
            </w:r>
          </w:p>
        </w:tc>
        <w:tc>
          <w:tcPr>
            <w:tcW w:w="0" w:type="dxa"/>
            <w:vAlign w:val="bottom"/>
          </w:tcPr>
          <w:p>
            <w:pPr>
              <w:spacing w:after="0"/>
              <w:rPr>
                <w:sz w:val="1"/>
                <w:szCs w:val="1"/>
                <w:color w:val="auto"/>
              </w:rPr>
            </w:pPr>
          </w:p>
        </w:tc>
      </w:tr>
      <w:tr>
        <w:trPr>
          <w:trHeight w:val="20"/>
        </w:trPr>
        <w:tc>
          <w:tcPr>
            <w:tcW w:w="3540" w:type="dxa"/>
            <w:vAlign w:val="bottom"/>
          </w:tcPr>
          <w:p>
            <w:pPr>
              <w:spacing w:after="0" w:line="20" w:lineRule="exact"/>
              <w:rPr>
                <w:sz w:val="1"/>
                <w:szCs w:val="1"/>
                <w:color w:val="auto"/>
              </w:rPr>
            </w:pPr>
          </w:p>
        </w:tc>
        <w:tc>
          <w:tcPr>
            <w:tcW w:w="1980" w:type="dxa"/>
            <w:vAlign w:val="bottom"/>
            <w:vMerge w:val="restart"/>
          </w:tcPr>
          <w:p>
            <w:pPr>
              <w:jc w:val="right"/>
              <w:ind w:right="92"/>
              <w:spacing w:after="0"/>
              <w:rPr>
                <w:sz w:val="20"/>
                <w:szCs w:val="20"/>
                <w:color w:val="auto"/>
              </w:rPr>
            </w:pPr>
            <w:r>
              <w:rPr>
                <w:rFonts w:ascii="Arial" w:cs="Arial" w:eastAsia="Arial" w:hAnsi="Arial"/>
                <w:sz w:val="18"/>
                <w:szCs w:val="18"/>
                <w:color w:val="auto"/>
              </w:rPr>
              <w:t>15</w:t>
            </w: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540" w:type="dxa"/>
            <w:vAlign w:val="bottom"/>
          </w:tcPr>
          <w:p>
            <w:pPr>
              <w:spacing w:after="0"/>
              <w:rPr>
                <w:sz w:val="24"/>
                <w:szCs w:val="24"/>
                <w:color w:val="auto"/>
              </w:rPr>
            </w:pPr>
          </w:p>
        </w:tc>
        <w:tc>
          <w:tcPr>
            <w:tcW w:w="1980" w:type="dxa"/>
            <w:vAlign w:val="bottom"/>
            <w:vMerge w:val="continue"/>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jc w:val="both"/>
        <w:ind w:right="20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for the nine months ended November 2, 2013 (in thousands):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880" w:type="dxa"/>
            <w:vAlign w:val="bottom"/>
          </w:tcPr>
          <w:p>
            <w:pPr>
              <w:spacing w:after="0"/>
              <w:rPr>
                <w:sz w:val="14"/>
                <w:szCs w:val="14"/>
                <w:color w:val="auto"/>
              </w:rPr>
            </w:pPr>
          </w:p>
        </w:tc>
        <w:tc>
          <w:tcPr>
            <w:tcW w:w="1320" w:type="dxa"/>
            <w:vAlign w:val="bottom"/>
            <w:gridSpan w:val="3"/>
          </w:tcPr>
          <w:p>
            <w:pPr>
              <w:ind w:left="60"/>
              <w:spacing w:after="0"/>
              <w:rPr>
                <w:sz w:val="20"/>
                <w:szCs w:val="20"/>
                <w:color w:val="auto"/>
              </w:rPr>
            </w:pPr>
            <w:r>
              <w:rPr>
                <w:rFonts w:ascii="Arial" w:cs="Arial" w:eastAsia="Arial" w:hAnsi="Arial"/>
                <w:sz w:val="14"/>
                <w:szCs w:val="14"/>
                <w:b w:val="1"/>
                <w:bCs w:val="1"/>
                <w:color w:val="auto"/>
              </w:rPr>
              <w:t>Severance</w:t>
            </w:r>
          </w:p>
        </w:tc>
        <w:tc>
          <w:tcPr>
            <w:tcW w:w="80" w:type="dxa"/>
            <w:vAlign w:val="bottom"/>
          </w:tcPr>
          <w:p>
            <w:pPr>
              <w:spacing w:after="0"/>
              <w:rPr>
                <w:sz w:val="14"/>
                <w:szCs w:val="14"/>
                <w:color w:val="auto"/>
              </w:rPr>
            </w:pPr>
          </w:p>
        </w:tc>
        <w:tc>
          <w:tcPr>
            <w:tcW w:w="94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3"/>
              </w:rPr>
              <w:t>Facilities</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Other</w:t>
            </w:r>
          </w:p>
        </w:tc>
        <w:tc>
          <w:tcPr>
            <w:tcW w:w="2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880" w:type="dxa"/>
            <w:vAlign w:val="bottom"/>
          </w:tcPr>
          <w:p>
            <w:pPr>
              <w:spacing w:after="0"/>
              <w:rPr>
                <w:sz w:val="12"/>
                <w:szCs w:val="12"/>
                <w:color w:val="auto"/>
              </w:rPr>
            </w:pPr>
          </w:p>
        </w:tc>
        <w:tc>
          <w:tcPr>
            <w:tcW w:w="13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280" w:type="dxa"/>
            <w:vAlign w:val="bottom"/>
          </w:tcPr>
          <w:p>
            <w:pPr>
              <w:spacing w:after="0"/>
              <w:rPr>
                <w:sz w:val="12"/>
                <w:szCs w:val="12"/>
                <w:color w:val="auto"/>
              </w:rPr>
            </w:pPr>
          </w:p>
        </w:tc>
        <w:tc>
          <w:tcPr>
            <w:tcW w:w="10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Exit-Related</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5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80" w:type="dxa"/>
            <w:vAlign w:val="bottom"/>
            <w:gridSpan w:val="2"/>
          </w:tcPr>
          <w:p>
            <w:pPr>
              <w:jc w:val="right"/>
              <w:ind w:right="800"/>
              <w:spacing w:after="0"/>
              <w:rPr>
                <w:sz w:val="20"/>
                <w:szCs w:val="20"/>
                <w:color w:val="auto"/>
              </w:rPr>
            </w:pPr>
            <w:r>
              <w:rPr>
                <w:rFonts w:ascii="Arial" w:cs="Arial" w:eastAsia="Arial" w:hAnsi="Arial"/>
                <w:sz w:val="14"/>
                <w:szCs w:val="14"/>
                <w:b w:val="1"/>
                <w:bCs w:val="1"/>
                <w:color w:val="auto"/>
                <w:w w:val="92"/>
              </w:rPr>
              <w:t>Costs</w:t>
            </w:r>
          </w:p>
        </w:tc>
        <w:tc>
          <w:tcPr>
            <w:tcW w:w="80" w:type="dxa"/>
            <w:vAlign w:val="bottom"/>
          </w:tcPr>
          <w:p>
            <w:pPr>
              <w:spacing w:after="0"/>
              <w:rPr>
                <w:sz w:val="14"/>
                <w:szCs w:val="14"/>
                <w:color w:val="auto"/>
              </w:rPr>
            </w:pPr>
          </w:p>
        </w:tc>
        <w:tc>
          <w:tcPr>
            <w:tcW w:w="9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Costs</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2"/>
              </w:rPr>
              <w:t>Costs</w:t>
            </w:r>
          </w:p>
        </w:tc>
        <w:tc>
          <w:tcPr>
            <w:tcW w:w="280" w:type="dxa"/>
            <w:vAlign w:val="bottom"/>
          </w:tcPr>
          <w:p>
            <w:pPr>
              <w:spacing w:after="0"/>
              <w:rPr>
                <w:sz w:val="14"/>
                <w:szCs w:val="14"/>
                <w:color w:val="auto"/>
              </w:rPr>
            </w:pPr>
          </w:p>
        </w:tc>
        <w:tc>
          <w:tcPr>
            <w:tcW w:w="6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58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2, 2013</w:t>
            </w: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2,855</w:t>
            </w:r>
          </w:p>
        </w:tc>
        <w:tc>
          <w:tcPr>
            <w:tcW w:w="3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tcBorders>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3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$ 2,855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80" w:type="dxa"/>
            <w:vAlign w:val="bottom"/>
          </w:tcPr>
          <w:p>
            <w:pPr>
              <w:ind w:left="440"/>
              <w:spacing w:after="0"/>
              <w:rPr>
                <w:sz w:val="20"/>
                <w:szCs w:val="20"/>
                <w:color w:val="auto"/>
              </w:rPr>
            </w:pPr>
            <w:r>
              <w:rPr>
                <w:rFonts w:ascii="Arial" w:cs="Arial" w:eastAsia="Arial" w:hAnsi="Arial"/>
                <w:sz w:val="18"/>
                <w:szCs w:val="18"/>
                <w:color w:val="auto"/>
              </w:rPr>
              <w:t>Restructuring charges</w:t>
            </w: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2,786</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1,554</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213</w:t>
            </w:r>
          </w:p>
        </w:tc>
        <w:tc>
          <w:tcPr>
            <w:tcW w:w="320" w:type="dxa"/>
            <w:vAlign w:val="bottom"/>
          </w:tcPr>
          <w:p>
            <w:pPr>
              <w:spacing w:after="0"/>
              <w:rPr>
                <w:sz w:val="18"/>
                <w:szCs w:val="18"/>
                <w:color w:val="auto"/>
              </w:rPr>
            </w:pP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4,553</w:t>
            </w:r>
          </w:p>
        </w:tc>
        <w:tc>
          <w:tcPr>
            <w:tcW w:w="0" w:type="dxa"/>
            <w:vAlign w:val="bottom"/>
          </w:tcPr>
          <w:p>
            <w:pPr>
              <w:spacing w:after="0"/>
              <w:rPr>
                <w:sz w:val="1"/>
                <w:szCs w:val="1"/>
                <w:color w:val="auto"/>
              </w:rPr>
            </w:pPr>
          </w:p>
        </w:tc>
      </w:tr>
      <w:tr>
        <w:trPr>
          <w:trHeight w:val="216"/>
        </w:trPr>
        <w:tc>
          <w:tcPr>
            <w:tcW w:w="5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cash payments</w:t>
            </w:r>
          </w:p>
        </w:tc>
        <w:tc>
          <w:tcPr>
            <w:tcW w:w="1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(642)</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(1,323)</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(182)</w:t>
            </w: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(2,147)</w:t>
            </w:r>
          </w:p>
        </w:tc>
        <w:tc>
          <w:tcPr>
            <w:tcW w:w="0" w:type="dxa"/>
            <w:vAlign w:val="bottom"/>
          </w:tcPr>
          <w:p>
            <w:pPr>
              <w:spacing w:after="0"/>
              <w:rPr>
                <w:sz w:val="1"/>
                <w:szCs w:val="1"/>
                <w:color w:val="auto"/>
              </w:rPr>
            </w:pPr>
          </w:p>
        </w:tc>
      </w:tr>
      <w:tr>
        <w:trPr>
          <w:trHeight w:val="20"/>
        </w:trPr>
        <w:tc>
          <w:tcPr>
            <w:tcW w:w="5880" w:type="dxa"/>
            <w:vAlign w:val="bottom"/>
            <w:vMerge w:val="restart"/>
          </w:tcPr>
          <w:p>
            <w:pPr>
              <w:spacing w:after="0"/>
              <w:rPr>
                <w:sz w:val="20"/>
                <w:szCs w:val="20"/>
                <w:color w:val="auto"/>
              </w:rPr>
            </w:pPr>
            <w:r>
              <w:rPr>
                <w:rFonts w:ascii="Arial" w:cs="Arial" w:eastAsia="Arial" w:hAnsi="Arial"/>
                <w:sz w:val="18"/>
                <w:szCs w:val="18"/>
                <w:color w:val="auto"/>
              </w:rPr>
              <w:t>Balance at November 2, 2013</w:t>
            </w:r>
          </w:p>
        </w:tc>
        <w:tc>
          <w:tcPr>
            <w:tcW w:w="14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880" w:type="dxa"/>
            <w:vAlign w:val="bottom"/>
            <w:vMerge w:val="continue"/>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2,144</w:t>
            </w:r>
          </w:p>
        </w:tc>
        <w:tc>
          <w:tcPr>
            <w:tcW w:w="620" w:type="dxa"/>
            <w:vAlign w:val="bottom"/>
          </w:tcPr>
          <w:p>
            <w:pPr>
              <w:spacing w:after="0"/>
              <w:rPr>
                <w:sz w:val="19"/>
                <w:szCs w:val="19"/>
                <w:color w:val="auto"/>
              </w:rPr>
            </w:pP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3,086</w:t>
            </w:r>
          </w:p>
        </w:tc>
        <w:tc>
          <w:tcPr>
            <w:tcW w:w="3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31</w:t>
            </w:r>
          </w:p>
        </w:tc>
        <w:tc>
          <w:tcPr>
            <w:tcW w:w="320" w:type="dxa"/>
            <w:vAlign w:val="bottom"/>
          </w:tcPr>
          <w:p>
            <w:pPr>
              <w:spacing w:after="0"/>
              <w:rPr>
                <w:sz w:val="19"/>
                <w:szCs w:val="19"/>
                <w:color w:val="auto"/>
              </w:rPr>
            </w:pP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$ 5,261</w:t>
            </w:r>
          </w:p>
        </w:tc>
        <w:tc>
          <w:tcPr>
            <w:tcW w:w="0" w:type="dxa"/>
            <w:vAlign w:val="bottom"/>
          </w:tcPr>
          <w:p>
            <w:pPr>
              <w:spacing w:after="0"/>
              <w:rPr>
                <w:sz w:val="1"/>
                <w:szCs w:val="1"/>
                <w:color w:val="auto"/>
              </w:rPr>
            </w:pPr>
          </w:p>
        </w:tc>
      </w:tr>
      <w:tr>
        <w:trPr>
          <w:trHeight w:val="20"/>
        </w:trPr>
        <w:tc>
          <w:tcPr>
            <w:tcW w:w="58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 severance costs included in the table above are expected to be paid in the fourth quarter of fiscal 2014. The facility and related costs primarily represent payments under lease obligations of vacated facilities associated with the closure of two sites in the three months ended November 2, 2013 which are expected to be paid through fiscal 2015.</w:t>
      </w:r>
    </w:p>
    <w:p>
      <w:pPr>
        <w:spacing w:after="0" w:line="14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balance at November 2, 2013 for facility and related costs also includes remaining payments under lease obligations related to vacated facilities under previous restructure actions which are expected to be paid through fiscal 2018.</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w:t>
      </w:r>
    </w:p>
    <w:p>
      <w:pPr>
        <w:spacing w:after="0" w:line="96" w:lineRule="exact"/>
        <w:rPr>
          <w:sz w:val="20"/>
          <w:szCs w:val="20"/>
          <w:color w:val="auto"/>
        </w:rPr>
      </w:pPr>
    </w:p>
    <w:p>
      <w:pPr>
        <w:jc w:val="both"/>
        <w:ind w:right="200" w:firstLine="456"/>
        <w:spacing w:after="0" w:line="298" w:lineRule="auto"/>
        <w:rPr>
          <w:sz w:val="20"/>
          <w:szCs w:val="20"/>
          <w:color w:val="auto"/>
        </w:rPr>
      </w:pPr>
      <w:r>
        <w:rPr>
          <w:rFonts w:ascii="Arial" w:cs="Arial" w:eastAsia="Arial" w:hAnsi="Arial"/>
          <w:sz w:val="16"/>
          <w:szCs w:val="16"/>
          <w:color w:val="auto"/>
        </w:rPr>
        <w:t>The income tax benefit for the three months ended November 2, 2013 included the current income tax liability of $4.3 million, which was offset by a net reduction in unrecognized tax benefits of $7.3 million, a $2.5 million tax benefit due to return-to-provision adjustments upon the filing of tax returns and a $0.9 million tax benefit from an increase in the deferred tax asset of a non-U.S. entity due to a change in its statutory tax rate. The net reduction in unrecognized tax benefits arose from the expiration of the statute of limitations, less an increase in current unrecognized tax benefit estimates.</w:t>
      </w:r>
    </w:p>
    <w:p>
      <w:pPr>
        <w:spacing w:after="0" w:line="11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income tax benefit for the nine months ended November 2, 2013 included the current income tax liability of $11.3 million plus $0.7 million in settlements of audits in non-U.S. jurisdictions, which were offset by a net reduction in unrecognized tax benefits of $23.8 million, a $2.5 million tax benefit due to return-to-provision adjustments upon filing of tax returns in three months ended November 2, 2013 and a $0.9 million tax benefit from an increase in the deferred tax asset of a non-U.S. entity due to a change in its statutory tax rate in the three months ended November 2, 2013. The net reduction in unrecognized tax benefits primarily arose from the expiration of statute of limitations in non-U.S. jurisdictions and from the settlement of two audits in non-U.S. jurisdictions (one for $3.5 million and the other for $4.1 million), less an increase in current unrecognized tax estimates.</w:t>
      </w:r>
    </w:p>
    <w:p>
      <w:pPr>
        <w:spacing w:after="0" w:line="12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 income tax provision for the three and nine months ended October 27, 2012 included the current income tax liability of $5.9 million and $14.5 million, respectively, which were partially offset by a net reduction in unrecognized tax benefits of $5.5 million in the three months ended October 27, 2012 and $11.5 million in the nine months ended October 27, 2012. These net reductions in unrecognized tax benefits arose primarily from the expiration of the statute of limitations in non-U.S. jurisdictions, less an increase in current unrecognized tax benefit estimates.</w:t>
      </w:r>
    </w:p>
    <w:p>
      <w:pPr>
        <w:spacing w:after="0" w:line="113" w:lineRule="exact"/>
        <w:rPr>
          <w:sz w:val="20"/>
          <w:szCs w:val="20"/>
          <w:color w:val="auto"/>
        </w:rPr>
      </w:pPr>
    </w:p>
    <w:p>
      <w:pPr>
        <w:ind w:right="260" w:firstLine="456"/>
        <w:spacing w:after="0" w:line="306"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$20 million from the lapse of the statutes of limitation in various jurisdictions during the next 12 months.</w:t>
      </w:r>
    </w:p>
    <w:p>
      <w:pPr>
        <w:spacing w:after="0" w:line="10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The Company operates under tax holidays in certain countries, which may be extended if certain additional requirements are satisfied. The tax holidays are conditional upon meeting certain employment and investment thresholds. The impact of these tax holidays decreased foreign taxes by $14.9 million for the nine months ended November 2, 2013. The benefit of the tax holidays on net income per share was less than $0.01 per share for the nine months ended November 2, 2013.</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November 2, 2013, these foundries had incurred approximately $240.2 million of manufacturing costs and expenses relating to the Company’s outstanding purchase orders.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conduct a vigorous defense in these proceedings. However, there can be no assurance that these matters will be resolved in a manner that is not adverse to the Company’s business, financial condition, results of operations or cash flows.</w:t>
      </w:r>
    </w:p>
    <w:p>
      <w:pPr>
        <w:spacing w:after="0" w:line="145"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of November 2, 2013, the Company has recorded a total charge of $10.4 million related to certain legal proceedings described below in this section. The amount recorded does not relate to the litigation with Carnegie Mellon University (“CMU”). Other than for the matters that the Company has recognized in the consolidated financial statements, it has not recorded any amounts for contingent losses associated with the matters described below based on its belief that losses, while reasonably possible, are not probable. Unless otherwise stated, the Company is currently unable to predict the final outcome of these lawsuits and therefore cannot determine the likelihood of loss nor estimate a range of possible loss.</w:t>
      </w:r>
    </w:p>
    <w:p>
      <w:pPr>
        <w:spacing w:after="0" w:line="116"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i w:val="1"/>
          <w:iCs w:val="1"/>
          <w:color w:val="auto"/>
        </w:rPr>
        <w:t xml:space="preserve">Carnegie Mellon University Litigation. </w:t>
      </w:r>
      <w:r>
        <w:rPr>
          <w:rFonts w:ascii="Arial" w:cs="Arial" w:eastAsia="Arial" w:hAnsi="Arial"/>
          <w:sz w:val="16"/>
          <w:szCs w:val="16"/>
          <w:color w:val="auto"/>
        </w:rPr>
        <w:t>On March 6, 2009, CMU filed a complaint in the U.S. District Court for the Western District of Pennsylvania</w:t>
      </w:r>
      <w:r>
        <w:rPr>
          <w:rFonts w:ascii="Arial" w:cs="Arial" w:eastAsia="Arial" w:hAnsi="Arial"/>
          <w:sz w:val="16"/>
          <w:szCs w:val="16"/>
          <w:i w:val="1"/>
          <w:iCs w:val="1"/>
          <w:color w:val="auto"/>
        </w:rPr>
        <w:t xml:space="preserve"> </w:t>
      </w:r>
      <w:r>
        <w:rPr>
          <w:rFonts w:ascii="Arial" w:cs="Arial" w:eastAsia="Arial" w:hAnsi="Arial"/>
          <w:sz w:val="16"/>
          <w:szCs w:val="16"/>
          <w:color w:val="auto"/>
        </w:rPr>
        <w:t>naming Marvell Semiconductor, Inc. (“MSI”) and the Company as defendants and alleging patent infringement. CMU has asserted U.S. Patent Nos. 6,201,839 and 6,438,180 (collectively, the “CMU patents in suit”), which relate to read-channel integrated circuit devices and the hard disk drive (“HDD”) incorporating such devices. A jury trial began on November 26, 2012. On December 26, 2012, a jury delivered a verdict that found the CMU patents in suit were literally and willfully infringed and valid, and awarded past damages in the amount of $1.17 billion. Due to the finding of willfulness during post trial proceedings, the judge could enhance the damages by an amount up to triple the damages awarded by the jury at trial. In addition, CMU has disclosed in its post trial motions that it is seeking pre-judgment interest up to $322 million, post-judgment interest, attorneys’ fees, and an injunction and/or ongoing royalties. Post-trial motions were heard on May 1 and 2, 2013. On June 26, 2013, the District Court denied CMU’s post-trial motion for attorney fees without prejudice. On August 23, 2013, the District Court denied the Company’s motion for mistrial. On September 23, 2013, the District Court denied the Company’s motion for judgment as a matter of law or a new trial on non-infringement, invalidity and other non-damages issue as well as the Company’s motion for reduced damages. On the same day, the District Court granted-in-part CMU’s motion for a finding of willful infringement and enhanced damages, reserving its further rulings on the motion for a forthcoming opinion. On December 6, 2013, CMU filed a motion to permit registration of judgment and a motion for supplemental relief including a request to enjoin future share repurchases, any leveraged buyout or similar asset leveraging transaction, and dividends (including the dividend scheduled for December 23, 2013), in the absence of a court approved bond or other security. CMU requested expedited briefing but the District Court has not set a briefing schedule for CMU’s latest motions, and has yet to rule on the Company’s laches defense as well as CMU’s injunction motion. The Company expects the District Court to issue its final judgment at any time.</w:t>
      </w:r>
    </w:p>
    <w:p>
      <w:pPr>
        <w:spacing w:after="0" w:line="124"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Company and MSI believe that the evidence and the law do not support the jury’s findings of infringement, validity and the award of damages and do not believe a material loss is probable. The Company believes that there are strong grounds for appeal and the Company and MSI intend to vigorously challenge the District Court’s judgment via an appeal to the U.S. Court of Appeals for the Federal Circuit in Washington, D.C. The Company believes the low end of the possible range of loss is zero, but it cannot reasonably estimate the upper range of the possible loss, as a number of factors (including finalization of the post-trial motions at the District Court) could significantly change the assessment of damages.</w:t>
      </w:r>
    </w:p>
    <w:p>
      <w:pPr>
        <w:spacing w:after="0" w:line="116" w:lineRule="exact"/>
        <w:rPr>
          <w:sz w:val="20"/>
          <w:szCs w:val="20"/>
          <w:color w:val="auto"/>
        </w:rPr>
      </w:pPr>
    </w:p>
    <w:p>
      <w:pPr>
        <w:ind w:right="560" w:firstLine="456"/>
        <w:spacing w:after="0" w:line="306" w:lineRule="auto"/>
        <w:rPr>
          <w:sz w:val="20"/>
          <w:szCs w:val="20"/>
          <w:color w:val="auto"/>
        </w:rPr>
      </w:pPr>
      <w:r>
        <w:rPr>
          <w:rFonts w:ascii="Arial" w:cs="Arial" w:eastAsia="Arial" w:hAnsi="Arial"/>
          <w:sz w:val="16"/>
          <w:szCs w:val="16"/>
          <w:i w:val="1"/>
          <w:iCs w:val="1"/>
          <w:color w:val="auto"/>
        </w:rPr>
        <w:t>Jasmine Networks Litigation</w:t>
      </w:r>
      <w:r>
        <w:rPr>
          <w:rFonts w:ascii="Arial" w:cs="Arial" w:eastAsia="Arial" w:hAnsi="Arial"/>
          <w:sz w:val="16"/>
          <w:szCs w:val="16"/>
          <w:color w:val="auto"/>
        </w:rPr>
        <w:t>. 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MSI and three of its officers for allegedly improperly obtaining and using information and technologies during the course of the negotiations with its personnel regarding the potential acquisition of certain Jasmine assets by MSI.</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denied in written orders. Jasmine has appealed and MSI is contesting the appeal vigorously. Oral arguments on the appeal were heard on June 18, 2013. On July 17, 2013, the Court of Appeals unanimously affirmed judgment in favor of MSI. It is unknown whether Jasmine will appeal to the California Supreme Court. The deadline for Jasmine to appeal to the California Supreme Court passed on August 26, 2013 without Jasmine taking any further action.</w:t>
      </w:r>
    </w:p>
    <w:p>
      <w:pPr>
        <w:spacing w:after="0" w:line="120" w:lineRule="exact"/>
        <w:rPr>
          <w:sz w:val="20"/>
          <w:szCs w:val="20"/>
          <w:color w:val="auto"/>
        </w:rPr>
      </w:pPr>
    </w:p>
    <w:p>
      <w:pPr>
        <w:ind w:right="440" w:firstLine="456"/>
        <w:spacing w:after="0" w:line="256" w:lineRule="auto"/>
        <w:rPr>
          <w:sz w:val="20"/>
          <w:szCs w:val="20"/>
          <w:color w:val="auto"/>
        </w:rPr>
      </w:pPr>
      <w:r>
        <w:rPr>
          <w:rFonts w:ascii="Arial" w:cs="Arial" w:eastAsia="Arial" w:hAnsi="Arial"/>
          <w:sz w:val="18"/>
          <w:szCs w:val="18"/>
          <w:i w:val="1"/>
          <w:iCs w:val="1"/>
          <w:color w:val="auto"/>
        </w:rPr>
        <w:t xml:space="preserve">USEI Litigation. </w:t>
      </w:r>
      <w:r>
        <w:rPr>
          <w:rFonts w:ascii="Arial" w:cs="Arial" w:eastAsia="Arial" w:hAnsi="Arial"/>
          <w:sz w:val="18"/>
          <w:szCs w:val="18"/>
          <w:color w:val="auto"/>
        </w:rPr>
        <w:t>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in which USEI has accused a number of system manufacturers, including the Company’s customers, of patent infringement (the “USEI litigation”). Specifically, USEI has asserted that these customers infringe U.S. Patent Nos. 5,307,459, 5,434,872, 5,732,094 and 5,299,313, which relate to Ethernet technologies. The complaint seeks unspecified damages and an injunction.</w:t>
      </w:r>
    </w:p>
    <w:p>
      <w:pPr>
        <w:spacing w:after="0" w:line="143"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District Court issued an order granting the defendants’ motion to transfer the action to the U.S. District Court for the Northern District of California; the case was formally transferred on August 23, 2010. On September 14, 2011, USEI withdrew its allegations against MSI for the ‘459 patent. The court issued a first claim construction ruling on January 31, 2012, and a supplemental claim construction ruling on August 29, 2012. On August 16, 2013, the District Court granted defendants’ summary judgment motion to preclude the plaintiff from recovering certain pre-suit damages. Trial is scheduled for January 5, 2015.</w:t>
      </w:r>
    </w:p>
    <w:p>
      <w:pPr>
        <w:spacing w:after="0" w:line="1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i w:val="1"/>
          <w:iCs w:val="1"/>
          <w:color w:val="auto"/>
        </w:rPr>
        <w:t xml:space="preserve">Lake Cherokee Patent I Litigation. </w:t>
      </w:r>
      <w:r>
        <w:rPr>
          <w:rFonts w:ascii="Arial" w:cs="Arial" w:eastAsia="Arial" w:hAnsi="Arial"/>
          <w:sz w:val="16"/>
          <w:szCs w:val="16"/>
          <w:color w:val="auto"/>
        </w:rPr>
        <w:t>On June 30, 2010, Lake Cherokee Hard Drive Technologies, L.L.C. (“Lake Cherokee”) filed a complaint in the U.S.</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Court for the Eastern District of Texas. The complaint alleges infringement of U.S. Patent Nos. 5,844,738 and 5,978,162 (collectively, the “Lake Cherokee patents”). The Lake Cherokee patents purportedly relate to read-channel integrated circuit devices, and to certain HDD products incorporating such devices. A claim construction ruling was issued on August 6, 2012. Lake Cherokee’s damages claim, which excluded non-U.S. related sales as a result of the District Court’s summary judgment ruling, was approximately $193 million at the start of trial. The case proceeded to trial on August 12, 2013. On August 16, 2013, an Eastern District of Texas jury returned a verdict and unanimously found that MSI did not infringe the Lake Cherokee patents. On the same day, the Court entered judgment in MSI’s favor. Lake Cherokee has since moved for a new trial.</w:t>
      </w:r>
    </w:p>
    <w:p>
      <w:pPr>
        <w:spacing w:after="0" w:line="118"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i w:val="1"/>
          <w:iCs w:val="1"/>
          <w:color w:val="auto"/>
        </w:rPr>
        <w:t xml:space="preserve">Lake Cherokee II Patent Litigation. </w:t>
      </w:r>
      <w:r>
        <w:rPr>
          <w:rFonts w:ascii="Arial" w:cs="Arial" w:eastAsia="Arial" w:hAnsi="Arial"/>
          <w:sz w:val="18"/>
          <w:szCs w:val="18"/>
          <w:color w:val="auto"/>
        </w:rPr>
        <w:t>On September 5, 2013, Lake Cherokee filed suit in the U.S. District Court for the Eastern District of Texas against</w:t>
      </w:r>
      <w:r>
        <w:rPr>
          <w:rFonts w:ascii="Arial" w:cs="Arial" w:eastAsia="Arial" w:hAnsi="Arial"/>
          <w:sz w:val="18"/>
          <w:szCs w:val="18"/>
          <w:i w:val="1"/>
          <w:iCs w:val="1"/>
          <w:color w:val="auto"/>
        </w:rPr>
        <w:t xml:space="preserve"> </w:t>
      </w:r>
      <w:r>
        <w:rPr>
          <w:rFonts w:ascii="Arial" w:cs="Arial" w:eastAsia="Arial" w:hAnsi="Arial"/>
          <w:sz w:val="18"/>
          <w:szCs w:val="18"/>
          <w:color w:val="auto"/>
        </w:rPr>
        <w:t>Marvell Asia Pte., Ltd. (“MAPL”) and several of the Company’s storage customers, alleging infringement of U.S. Patent Nos. 5,844,738 and 5,978,162 (the same Lake Cherokee patents found not infringed in Lake Cherokee I).</w:t>
      </w:r>
    </w:p>
    <w:p>
      <w:pPr>
        <w:spacing w:after="0" w:line="140"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i w:val="1"/>
          <w:iCs w:val="1"/>
          <w:color w:val="auto"/>
        </w:rPr>
        <w:t xml:space="preserve">Lake Cherokee III Patent Litigation. </w:t>
      </w:r>
      <w:r>
        <w:rPr>
          <w:rFonts w:ascii="Arial" w:cs="Arial" w:eastAsia="Arial" w:hAnsi="Arial"/>
          <w:sz w:val="18"/>
          <w:szCs w:val="18"/>
          <w:color w:val="auto"/>
        </w:rPr>
        <w:t>On September 25, 2013, Lake Cherokee filed suit in the U.S. District Court for the Eastern District of Texas against</w:t>
      </w:r>
      <w:r>
        <w:rPr>
          <w:rFonts w:ascii="Arial" w:cs="Arial" w:eastAsia="Arial" w:hAnsi="Arial"/>
          <w:sz w:val="18"/>
          <w:szCs w:val="18"/>
          <w:i w:val="1"/>
          <w:iCs w:val="1"/>
          <w:color w:val="auto"/>
        </w:rPr>
        <w:t xml:space="preserve"> </w:t>
      </w:r>
      <w:r>
        <w:rPr>
          <w:rFonts w:ascii="Arial" w:cs="Arial" w:eastAsia="Arial" w:hAnsi="Arial"/>
          <w:sz w:val="18"/>
          <w:szCs w:val="18"/>
          <w:color w:val="auto"/>
        </w:rPr>
        <w:t>MSI, MAPL and two of the Company’s customers, alleging infringement of U.S. Patent No. 5,583,706, which purportedly relates to certain HDD related technologies. MSI answered the complaint on November 29, 2013.</w:t>
      </w:r>
    </w:p>
    <w:p>
      <w:pPr>
        <w:spacing w:after="0" w:line="140"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i w:val="1"/>
          <w:iCs w:val="1"/>
          <w:color w:val="auto"/>
        </w:rPr>
        <w:t xml:space="preserve">Progressive Semiconductor Solutions Patent Litigation. </w:t>
      </w:r>
      <w:r>
        <w:rPr>
          <w:rFonts w:ascii="Arial" w:cs="Arial" w:eastAsia="Arial" w:hAnsi="Arial"/>
          <w:sz w:val="18"/>
          <w:szCs w:val="18"/>
          <w:color w:val="auto"/>
        </w:rPr>
        <w:t>On September 30, 2013, Progressive Semiconductor Solutions LLC (“PSS”) filed a complaint in</w:t>
      </w:r>
      <w:r>
        <w:rPr>
          <w:rFonts w:ascii="Arial" w:cs="Arial" w:eastAsia="Arial" w:hAnsi="Arial"/>
          <w:sz w:val="18"/>
          <w:szCs w:val="18"/>
          <w:i w:val="1"/>
          <w:iCs w:val="1"/>
          <w:color w:val="auto"/>
        </w:rPr>
        <w:t xml:space="preserve"> </w:t>
      </w:r>
      <w:r>
        <w:rPr>
          <w:rFonts w:ascii="Arial" w:cs="Arial" w:eastAsia="Arial" w:hAnsi="Arial"/>
          <w:sz w:val="18"/>
          <w:szCs w:val="18"/>
          <w:color w:val="auto"/>
        </w:rPr>
        <w:t>the Central District of California against MSI, asserting infringement of U.S. Patent Nos. 6,473,349 and 6,862,208 (collectively, the “PSS patents”). The PSS patents purportedly relate to certain memory devices. On November 19, 2013, PSS filed an amended complaint. MSI answered the first amended complaint on November 22, 2013.</w:t>
      </w:r>
    </w:p>
    <w:p>
      <w:pPr>
        <w:spacing w:after="0" w:line="143"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i w:val="1"/>
          <w:iCs w:val="1"/>
          <w:color w:val="auto"/>
        </w:rPr>
        <w:t xml:space="preserve">APT Patent Litigations. </w:t>
      </w:r>
      <w:r>
        <w:rPr>
          <w:rFonts w:ascii="Arial" w:cs="Arial" w:eastAsia="Arial" w:hAnsi="Arial"/>
          <w:sz w:val="16"/>
          <w:szCs w:val="16"/>
          <w:color w:val="auto"/>
        </w:rPr>
        <w:t>On January 18, 2011, Advanced Processor Technologies, LLC (“APT”), a subsidiary of Acacia Research Corp., filed a complaint</w:t>
      </w:r>
      <w:r>
        <w:rPr>
          <w:rFonts w:ascii="Arial" w:cs="Arial" w:eastAsia="Arial" w:hAnsi="Arial"/>
          <w:sz w:val="16"/>
          <w:szCs w:val="16"/>
          <w:i w:val="1"/>
          <w:iCs w:val="1"/>
          <w:color w:val="auto"/>
        </w:rPr>
        <w:t xml:space="preserve"> </w:t>
      </w:r>
      <w:r>
        <w:rPr>
          <w:rFonts w:ascii="Arial" w:cs="Arial" w:eastAsia="Arial" w:hAnsi="Arial"/>
          <w:sz w:val="16"/>
          <w:szCs w:val="16"/>
          <w:color w:val="auto"/>
        </w:rPr>
        <w:t>in the U.S. District Court for the Eastern District of Texas. The complaint names MSI and eight other defendants and alleged infringement of U.S. Patent Nos. 6,047,354 and 5,796,978. In April 2013, the parties reached an agreement to dismiss all claims and counterclaims. On June 25, 2013, MSI was dismissed from the cases. The resolution did not have a significant impact on the Company’s financial statements.</w:t>
      </w:r>
    </w:p>
    <w:p>
      <w:pPr>
        <w:spacing w:after="0" w:line="113"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i w:val="1"/>
          <w:iCs w:val="1"/>
          <w:color w:val="auto"/>
        </w:rPr>
        <w:t xml:space="preserve">MOSAID Litigation. </w:t>
      </w:r>
      <w:r>
        <w:rPr>
          <w:rFonts w:ascii="Arial" w:cs="Arial" w:eastAsia="Arial" w:hAnsi="Arial"/>
          <w:sz w:val="16"/>
          <w:szCs w:val="16"/>
          <w:color w:val="auto"/>
        </w:rPr>
        <w:t>On March 16, 2011, MOSAID Technologies Inc. filed suit in the U.S. District Court for the Eastern District of Texas against MSI and</w:t>
      </w:r>
      <w:r>
        <w:rPr>
          <w:rFonts w:ascii="Arial" w:cs="Arial" w:eastAsia="Arial" w:hAnsi="Arial"/>
          <w:sz w:val="16"/>
          <w:szCs w:val="16"/>
          <w:i w:val="1"/>
          <w:iCs w:val="1"/>
          <w:color w:val="auto"/>
        </w:rPr>
        <w:t xml:space="preserve"> </w:t>
      </w:r>
      <w:r>
        <w:rPr>
          <w:rFonts w:ascii="Arial" w:cs="Arial" w:eastAsia="Arial" w:hAnsi="Arial"/>
          <w:sz w:val="16"/>
          <w:szCs w:val="16"/>
          <w:color w:val="auto"/>
        </w:rPr>
        <w:t>16 other companies. The complaint alleges that defendants’ products, which operate in compliance with various IEEE 802.11 standards, infringe the six asserted patents (U.S. Patent Nos. 5,131,006; 5,151,920; 5,422,887; 5,706,428; 6,563,768; 6,992,972). MSI filed its answer and counterclaims on June 9, 2011. On March 28, 2012, MSI and other defendants filed a motion to transfer, which was denied. A claim construction hearing was held on April 16, 2013 and a claim construction ruling was issued by the magistrate judge on April 22, 2013. On June 3, 2013, the District Court issued an order denying plaintiff’s motion for reconsideration and adopted the magistrate’s claim construction ruling. On September 20, 2013, MSI and MOSAID entered a license agreement that settled the pending disputes between the parties, and on October 11, 2013, MSI was dismissed from the case. The settlement did not have a significant impact on the Company’s financial statements.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i w:val="1"/>
          <w:iCs w:val="1"/>
          <w:color w:val="auto"/>
        </w:rPr>
        <w:t xml:space="preserve">Azure Networks Litigation. </w:t>
      </w:r>
      <w:r>
        <w:rPr>
          <w:rFonts w:ascii="Arial" w:cs="Arial" w:eastAsia="Arial" w:hAnsi="Arial"/>
          <w:sz w:val="16"/>
          <w:szCs w:val="16"/>
          <w:color w:val="auto"/>
        </w:rPr>
        <w:t>On March 22, 2011, Azure Networks, LLC and Tri-County Excelsior Foundation filed suit in the U.S.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Eastern District of Texas against MSI and eight other companies. The Complaint asserts U.S. Patent No. 7,756,129 against MSI’s Bluetooth products. MSI filed its answer and counterclaims on July 20, 2011. On November 2, 2012, defendants filed a motion for summary judgment of invalidity, which was denied. A claim construction hearing was held on December 20, 2012. On January 15, 2013, the magistrate judge issued a claim construction ruling. On May 20, 2013, the District Court issued an order denying plaintiff’s motion for reconsideration and adopted the magistrate judge’s claim construction ruling. On May 30, 2013, the District Court entered a judgment of non-infringement. On June 24, 2013, Azure appealed, and the appeal has been briefed.</w:t>
      </w:r>
    </w:p>
    <w:p>
      <w:pPr>
        <w:spacing w:after="0" w:line="120"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(“PMS”), a subsidiary of Acacia Research Corp., filed a</w:t>
      </w:r>
      <w:r>
        <w:rPr>
          <w:rFonts w:ascii="Arial" w:cs="Arial" w:eastAsia="Arial" w:hAnsi="Arial"/>
          <w:sz w:val="16"/>
          <w:szCs w:val="16"/>
          <w:i w:val="1"/>
          <w:iCs w:val="1"/>
          <w:color w:val="auto"/>
        </w:rPr>
        <w:t xml:space="preserve"> </w:t>
      </w:r>
      <w:r>
        <w:rPr>
          <w:rFonts w:ascii="Arial" w:cs="Arial" w:eastAsia="Arial" w:hAnsi="Arial"/>
          <w:sz w:val="16"/>
          <w:szCs w:val="16"/>
          <w:color w:val="auto"/>
        </w:rPr>
        <w:t>complaint against the Company’s subsidiary Marvell Semiconductor, Ltd. (“MSL”) and other defendants, in the U.S. District Court for the District of Delaware. The complaint asserts U.S. Patent No. 5,504,909, which relates to a power management apparatus, against various products. The complaint seeks unspecified damages. On October 17, 2011, PMS amended its complaint by substituting MSL with MSI. MSI filed its answer and counterclaims on November 4, 2011. A claim construction hearing was held on January 18, 2013, and a ruling was issued on May 30, 2013. On June 14, 2013, the District Court entered a judgment of non-infringement. On June 17, 2013, PMS appealed, and the appeal has been briefed.</w:t>
      </w:r>
    </w:p>
    <w:p>
      <w:pPr>
        <w:spacing w:after="0" w:line="120" w:lineRule="exact"/>
        <w:rPr>
          <w:sz w:val="20"/>
          <w:szCs w:val="20"/>
          <w:color w:val="auto"/>
        </w:rPr>
      </w:pPr>
    </w:p>
    <w:p>
      <w:pPr>
        <w:ind w:right="260" w:firstLine="456"/>
        <w:spacing w:after="0" w:line="286" w:lineRule="auto"/>
        <w:rPr>
          <w:sz w:val="20"/>
          <w:szCs w:val="20"/>
          <w:color w:val="auto"/>
        </w:rPr>
      </w:pPr>
      <w:r>
        <w:rPr>
          <w:rFonts w:ascii="Arial" w:cs="Arial" w:eastAsia="Arial" w:hAnsi="Arial"/>
          <w:sz w:val="16"/>
          <w:szCs w:val="16"/>
          <w:i w:val="1"/>
          <w:iCs w:val="1"/>
          <w:color w:val="auto"/>
        </w:rPr>
        <w:t xml:space="preserve">HSM/TPL Litigation. </w:t>
      </w:r>
      <w:r>
        <w:rPr>
          <w:rFonts w:ascii="Arial" w:cs="Arial" w:eastAsia="Arial" w:hAnsi="Arial"/>
          <w:sz w:val="16"/>
          <w:szCs w:val="16"/>
          <w:color w:val="auto"/>
        </w:rPr>
        <w:t>On September 1, 2011, HSM Portfolio, LLC and Technology Properties Limited, LLC filed a complaint against the Company and</w:t>
      </w:r>
      <w:r>
        <w:rPr>
          <w:rFonts w:ascii="Arial" w:cs="Arial" w:eastAsia="Arial" w:hAnsi="Arial"/>
          <w:sz w:val="16"/>
          <w:szCs w:val="16"/>
          <w:i w:val="1"/>
          <w:iCs w:val="1"/>
          <w:color w:val="auto"/>
        </w:rPr>
        <w:t xml:space="preserve"> </w:t>
      </w:r>
      <w:r>
        <w:rPr>
          <w:rFonts w:ascii="Arial" w:cs="Arial" w:eastAsia="Arial" w:hAnsi="Arial"/>
          <w:sz w:val="16"/>
          <w:szCs w:val="16"/>
          <w:color w:val="auto"/>
        </w:rPr>
        <w:t>MSL in the U.S. District Court for the District of Delaware. The complaint also named numerous other defendants. The complaint asserted U.S. Patent</w:t>
      </w:r>
    </w:p>
    <w:p>
      <w:pPr>
        <w:ind w:right="140"/>
        <w:spacing w:after="0" w:line="254" w:lineRule="auto"/>
        <w:rPr>
          <w:sz w:val="20"/>
          <w:szCs w:val="20"/>
          <w:color w:val="auto"/>
        </w:rPr>
      </w:pPr>
      <w:r>
        <w:rPr>
          <w:rFonts w:ascii="Arial" w:cs="Arial" w:eastAsia="Arial" w:hAnsi="Arial"/>
          <w:sz w:val="18"/>
          <w:szCs w:val="18"/>
          <w:color w:val="auto"/>
        </w:rPr>
        <w:t>No. 5,030,853, relating to high speed logic and memory circuitry, against various products. The complaint sought unspecified damages. On January 9, 2012, HSM/TPL filed an amended complaint adding MSI to the case. On February 15, 2012, the Company and MSL were dismissed from the case. On June 10, 2013, MSI and HSM/TPL reached a settlement and on June 25, 2013, MSI was dismissed from the case. The settlement did not have a significant impact on the Company’s financial statements.</w:t>
      </w:r>
    </w:p>
    <w:p>
      <w:pPr>
        <w:spacing w:after="0" w:line="144"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i w:val="1"/>
          <w:iCs w:val="1"/>
          <w:color w:val="auto"/>
        </w:rPr>
        <w:t xml:space="preserve">France Telecom Litigation. </w:t>
      </w:r>
      <w:r>
        <w:rPr>
          <w:rFonts w:ascii="Arial" w:cs="Arial" w:eastAsia="Arial" w:hAnsi="Arial"/>
          <w:sz w:val="16"/>
          <w:szCs w:val="16"/>
          <w:color w:val="auto"/>
        </w:rPr>
        <w:t>On June 26, 2012, France Telecom S.A. (“France Telecom”) filed a complaint against MSI in the U.S.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Southern District of New York. The complaint asserts U.S. Patent No. 5,446,747 against MSI’s communications processors and thin modems. The complaint seeks unspecified damages as well as injunctive relief. MSI answered the complaint on July 18, 2012 and August 1, 2012. On July 30, 2012, MSI filed a motion to transfer the lawsuit to the U.S. District Court for the Northern District of California. On September 17, 2012, the Court granted MSI’s motion and transferred the case to the Northern District of California. A claim construction hearing is set for December 13, 2013. Trial is scheduled for May 12, 2014.</w:t>
      </w:r>
    </w:p>
    <w:p>
      <w:pPr>
        <w:spacing w:after="0" w:line="116"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i w:val="1"/>
          <w:iCs w:val="1"/>
          <w:color w:val="auto"/>
        </w:rPr>
        <w:t xml:space="preserve">Freescale Litigation. </w:t>
      </w:r>
      <w:r>
        <w:rPr>
          <w:rFonts w:ascii="Arial" w:cs="Arial" w:eastAsia="Arial" w:hAnsi="Arial"/>
          <w:sz w:val="18"/>
          <w:szCs w:val="18"/>
          <w:color w:val="auto"/>
        </w:rPr>
        <w:t>On July 6, 2012, Freescale Semiconductor, Inc. (“Freescale”) filed a complaint against MSI in the U.S. District Court for the Western</w:t>
      </w:r>
      <w:r>
        <w:rPr>
          <w:rFonts w:ascii="Arial" w:cs="Arial" w:eastAsia="Arial" w:hAnsi="Arial"/>
          <w:sz w:val="18"/>
          <w:szCs w:val="18"/>
          <w:i w:val="1"/>
          <w:iCs w:val="1"/>
          <w:color w:val="auto"/>
        </w:rPr>
        <w:t xml:space="preserve"> </w:t>
      </w:r>
      <w:r>
        <w:rPr>
          <w:rFonts w:ascii="Arial" w:cs="Arial" w:eastAsia="Arial" w:hAnsi="Arial"/>
          <w:sz w:val="18"/>
          <w:szCs w:val="18"/>
          <w:color w:val="auto"/>
        </w:rPr>
        <w:t>District of Texas. The complaint asserts U.S. Patent Nos. 6,920,316, 5,825,640, 5,943,274, 5,467,455 and 7,927,927 against certain of the Company’s integrated circuits and/or chipsets. The complaint seeks unspecified damages and a permanent injunction. Freescale filed an amended complaint on January 14, 2013, and withdrew its assertion of U.S. Patent No. 5,825,640; MSI filed its answer to the amended complaint on February 4, 2013. This case has been consolidated for pre-trial purposes with nine other pending cases. A claim construction hearing was held on October 24, 2013, and will be completed on December 13, 2013. No trial date has been set.</w:t>
      </w:r>
    </w:p>
    <w:p>
      <w:pPr>
        <w:spacing w:after="0" w:line="144" w:lineRule="exact"/>
        <w:rPr>
          <w:sz w:val="20"/>
          <w:szCs w:val="20"/>
          <w:color w:val="auto"/>
        </w:rPr>
      </w:pPr>
    </w:p>
    <w:p>
      <w:pPr>
        <w:ind w:right="160" w:firstLine="456"/>
        <w:spacing w:after="0" w:line="335" w:lineRule="auto"/>
        <w:rPr>
          <w:sz w:val="20"/>
          <w:szCs w:val="20"/>
          <w:color w:val="auto"/>
        </w:rPr>
      </w:pPr>
      <w:r>
        <w:rPr>
          <w:rFonts w:ascii="Arial" w:cs="Arial" w:eastAsia="Arial" w:hAnsi="Arial"/>
          <w:sz w:val="15"/>
          <w:szCs w:val="15"/>
          <w:color w:val="auto"/>
        </w:rPr>
        <w:t>On January 4, 2013, three of the Company’s subsidiaries, MSI, Marvell International Ltd. and Marvell World Trade Ltd., filed a complaint against Freescale in the U.S. District Court for the Western District of Texas, and filed an amended complaint on January 14, 2013. The amended complaint alleges that Freescale infringes U.S. Patents Nos. 6,903,448 and 7,379,718. A claim construction hearing is scheduled for December 13, 2013. No trial date has been set.</w:t>
      </w:r>
    </w:p>
    <w:p>
      <w:pPr>
        <w:spacing w:after="0" w:line="16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plans to appeal the final judgment issued by the District Court in the CMU litigation, regardless of the dollar amount of the final judgment. The Company anticipates that it will need a surety bond in connection with the Company’s appeal of the judgment to the U.S. Court of Appeals for the Federal Circuit in Washington D.C., or possibly sooner while rulings on the remaining post-trial motions are pending. During October 2013, the Company entered into indemnity agreements with a consortium of insurers that would provide financial assurance that each of the insurers will be indemnified by the Company should a loss occur under a surety bond. The Company expects that under a surety bond, the surety companies would agree to guarantee to the District Court in Pittsburgh the Company’s payment of a specific amount, to be determined. Under a surety bond, cash, cash equivalents, and short term investments may need to be posted as collateral and classified as restricted cash in future filings. As of November 2, 2013 and as of the date of this filing, no surety bond has been issued. Therefore, these indemnity agreements have had no impact to the Company’s Condensed Consolidated Balance Sheets as of November 2, 2013.</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Activity under the Company’s stock option plans for the nine months ended November 2, 2013 is summarized below (in thousands, except per share amounts):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2220" w:type="dxa"/>
            <w:vAlign w:val="bottom"/>
            <w:gridSpan w:val="6"/>
          </w:tcPr>
          <w:p>
            <w:pPr>
              <w:ind w:left="320"/>
              <w:spacing w:after="0"/>
              <w:rPr>
                <w:sz w:val="20"/>
                <w:szCs w:val="20"/>
                <w:color w:val="auto"/>
              </w:rPr>
            </w:pPr>
            <w:r>
              <w:rPr>
                <w:rFonts w:ascii="Arial" w:cs="Arial" w:eastAsia="Arial" w:hAnsi="Arial"/>
                <w:sz w:val="14"/>
                <w:szCs w:val="14"/>
                <w:b w:val="1"/>
                <w:bCs w:val="1"/>
                <w:color w:val="auto"/>
              </w:rPr>
              <w:t>Time-Based Options</w:t>
            </w:r>
          </w:p>
        </w:tc>
        <w:tc>
          <w:tcPr>
            <w:tcW w:w="2200" w:type="dxa"/>
            <w:vAlign w:val="bottom"/>
            <w:gridSpan w:val="5"/>
          </w:tcPr>
          <w:p>
            <w:pPr>
              <w:ind w:left="260"/>
              <w:spacing w:after="0"/>
              <w:rPr>
                <w:sz w:val="20"/>
                <w:szCs w:val="20"/>
                <w:color w:val="auto"/>
              </w:rPr>
            </w:pPr>
            <w:r>
              <w:rPr>
                <w:rFonts w:ascii="Arial" w:cs="Arial" w:eastAsia="Arial" w:hAnsi="Arial"/>
                <w:sz w:val="14"/>
                <w:szCs w:val="14"/>
                <w:b w:val="1"/>
                <w:bCs w:val="1"/>
                <w:color w:val="auto"/>
              </w:rPr>
              <w:t>Market-Based Options</w:t>
            </w: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7"/>
              <w:spacing w:after="0" w:line="129" w:lineRule="exact"/>
              <w:rPr>
                <w:sz w:val="20"/>
                <w:szCs w:val="20"/>
                <w:color w:val="auto"/>
              </w:rPr>
            </w:pPr>
            <w:r>
              <w:rPr>
                <w:rFonts w:ascii="Arial" w:cs="Arial" w:eastAsia="Arial" w:hAnsi="Arial"/>
                <w:sz w:val="14"/>
                <w:szCs w:val="14"/>
                <w:b w:val="1"/>
                <w:bCs w:val="1"/>
                <w:color w:val="auto"/>
                <w:w w:val="88"/>
              </w:rPr>
              <w:t>Weighted</w:t>
            </w:r>
          </w:p>
        </w:tc>
        <w:tc>
          <w:tcPr>
            <w:tcW w:w="3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8"/>
              </w:rPr>
              <w:t>Weighted</w:t>
            </w: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85"/>
              </w:rPr>
              <w:t>Number of</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3"/>
              </w:rPr>
              <w:t>Average</w:t>
            </w: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20" w:type="dxa"/>
            <w:vAlign w:val="bottom"/>
          </w:tcPr>
          <w:p>
            <w:pPr>
              <w:spacing w:after="0"/>
              <w:rPr>
                <w:sz w:val="12"/>
                <w:szCs w:val="12"/>
                <w:color w:val="auto"/>
              </w:rPr>
            </w:pPr>
          </w:p>
        </w:tc>
        <w:tc>
          <w:tcPr>
            <w:tcW w:w="108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6"/>
              </w:rPr>
              <w:t>Average</w:t>
            </w: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w w:val="88"/>
              </w:rPr>
              <w:t>Number of</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200" w:type="dxa"/>
            <w:vAlign w:val="bottom"/>
            <w:gridSpan w:val="3"/>
          </w:tcPr>
          <w:p>
            <w:pPr>
              <w:jc w:val="center"/>
              <w:ind w:right="380"/>
              <w:spacing w:after="0"/>
              <w:rPr>
                <w:sz w:val="20"/>
                <w:szCs w:val="20"/>
                <w:color w:val="auto"/>
              </w:rPr>
            </w:pPr>
            <w:r>
              <w:rPr>
                <w:rFonts w:ascii="Arial" w:cs="Arial" w:eastAsia="Arial" w:hAnsi="Arial"/>
                <w:sz w:val="14"/>
                <w:szCs w:val="14"/>
                <w:b w:val="1"/>
                <w:bCs w:val="1"/>
                <w:color w:val="auto"/>
                <w:w w:val="85"/>
              </w:rPr>
              <w:t>Exercise Price</w:t>
            </w: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7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Shares</w:t>
            </w:r>
          </w:p>
        </w:tc>
        <w:tc>
          <w:tcPr>
            <w:tcW w:w="28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2, 2013</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49,637</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13.28</w:t>
            </w:r>
          </w:p>
        </w:tc>
        <w:tc>
          <w:tcPr>
            <w:tcW w:w="38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2,759</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tcBorders>
            <w:shd w:val="clear" w:color="auto" w:fill="CCEEFF"/>
          </w:tcPr>
          <w:p>
            <w:pPr>
              <w:jc w:val="center"/>
              <w:ind w:left="238"/>
              <w:spacing w:after="0"/>
              <w:rPr>
                <w:sz w:val="20"/>
                <w:szCs w:val="20"/>
                <w:color w:val="auto"/>
              </w:rPr>
            </w:pPr>
            <w:r>
              <w:rPr>
                <w:rFonts w:ascii="Arial" w:cs="Arial" w:eastAsia="Arial" w:hAnsi="Arial"/>
                <w:sz w:val="18"/>
                <w:szCs w:val="18"/>
                <w:color w:val="auto"/>
                <w:w w:val="88"/>
              </w:rPr>
              <w:t>15.43</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52,396</w:t>
            </w:r>
          </w:p>
        </w:tc>
        <w:tc>
          <w:tcPr>
            <w:tcW w:w="1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Granted</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18,763</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10.79</w:t>
            </w:r>
          </w:p>
        </w:tc>
        <w:tc>
          <w:tcPr>
            <w:tcW w:w="100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20"/>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18,763</w:t>
            </w:r>
          </w:p>
        </w:tc>
        <w:tc>
          <w:tcPr>
            <w:tcW w:w="10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10.79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(7,275)</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8.36</w:t>
            </w:r>
          </w:p>
        </w:tc>
        <w:tc>
          <w:tcPr>
            <w:tcW w:w="10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2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(7,275)</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(2,631)</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15.22</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(53)</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40"/>
              <w:spacing w:after="0"/>
              <w:rPr>
                <w:sz w:val="20"/>
                <w:szCs w:val="20"/>
                <w:color w:val="auto"/>
              </w:rPr>
            </w:pPr>
            <w:r>
              <w:rPr>
                <w:rFonts w:ascii="Arial" w:cs="Arial" w:eastAsia="Arial" w:hAnsi="Arial"/>
                <w:sz w:val="18"/>
                <w:szCs w:val="18"/>
                <w:color w:val="auto"/>
                <w:w w:val="88"/>
              </w:rPr>
              <w:t>15.43</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(2,684)</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15.23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Balance at November 2, 2013</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58,494</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13.01</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2,706</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40"/>
              <w:spacing w:after="0"/>
              <w:rPr>
                <w:sz w:val="20"/>
                <w:szCs w:val="20"/>
                <w:color w:val="auto"/>
              </w:rPr>
            </w:pPr>
            <w:r>
              <w:rPr>
                <w:rFonts w:ascii="Arial" w:cs="Arial" w:eastAsia="Arial" w:hAnsi="Arial"/>
                <w:sz w:val="18"/>
                <w:szCs w:val="18"/>
                <w:color w:val="auto"/>
                <w:w w:val="88"/>
              </w:rPr>
              <w:t>15.43</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61,200</w:t>
            </w:r>
          </w:p>
        </w:tc>
        <w:tc>
          <w:tcPr>
            <w:tcW w:w="10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November 2, 2013</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vMerge w:val="restart"/>
          </w:tcPr>
          <w:p>
            <w:pPr>
              <w:jc w:val="right"/>
              <w:ind w:right="380"/>
              <w:spacing w:after="0"/>
              <w:rPr>
                <w:sz w:val="20"/>
                <w:szCs w:val="20"/>
                <w:color w:val="auto"/>
              </w:rPr>
            </w:pPr>
            <w:r>
              <w:rPr>
                <w:rFonts w:ascii="Arial" w:cs="Arial" w:eastAsia="Arial" w:hAnsi="Arial"/>
                <w:sz w:val="18"/>
                <w:szCs w:val="18"/>
                <w:color w:val="auto"/>
              </w:rPr>
              <w:t>13.11</w:t>
            </w: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60" w:type="dxa"/>
            <w:vAlign w:val="bottom"/>
            <w:gridSpan w:val="2"/>
            <w:vMerge w:val="continue"/>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54,756</w:t>
            </w:r>
          </w:p>
        </w:tc>
        <w:tc>
          <w:tcPr>
            <w:tcW w:w="260" w:type="dxa"/>
            <w:vAlign w:val="bottom"/>
            <w:gridSpan w:val="2"/>
            <w:vMerge w:val="continue"/>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6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November 2, 2013</w:t>
            </w: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33,914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13.85</w:t>
            </w:r>
          </w:p>
        </w:tc>
        <w:tc>
          <w:tcPr>
            <w:tcW w:w="6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For time-based stock options vested and expected to vest at November 2, 2013, the aggregate intrinsic value was $66.5 million and the weighted average remaining contractual term was 5.6 years. For time-based stock options exercisable at November 2, 2013, the aggregate intrinsic value was $46.1 million and the weighted average remaining contractual term was 3.5 years. The aggregate intrinsic value of stock options exercised during the three months ended November 2, 2013 and October 27, 2012 was $5.6 million and $6.0 million, respectively. The aggregate intrinsic value of stock options exercised during the nine months ended November 2, 2013 and October 27, 2012 was $21.7 million and $29.7 million, respectively. There was no aggregate intrinsic value for market-based stock options at November 2, 2013 and the weighted average remaining contractual term of market-based stock options vested and expected to reach the end of the vesting period at November 2, 2013 was 7.5 years. The Company’s closing stock price of $12.02 as reported on the NASDAQ Global Select Market for all in-the-money options as of November 1, 2013 was used to calculate the aggregate intrinsic value.</w:t>
      </w:r>
    </w:p>
    <w:p>
      <w:pPr>
        <w:spacing w:after="0" w:line="118"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color w:val="auto"/>
        </w:rPr>
        <w:t>As of November 2, 2013, the unamortized compensation expense for time-based stock options was $71.4 million and market-based stock options was $0.7 million. The unamortized compensation expense for time-based and market-based stock options will be amortized on a straight-line basis and is expected to be recognized over a weighted-average period of 3.1 years and 0.2 years, respectively.</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share prices):</w:t>
      </w:r>
    </w:p>
    <w:p>
      <w:pPr>
        <w:spacing w:after="0" w:line="218"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2760" w:type="dxa"/>
            <w:vAlign w:val="bottom"/>
            <w:gridSpan w:val="3"/>
          </w:tcPr>
          <w:p>
            <w:pPr>
              <w:jc w:val="center"/>
              <w:ind w:left="819"/>
              <w:spacing w:after="0"/>
              <w:rPr>
                <w:sz w:val="20"/>
                <w:szCs w:val="20"/>
                <w:color w:val="auto"/>
              </w:rPr>
            </w:pPr>
            <w:r>
              <w:rPr>
                <w:rFonts w:ascii="Arial" w:cs="Arial" w:eastAsia="Arial" w:hAnsi="Arial"/>
                <w:sz w:val="14"/>
                <w:szCs w:val="14"/>
                <w:b w:val="1"/>
                <w:bCs w:val="1"/>
                <w:color w:val="auto"/>
                <w:w w:val="85"/>
              </w:rPr>
              <w:t>Restricted Stock</w:t>
            </w:r>
          </w:p>
        </w:tc>
        <w:tc>
          <w:tcPr>
            <w:tcW w:w="1560" w:type="dxa"/>
            <w:vAlign w:val="bottom"/>
            <w:gridSpan w:val="4"/>
          </w:tcPr>
          <w:p>
            <w:pPr>
              <w:ind w:left="400"/>
              <w:spacing w:after="0"/>
              <w:rPr>
                <w:sz w:val="20"/>
                <w:szCs w:val="20"/>
                <w:color w:val="auto"/>
              </w:rPr>
            </w:pPr>
            <w:r>
              <w:rPr>
                <w:rFonts w:ascii="Arial" w:cs="Arial" w:eastAsia="Arial" w:hAnsi="Arial"/>
                <w:sz w:val="14"/>
                <w:szCs w:val="14"/>
                <w:b w:val="1"/>
                <w:bCs w:val="1"/>
                <w:color w:val="auto"/>
                <w:w w:val="93"/>
              </w:rPr>
              <w:t>Weighted Average</w:t>
            </w:r>
          </w:p>
        </w:tc>
      </w:tr>
      <w:tr>
        <w:trPr>
          <w:trHeight w:val="149"/>
        </w:trPr>
        <w:tc>
          <w:tcPr>
            <w:tcW w:w="20" w:type="dxa"/>
            <w:vAlign w:val="bottom"/>
          </w:tcPr>
          <w:p>
            <w:pPr>
              <w:spacing w:after="0"/>
              <w:rPr>
                <w:sz w:val="12"/>
                <w:szCs w:val="12"/>
                <w:color w:val="auto"/>
              </w:rPr>
            </w:pPr>
          </w:p>
        </w:tc>
        <w:tc>
          <w:tcPr>
            <w:tcW w:w="342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14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5"/>
              </w:rPr>
              <w:t>Units</w:t>
            </w:r>
          </w:p>
        </w:tc>
        <w:tc>
          <w:tcPr>
            <w:tcW w:w="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Grant Date</w:t>
            </w:r>
          </w:p>
        </w:tc>
      </w:tr>
      <w:tr>
        <w:trPr>
          <w:trHeight w:val="161"/>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40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7"/>
              </w:rPr>
              <w:t>Outstanding</w:t>
            </w: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20" w:type="dxa"/>
            <w:vAlign w:val="bottom"/>
          </w:tcPr>
          <w:p>
            <w:pPr>
              <w:spacing w:after="0"/>
              <w:rPr>
                <w:sz w:val="18"/>
                <w:szCs w:val="18"/>
                <w:color w:val="auto"/>
              </w:rPr>
            </w:pPr>
          </w:p>
        </w:tc>
        <w:tc>
          <w:tcPr>
            <w:tcW w:w="34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2, 2013</w:t>
            </w:r>
          </w:p>
        </w:tc>
        <w:tc>
          <w:tcPr>
            <w:tcW w:w="136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12,739</w:t>
            </w:r>
          </w:p>
        </w:tc>
        <w:tc>
          <w:tcPr>
            <w:tcW w:w="44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420" w:type="dxa"/>
            <w:vAlign w:val="bottom"/>
          </w:tcPr>
          <w:p>
            <w:pPr>
              <w:ind w:left="420"/>
              <w:spacing w:after="0"/>
              <w:rPr>
                <w:sz w:val="20"/>
                <w:szCs w:val="20"/>
                <w:color w:val="auto"/>
              </w:rPr>
            </w:pPr>
            <w:r>
              <w:rPr>
                <w:rFonts w:ascii="Arial" w:cs="Arial" w:eastAsia="Arial" w:hAnsi="Arial"/>
                <w:sz w:val="18"/>
                <w:szCs w:val="18"/>
                <w:color w:val="auto"/>
              </w:rPr>
              <w:t>Granted</w:t>
            </w:r>
          </w:p>
        </w:tc>
        <w:tc>
          <w:tcPr>
            <w:tcW w:w="2320" w:type="dxa"/>
            <w:vAlign w:val="bottom"/>
            <w:gridSpan w:val="2"/>
          </w:tcPr>
          <w:p>
            <w:pPr>
              <w:jc w:val="right"/>
              <w:spacing w:after="0"/>
              <w:rPr>
                <w:sz w:val="20"/>
                <w:szCs w:val="20"/>
                <w:color w:val="auto"/>
              </w:rPr>
            </w:pPr>
            <w:r>
              <w:rPr>
                <w:rFonts w:ascii="Arial" w:cs="Arial" w:eastAsia="Arial" w:hAnsi="Arial"/>
                <w:sz w:val="18"/>
                <w:szCs w:val="18"/>
                <w:color w:val="auto"/>
              </w:rPr>
              <w:t>3,509</w:t>
            </w:r>
          </w:p>
        </w:tc>
        <w:tc>
          <w:tcPr>
            <w:tcW w:w="440" w:type="dxa"/>
            <w:vAlign w:val="bottom"/>
          </w:tcPr>
          <w:p>
            <w:pPr>
              <w:spacing w:after="0"/>
              <w:rPr>
                <w:sz w:val="18"/>
                <w:szCs w:val="18"/>
                <w:color w:val="auto"/>
              </w:rPr>
            </w:pP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10.56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2760" w:type="dxa"/>
            <w:vAlign w:val="bottom"/>
            <w:gridSpan w:val="3"/>
            <w:shd w:val="clear" w:color="auto" w:fill="CCEEFF"/>
          </w:tcPr>
          <w:p>
            <w:pPr>
              <w:jc w:val="right"/>
              <w:ind w:right="400"/>
              <w:spacing w:after="0"/>
              <w:rPr>
                <w:sz w:val="20"/>
                <w:szCs w:val="20"/>
                <w:color w:val="auto"/>
              </w:rPr>
            </w:pPr>
            <w:r>
              <w:rPr>
                <w:rFonts w:ascii="Arial" w:cs="Arial" w:eastAsia="Arial" w:hAnsi="Arial"/>
                <w:sz w:val="18"/>
                <w:szCs w:val="18"/>
                <w:color w:val="auto"/>
              </w:rPr>
              <w:t>(3,729)</w:t>
            </w: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16.31</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4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360" w:type="dxa"/>
            <w:vAlign w:val="bottom"/>
          </w:tcPr>
          <w:p>
            <w:pPr>
              <w:spacing w:after="0"/>
              <w:rPr>
                <w:sz w:val="19"/>
                <w:szCs w:val="19"/>
                <w:color w:val="auto"/>
              </w:rPr>
            </w:pPr>
          </w:p>
        </w:tc>
        <w:tc>
          <w:tcPr>
            <w:tcW w:w="1400" w:type="dxa"/>
            <w:vAlign w:val="bottom"/>
            <w:gridSpan w:val="2"/>
          </w:tcPr>
          <w:p>
            <w:pPr>
              <w:jc w:val="right"/>
              <w:ind w:right="400"/>
              <w:spacing w:after="0"/>
              <w:rPr>
                <w:sz w:val="20"/>
                <w:szCs w:val="20"/>
                <w:color w:val="auto"/>
              </w:rPr>
            </w:pPr>
            <w:r>
              <w:rPr>
                <w:rFonts w:ascii="Arial" w:cs="Arial" w:eastAsia="Arial" w:hAnsi="Arial"/>
                <w:sz w:val="18"/>
                <w:szCs w:val="18"/>
                <w:color w:val="auto"/>
              </w:rPr>
              <w:t>(902)</w:t>
            </w:r>
          </w:p>
        </w:tc>
        <w:tc>
          <w:tcPr>
            <w:tcW w:w="54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14.40</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420" w:type="dxa"/>
            <w:vAlign w:val="bottom"/>
            <w:shd w:val="clear" w:color="auto" w:fill="CCEEFF"/>
          </w:tcPr>
          <w:p>
            <w:pPr>
              <w:spacing w:after="0"/>
              <w:rPr>
                <w:sz w:val="20"/>
                <w:szCs w:val="20"/>
                <w:color w:val="auto"/>
              </w:rPr>
            </w:pPr>
            <w:r>
              <w:rPr>
                <w:rFonts w:ascii="Arial" w:cs="Arial" w:eastAsia="Arial" w:hAnsi="Arial"/>
                <w:sz w:val="18"/>
                <w:szCs w:val="18"/>
                <w:color w:val="auto"/>
              </w:rPr>
              <w:t>Balance at November 2, 2013</w:t>
            </w:r>
          </w:p>
        </w:tc>
        <w:tc>
          <w:tcPr>
            <w:tcW w:w="1360" w:type="dxa"/>
            <w:vAlign w:val="bottom"/>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11,617</w:t>
            </w:r>
          </w:p>
        </w:tc>
        <w:tc>
          <w:tcPr>
            <w:tcW w:w="4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14.14</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4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The aggregate intrinsic value of restricted stock units expected to vest as of November 2, 2013 was $127.8 million. The number of restricted stock units that are expected to vest is 10.6 million shares.</w:t>
      </w:r>
    </w:p>
    <w:p>
      <w:pPr>
        <w:spacing w:after="0" w:line="132" w:lineRule="exact"/>
        <w:rPr>
          <w:sz w:val="20"/>
          <w:szCs w:val="20"/>
          <w:color w:val="auto"/>
        </w:rPr>
      </w:pPr>
    </w:p>
    <w:p>
      <w:pPr>
        <w:ind w:right="120" w:firstLine="456"/>
        <w:spacing w:after="0" w:line="332" w:lineRule="auto"/>
        <w:rPr>
          <w:sz w:val="20"/>
          <w:szCs w:val="20"/>
          <w:color w:val="auto"/>
        </w:rPr>
      </w:pPr>
      <w:r>
        <w:rPr>
          <w:rFonts w:ascii="Arial" w:cs="Arial" w:eastAsia="Arial" w:hAnsi="Arial"/>
          <w:sz w:val="16"/>
          <w:szCs w:val="16"/>
          <w:color w:val="auto"/>
        </w:rPr>
        <w:t>As of November 2, 2013, unamortized compensation expense related to restricted stock units was $106.0 million. The unamortized compensation expense for restricted stock units will be amortized on a straight-line basis and is expected to be recognized over a weighted-average period of 1.9 years.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During the three months ended November 2, 2013 and October 27, 2012, the Company issued no shares under the 2000 Employee Stock Purchase Plan, as amended and restated (the “ESPP”). A total of 5.0 million shares were issued at a weighted-average price of $7.34 per share in the nine months ended November 2, 2013 and a total of 3.3 million shares were issued at a weighted-average price of $10.40 per share under the ESPP in the nine months ended October 27, 2012. As of November 2, 2013, there was $27.9 million of unrecognized compensation cost related to the ESPP.</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Company repurchased 6.1 million of its common shares for $71.3 million in cash during the three months ended November 2, 2013 and 22.9 million of</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its common shares for $203.0 million in cash during the three months ended October 27, 2012. The Company repurchased 33.2 million common shares for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$354.1 million in cash during the nine months ended November 2, 2013 and 57.3 million common shares for $676.5 million in cash during the nine months ended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October 27, 2012.The repurchased shares were retired immediately after the repurchases were completed. The Company records all repurchases, as well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investment purchases and sales, based on trade date. As of November 2, 2013, a total of 216.9 million cumulative shares have been repurchased under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Company’s share repurchase program for a total $2.7 billion in cash and there was $258.4 million remaining available for future share repurchases.</w:t>
      </w:r>
    </w:p>
    <w:p>
      <w:pPr>
        <w:spacing w:after="0" w:line="26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jc w:val="both"/>
        <w:ind w:right="20" w:firstLine="456"/>
        <w:spacing w:after="0" w:line="335" w:lineRule="auto"/>
        <w:rPr>
          <w:sz w:val="20"/>
          <w:szCs w:val="20"/>
          <w:color w:val="auto"/>
        </w:rPr>
      </w:pPr>
      <w:r>
        <w:rPr>
          <w:rFonts w:ascii="Arial" w:cs="Arial" w:eastAsia="Arial" w:hAnsi="Arial"/>
          <w:sz w:val="15"/>
          <w:szCs w:val="15"/>
          <w:color w:val="auto"/>
        </w:rPr>
        <w:t>Cash dividends of $0.06 per share were paid for a total of $29.6 million in the three months ended November 2, 2013 and cash dividends of $0.18 per share were paid for a total of $89.6 million in the nine months ended November 2, 2013. Cash dividends of $0.06 per share were paid for a total of $33.5 million in the three months ended October 27, 2012 and cash dividends of $0.12 per share were paid for a total of $67.0 million in the nine months ended October 27, 2012.</w:t>
      </w:r>
    </w:p>
    <w:p>
      <w:pPr>
        <w:spacing w:after="0" w:line="88" w:lineRule="exact"/>
        <w:rPr>
          <w:sz w:val="20"/>
          <w:szCs w:val="20"/>
          <w:color w:val="auto"/>
        </w:rPr>
      </w:pPr>
    </w:p>
    <w:p>
      <w:pPr>
        <w:jc w:val="both"/>
        <w:ind w:firstLine="456"/>
        <w:spacing w:after="0" w:line="268" w:lineRule="auto"/>
        <w:rPr>
          <w:sz w:val="20"/>
          <w:szCs w:val="20"/>
          <w:color w:val="auto"/>
        </w:rPr>
      </w:pPr>
      <w:r>
        <w:rPr>
          <w:rFonts w:ascii="Arial" w:cs="Arial" w:eastAsia="Arial" w:hAnsi="Arial"/>
          <w:sz w:val="18"/>
          <w:szCs w:val="18"/>
          <w:color w:val="auto"/>
        </w:rPr>
        <w:t>On November 21, 2013, the Company announced that its board of directors declared a cash dividend of $0.06 per share to be paid on December 23, 2013 to shareholders of record as of December 12, 2013.</w:t>
      </w:r>
    </w:p>
    <w:p>
      <w:pPr>
        <w:spacing w:after="0" w:line="132"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Future payment of a regular quarterly cash dividend on the Company’s common shares will be subject to, among other things, the best interests of the Company, the Company’s results of operations, cash balances and future cash requirements, financial condition, statutory requirements under Bermuda law and other factors that the Company’s board of directors may deem relevant. The Company’s dividend payments may change from time to time, and the Company cannot provide assurance that it will continue to declare dividends at all or in any particular amounts. In addition, developments in on-going litigation could affect the Company’s ability to make a dividend payment on a declared payment date until such time as the Company can meet statutory requirements under Bermuda law.</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9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8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40" w:type="dxa"/>
            <w:vAlign w:val="bottom"/>
            <w:gridSpan w:val="5"/>
          </w:tcPr>
          <w:p>
            <w:pPr>
              <w:ind w:left="28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3900" w:type="dxa"/>
            <w:vAlign w:val="bottom"/>
          </w:tcPr>
          <w:p>
            <w:pPr>
              <w:spacing w:after="0"/>
              <w:rPr>
                <w:sz w:val="11"/>
                <w:szCs w:val="11"/>
                <w:color w:val="auto"/>
              </w:rPr>
            </w:pPr>
          </w:p>
        </w:tc>
        <w:tc>
          <w:tcPr>
            <w:tcW w:w="2000" w:type="dxa"/>
            <w:vAlign w:val="bottom"/>
          </w:tcPr>
          <w:p>
            <w:pPr>
              <w:spacing w:after="0"/>
              <w:rPr>
                <w:sz w:val="11"/>
                <w:szCs w:val="11"/>
                <w:color w:val="auto"/>
              </w:rPr>
            </w:pPr>
          </w:p>
        </w:tc>
        <w:tc>
          <w:tcPr>
            <w:tcW w:w="130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November 2,</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5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3"/>
              </w:rPr>
              <w:t>October 27,</w:t>
            </w:r>
          </w:p>
        </w:tc>
        <w:tc>
          <w:tcPr>
            <w:tcW w:w="100" w:type="dxa"/>
            <w:vAlign w:val="bottom"/>
          </w:tcPr>
          <w:p>
            <w:pPr>
              <w:spacing w:after="0"/>
              <w:rPr>
                <w:sz w:val="11"/>
                <w:szCs w:val="11"/>
                <w:color w:val="auto"/>
              </w:rPr>
            </w:pPr>
          </w:p>
        </w:tc>
      </w:tr>
      <w:tr>
        <w:trPr>
          <w:trHeight w:val="161"/>
        </w:trPr>
        <w:tc>
          <w:tcPr>
            <w:tcW w:w="3900" w:type="dxa"/>
            <w:vAlign w:val="bottom"/>
            <w:tcBorders>
              <w:bottom w:val="single" w:sz="8" w:color="CCEEFF"/>
            </w:tcBorders>
          </w:tcPr>
          <w:p>
            <w:pPr>
              <w:spacing w:after="0"/>
              <w:rPr>
                <w:sz w:val="14"/>
                <w:szCs w:val="14"/>
                <w:color w:val="auto"/>
              </w:rPr>
            </w:pPr>
          </w:p>
        </w:tc>
        <w:tc>
          <w:tcPr>
            <w:tcW w:w="200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2013</w:t>
            </w: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28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2013</w:t>
            </w:r>
          </w:p>
        </w:tc>
        <w:tc>
          <w:tcPr>
            <w:tcW w:w="5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2012</w:t>
            </w:r>
          </w:p>
        </w:tc>
        <w:tc>
          <w:tcPr>
            <w:tcW w:w="100" w:type="dxa"/>
            <w:vAlign w:val="bottom"/>
            <w:tcBorders>
              <w:bottom w:val="single" w:sz="8" w:color="CCEEFF"/>
            </w:tcBorders>
          </w:tcPr>
          <w:p>
            <w:pPr>
              <w:spacing w:after="0"/>
              <w:rPr>
                <w:sz w:val="14"/>
                <w:szCs w:val="14"/>
                <w:color w:val="auto"/>
              </w:rPr>
            </w:pPr>
          </w:p>
        </w:tc>
      </w:tr>
      <w:tr>
        <w:trPr>
          <w:trHeight w:val="210"/>
        </w:trPr>
        <w:tc>
          <w:tcPr>
            <w:tcW w:w="3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2,531</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1,944</w:t>
            </w:r>
          </w:p>
        </w:tc>
        <w:tc>
          <w:tcPr>
            <w:tcW w:w="2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6,266</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5,842</w:t>
            </w:r>
          </w:p>
        </w:tc>
        <w:tc>
          <w:tcPr>
            <w:tcW w:w="100" w:type="dxa"/>
            <w:vAlign w:val="bottom"/>
            <w:shd w:val="clear" w:color="auto" w:fill="CCEEFF"/>
          </w:tcPr>
          <w:p>
            <w:pPr>
              <w:spacing w:after="0"/>
              <w:rPr>
                <w:sz w:val="18"/>
                <w:szCs w:val="18"/>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30,084</w:t>
            </w:r>
          </w:p>
        </w:tc>
        <w:tc>
          <w:tcPr>
            <w:tcW w:w="14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w w:val="94"/>
              </w:rPr>
              <w:t>22,565</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82,345</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62,152</w:t>
            </w:r>
          </w:p>
        </w:tc>
        <w:tc>
          <w:tcPr>
            <w:tcW w:w="100" w:type="dxa"/>
            <w:vAlign w:val="bottom"/>
          </w:tcPr>
          <w:p>
            <w:pPr>
              <w:spacing w:after="0"/>
              <w:rPr>
                <w:sz w:val="18"/>
                <w:szCs w:val="18"/>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3,738</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3,101</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10,778</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9,595</w:t>
            </w:r>
          </w:p>
        </w:tc>
        <w:tc>
          <w:tcPr>
            <w:tcW w:w="100" w:type="dxa"/>
            <w:vAlign w:val="bottom"/>
            <w:shd w:val="clear" w:color="auto" w:fill="CCEEFF"/>
          </w:tcPr>
          <w:p>
            <w:pPr>
              <w:spacing w:after="0"/>
              <w:rPr>
                <w:sz w:val="18"/>
                <w:szCs w:val="18"/>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6,848</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2,764</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18,416</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13,205</w:t>
            </w:r>
          </w:p>
        </w:tc>
        <w:tc>
          <w:tcPr>
            <w:tcW w:w="100" w:type="dxa"/>
            <w:vAlign w:val="bottom"/>
          </w:tcPr>
          <w:p>
            <w:pPr>
              <w:spacing w:after="0"/>
              <w:rPr>
                <w:sz w:val="18"/>
                <w:szCs w:val="18"/>
                <w:color w:val="auto"/>
              </w:rPr>
            </w:pPr>
          </w:p>
        </w:tc>
      </w:tr>
      <w:tr>
        <w:trPr>
          <w:trHeight w:val="27"/>
        </w:trPr>
        <w:tc>
          <w:tcPr>
            <w:tcW w:w="3900" w:type="dxa"/>
            <w:vAlign w:val="bottom"/>
          </w:tcPr>
          <w:p>
            <w:pPr>
              <w:spacing w:after="0"/>
              <w:rPr>
                <w:sz w:val="2"/>
                <w:szCs w:val="2"/>
                <w:color w:val="auto"/>
              </w:rPr>
            </w:pPr>
          </w:p>
        </w:tc>
        <w:tc>
          <w:tcPr>
            <w:tcW w:w="20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3900" w:type="dxa"/>
            <w:vAlign w:val="bottom"/>
            <w:shd w:val="clear" w:color="auto" w:fill="CCEEFF"/>
          </w:tcPr>
          <w:p>
            <w:pPr>
              <w:spacing w:after="0"/>
              <w:rPr>
                <w:sz w:val="18"/>
                <w:szCs w:val="18"/>
                <w:color w:val="auto"/>
              </w:rPr>
            </w:pPr>
          </w:p>
        </w:tc>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43,201</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4"/>
              </w:rPr>
              <w:t>30,374</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117,805</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90,794</w:t>
            </w:r>
          </w:p>
        </w:tc>
        <w:tc>
          <w:tcPr>
            <w:tcW w:w="100" w:type="dxa"/>
            <w:vAlign w:val="bottom"/>
            <w:shd w:val="clear" w:color="auto" w:fill="CCEEFF"/>
          </w:tcPr>
          <w:p>
            <w:pPr>
              <w:spacing w:after="0"/>
              <w:rPr>
                <w:sz w:val="18"/>
                <w:szCs w:val="18"/>
                <w:color w:val="auto"/>
              </w:rPr>
            </w:pPr>
          </w:p>
        </w:tc>
      </w:tr>
      <w:tr>
        <w:trPr>
          <w:trHeight w:val="20"/>
        </w:trPr>
        <w:tc>
          <w:tcPr>
            <w:tcW w:w="3900" w:type="dxa"/>
            <w:vAlign w:val="bottom"/>
          </w:tcPr>
          <w:p>
            <w:pPr>
              <w:spacing w:after="0" w:line="20" w:lineRule="exact"/>
              <w:rPr>
                <w:sz w:val="1"/>
                <w:szCs w:val="1"/>
                <w:color w:val="auto"/>
              </w:rPr>
            </w:pPr>
          </w:p>
        </w:tc>
        <w:tc>
          <w:tcPr>
            <w:tcW w:w="20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$2.0 million at November 2, 2013 and $1.5 million at February 2, 2013.</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time-based stock option award on the date of grant using the Black-Scholes valuation model:</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560" w:type="dxa"/>
            <w:vAlign w:val="bottom"/>
            <w:tcBorders>
              <w:bottom w:val="single" w:sz="8" w:color="auto"/>
            </w:tcBorders>
            <w:gridSpan w:val="4"/>
          </w:tcPr>
          <w:p>
            <w:pPr>
              <w:ind w:left="320"/>
              <w:spacing w:after="0"/>
              <w:rPr>
                <w:sz w:val="20"/>
                <w:szCs w:val="20"/>
                <w:color w:val="auto"/>
              </w:rPr>
            </w:pPr>
            <w:r>
              <w:rPr>
                <w:rFonts w:ascii="Arial" w:cs="Arial" w:eastAsia="Arial" w:hAnsi="Arial"/>
                <w:sz w:val="14"/>
                <w:szCs w:val="14"/>
                <w:b w:val="1"/>
                <w:bCs w:val="1"/>
                <w:color w:val="auto"/>
                <w:w w:val="88"/>
              </w:rPr>
              <w:t>Three Months Ended</w:t>
            </w:r>
          </w:p>
        </w:tc>
        <w:tc>
          <w:tcPr>
            <w:tcW w:w="1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4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7"/>
          </w:tcPr>
          <w:p>
            <w:pPr>
              <w:ind w:left="360"/>
              <w:spacing w:after="0"/>
              <w:rPr>
                <w:sz w:val="20"/>
                <w:szCs w:val="20"/>
                <w:color w:val="auto"/>
              </w:rPr>
            </w:pPr>
            <w:r>
              <w:rPr>
                <w:rFonts w:ascii="Arial" w:cs="Arial" w:eastAsia="Arial" w:hAnsi="Arial"/>
                <w:sz w:val="14"/>
                <w:szCs w:val="14"/>
                <w:b w:val="1"/>
                <w:bCs w:val="1"/>
                <w:color w:val="auto"/>
                <w:w w:val="88"/>
              </w:rPr>
              <w:t>Nine Months Ended</w:t>
            </w:r>
          </w:p>
        </w:tc>
        <w:tc>
          <w:tcPr>
            <w:tcW w:w="50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29"/>
        </w:trPr>
        <w:tc>
          <w:tcPr>
            <w:tcW w:w="920" w:type="dxa"/>
            <w:vAlign w:val="bottom"/>
          </w:tcPr>
          <w:p>
            <w:pPr>
              <w:spacing w:after="0"/>
              <w:rPr>
                <w:sz w:val="11"/>
                <w:szCs w:val="11"/>
                <w:color w:val="auto"/>
              </w:rPr>
            </w:pPr>
          </w:p>
        </w:tc>
        <w:tc>
          <w:tcPr>
            <w:tcW w:w="4200" w:type="dxa"/>
            <w:vAlign w:val="bottom"/>
          </w:tcPr>
          <w:p>
            <w:pPr>
              <w:spacing w:after="0"/>
              <w:rPr>
                <w:sz w:val="11"/>
                <w:szCs w:val="11"/>
                <w:color w:val="auto"/>
              </w:rPr>
            </w:pPr>
          </w:p>
        </w:tc>
        <w:tc>
          <w:tcPr>
            <w:tcW w:w="12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November 2,</w:t>
            </w:r>
          </w:p>
        </w:tc>
        <w:tc>
          <w:tcPr>
            <w:tcW w:w="320" w:type="dxa"/>
            <w:vAlign w:val="bottom"/>
          </w:tcPr>
          <w:p>
            <w:pPr>
              <w:spacing w:after="0"/>
              <w:rPr>
                <w:sz w:val="11"/>
                <w:szCs w:val="11"/>
                <w:color w:val="auto"/>
              </w:rPr>
            </w:pPr>
          </w:p>
        </w:tc>
        <w:tc>
          <w:tcPr>
            <w:tcW w:w="68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4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4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November 2,</w:t>
            </w:r>
          </w:p>
        </w:tc>
        <w:tc>
          <w:tcPr>
            <w:tcW w:w="3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200" w:type="dxa"/>
            <w:vAlign w:val="bottom"/>
          </w:tcPr>
          <w:p>
            <w:pPr>
              <w:spacing w:after="0"/>
              <w:rPr>
                <w:sz w:val="11"/>
                <w:szCs w:val="11"/>
                <w:color w:val="auto"/>
              </w:rPr>
            </w:pPr>
          </w:p>
        </w:tc>
      </w:tr>
      <w:tr>
        <w:trPr>
          <w:trHeight w:val="161"/>
        </w:trPr>
        <w:tc>
          <w:tcPr>
            <w:tcW w:w="920" w:type="dxa"/>
            <w:vAlign w:val="bottom"/>
            <w:tcBorders>
              <w:bottom w:val="single" w:sz="8" w:color="CCEEFF"/>
            </w:tcBorders>
          </w:tcPr>
          <w:p>
            <w:pPr>
              <w:spacing w:after="0"/>
              <w:rPr>
                <w:sz w:val="14"/>
                <w:szCs w:val="14"/>
                <w:color w:val="auto"/>
              </w:rPr>
            </w:pPr>
          </w:p>
        </w:tc>
        <w:tc>
          <w:tcPr>
            <w:tcW w:w="4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2013</w:t>
            </w:r>
          </w:p>
        </w:tc>
        <w:tc>
          <w:tcPr>
            <w:tcW w:w="46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3"/>
          </w:tcPr>
          <w:p>
            <w:pPr>
              <w:jc w:val="right"/>
              <w:ind w:right="114"/>
              <w:spacing w:after="0"/>
              <w:rPr>
                <w:sz w:val="20"/>
                <w:szCs w:val="20"/>
                <w:color w:val="auto"/>
              </w:rPr>
            </w:pPr>
            <w:r>
              <w:rPr>
                <w:rFonts w:ascii="Arial" w:cs="Arial" w:eastAsia="Arial" w:hAnsi="Arial"/>
                <w:sz w:val="14"/>
                <w:szCs w:val="14"/>
                <w:b w:val="1"/>
                <w:bCs w:val="1"/>
                <w:color w:val="auto"/>
                <w:w w:val="83"/>
              </w:rPr>
              <w:t>2012</w:t>
            </w:r>
          </w:p>
        </w:tc>
        <w:tc>
          <w:tcPr>
            <w:tcW w:w="42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jc w:val="right"/>
              <w:ind w:right="40"/>
              <w:spacing w:after="0"/>
              <w:rPr>
                <w:sz w:val="20"/>
                <w:szCs w:val="20"/>
                <w:color w:val="auto"/>
              </w:rPr>
            </w:pPr>
            <w:r>
              <w:rPr>
                <w:rFonts w:ascii="Arial" w:cs="Arial" w:eastAsia="Arial" w:hAnsi="Arial"/>
                <w:sz w:val="14"/>
                <w:szCs w:val="14"/>
                <w:b w:val="1"/>
                <w:bCs w:val="1"/>
                <w:color w:val="auto"/>
              </w:rPr>
              <w:t>2013</w:t>
            </w:r>
          </w:p>
        </w:tc>
        <w:tc>
          <w:tcPr>
            <w:tcW w:w="120" w:type="dxa"/>
            <w:vAlign w:val="bottom"/>
            <w:tcBorders>
              <w:bottom w:val="single" w:sz="8" w:color="auto"/>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89"/>
              </w:rPr>
              <w:t>2012</w:t>
            </w:r>
          </w:p>
        </w:tc>
        <w:tc>
          <w:tcPr>
            <w:tcW w:w="200" w:type="dxa"/>
            <w:vAlign w:val="bottom"/>
            <w:tcBorders>
              <w:bottom w:val="single" w:sz="8" w:color="CCEEFF"/>
            </w:tcBorders>
          </w:tcPr>
          <w:p>
            <w:pPr>
              <w:spacing w:after="0"/>
              <w:rPr>
                <w:sz w:val="14"/>
                <w:szCs w:val="14"/>
                <w:color w:val="auto"/>
              </w:rPr>
            </w:pPr>
          </w:p>
        </w:tc>
      </w:tr>
      <w:tr>
        <w:trPr>
          <w:trHeight w:val="196"/>
        </w:trPr>
        <w:tc>
          <w:tcPr>
            <w:tcW w:w="512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16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5120" w:type="dxa"/>
            <w:vAlign w:val="bottom"/>
            <w:gridSpan w:val="2"/>
          </w:tcPr>
          <w:p>
            <w:pPr>
              <w:spacing w:after="0"/>
              <w:rPr>
                <w:sz w:val="20"/>
                <w:szCs w:val="20"/>
                <w:color w:val="auto"/>
              </w:rPr>
            </w:pPr>
            <w:r>
              <w:rPr>
                <w:rFonts w:ascii="Arial" w:cs="Arial" w:eastAsia="Arial" w:hAnsi="Arial"/>
                <w:sz w:val="18"/>
                <w:szCs w:val="18"/>
                <w:color w:val="auto"/>
              </w:rPr>
              <w:t>Weighted average fair value</w:t>
            </w: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rPr>
              <w:t>3.91</w:t>
            </w:r>
          </w:p>
        </w:tc>
        <w:tc>
          <w:tcPr>
            <w:tcW w:w="52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900" w:type="dxa"/>
            <w:vAlign w:val="bottom"/>
            <w:gridSpan w:val="4"/>
          </w:tcPr>
          <w:p>
            <w:pPr>
              <w:jc w:val="right"/>
              <w:ind w:right="352"/>
              <w:spacing w:after="0"/>
              <w:rPr>
                <w:sz w:val="20"/>
                <w:szCs w:val="20"/>
                <w:color w:val="auto"/>
              </w:rPr>
            </w:pPr>
            <w:r>
              <w:rPr>
                <w:rFonts w:ascii="Arial" w:cs="Arial" w:eastAsia="Arial" w:hAnsi="Arial"/>
                <w:sz w:val="18"/>
                <w:szCs w:val="18"/>
                <w:color w:val="auto"/>
              </w:rPr>
              <w:t>3.27</w:t>
            </w:r>
          </w:p>
        </w:tc>
        <w:tc>
          <w:tcPr>
            <w:tcW w:w="260" w:type="dxa"/>
            <w:vAlign w:val="bottom"/>
          </w:tcPr>
          <w:p>
            <w:pPr>
              <w:spacing w:after="0"/>
              <w:rPr>
                <w:sz w:val="18"/>
                <w:szCs w:val="18"/>
                <w:color w:val="auto"/>
              </w:rPr>
            </w:pPr>
          </w:p>
        </w:tc>
        <w:tc>
          <w:tcPr>
            <w:tcW w:w="260" w:type="dxa"/>
            <w:vAlign w:val="bottom"/>
            <w:gridSpan w:val="2"/>
          </w:tcPr>
          <w:p>
            <w:pPr>
              <w:ind w:left="100"/>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3.42</w:t>
            </w:r>
          </w:p>
        </w:tc>
        <w:tc>
          <w:tcPr>
            <w:tcW w:w="200" w:type="dxa"/>
            <w:vAlign w:val="bottom"/>
          </w:tcPr>
          <w:p>
            <w:pPr>
              <w:spacing w:after="0"/>
              <w:rPr>
                <w:sz w:val="18"/>
                <w:szCs w:val="18"/>
                <w:color w:val="auto"/>
              </w:rPr>
            </w:pPr>
          </w:p>
        </w:tc>
        <w:tc>
          <w:tcPr>
            <w:tcW w:w="760" w:type="dxa"/>
            <w:vAlign w:val="bottom"/>
            <w:gridSpan w:val="4"/>
          </w:tcPr>
          <w:p>
            <w:pPr>
              <w:ind w:left="580"/>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5.57</w:t>
            </w:r>
          </w:p>
        </w:tc>
        <w:tc>
          <w:tcPr>
            <w:tcW w:w="200" w:type="dxa"/>
            <w:vAlign w:val="bottom"/>
          </w:tcPr>
          <w:p>
            <w:pPr>
              <w:spacing w:after="0"/>
              <w:rPr>
                <w:sz w:val="18"/>
                <w:szCs w:val="18"/>
                <w:color w:val="auto"/>
              </w:rPr>
            </w:pPr>
          </w:p>
        </w:tc>
      </w:tr>
      <w:tr>
        <w:trPr>
          <w:trHeight w:val="216"/>
        </w:trPr>
        <w:tc>
          <w:tcPr>
            <w:tcW w:w="5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42%</w:t>
            </w:r>
          </w:p>
        </w:tc>
        <w:tc>
          <w:tcPr>
            <w:tcW w:w="3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w w:val="99"/>
              </w:rPr>
              <w:t>46%</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44%</w:t>
            </w:r>
          </w:p>
        </w:tc>
      </w:tr>
      <w:tr>
        <w:trPr>
          <w:trHeight w:val="216"/>
        </w:trPr>
        <w:tc>
          <w:tcPr>
            <w:tcW w:w="5120" w:type="dxa"/>
            <w:vAlign w:val="bottom"/>
            <w:gridSpan w:val="2"/>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tcPr>
          <w:p>
            <w:pPr>
              <w:spacing w:after="0"/>
              <w:rPr>
                <w:sz w:val="18"/>
                <w:szCs w:val="18"/>
                <w:color w:val="auto"/>
              </w:rPr>
            </w:pPr>
          </w:p>
        </w:tc>
        <w:tc>
          <w:tcPr>
            <w:tcW w:w="1040" w:type="dxa"/>
            <w:vAlign w:val="bottom"/>
            <w:gridSpan w:val="2"/>
          </w:tcPr>
          <w:p>
            <w:pPr>
              <w:jc w:val="right"/>
              <w:ind w:right="460"/>
              <w:spacing w:after="0"/>
              <w:rPr>
                <w:sz w:val="20"/>
                <w:szCs w:val="20"/>
                <w:color w:val="auto"/>
              </w:rPr>
            </w:pPr>
            <w:r>
              <w:rPr>
                <w:rFonts w:ascii="Arial" w:cs="Arial" w:eastAsia="Arial" w:hAnsi="Arial"/>
                <w:sz w:val="18"/>
                <w:szCs w:val="18"/>
                <w:color w:val="auto"/>
              </w:rPr>
              <w:t>5.0</w:t>
            </w:r>
          </w:p>
        </w:tc>
        <w:tc>
          <w:tcPr>
            <w:tcW w:w="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352"/>
              <w:spacing w:after="0"/>
              <w:rPr>
                <w:sz w:val="20"/>
                <w:szCs w:val="20"/>
                <w:color w:val="auto"/>
              </w:rPr>
            </w:pPr>
            <w:r>
              <w:rPr>
                <w:rFonts w:ascii="Arial" w:cs="Arial" w:eastAsia="Arial" w:hAnsi="Arial"/>
                <w:sz w:val="18"/>
                <w:szCs w:val="18"/>
                <w:color w:val="auto"/>
                <w:w w:val="87"/>
              </w:rPr>
              <w:t>4.8</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4.8</w:t>
            </w:r>
          </w:p>
        </w:tc>
        <w:tc>
          <w:tcPr>
            <w:tcW w:w="200" w:type="dxa"/>
            <w:vAlign w:val="bottom"/>
          </w:tcPr>
          <w:p>
            <w:pPr>
              <w:spacing w:after="0"/>
              <w:rPr>
                <w:sz w:val="18"/>
                <w:szCs w:val="18"/>
                <w:color w:val="auto"/>
              </w:rPr>
            </w:pPr>
          </w:p>
        </w:tc>
      </w:tr>
      <w:tr>
        <w:trPr>
          <w:trHeight w:val="216"/>
        </w:trPr>
        <w:tc>
          <w:tcPr>
            <w:tcW w:w="5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1.5%</w:t>
            </w:r>
          </w:p>
        </w:tc>
        <w:tc>
          <w:tcPr>
            <w:tcW w:w="3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w w:val="87"/>
              </w:rPr>
              <w:t>0.7%</w:t>
            </w:r>
          </w:p>
        </w:tc>
        <w:tc>
          <w:tcPr>
            <w:tcW w:w="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0.8%</w:t>
            </w:r>
          </w:p>
        </w:tc>
        <w:tc>
          <w:tcPr>
            <w:tcW w:w="3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0.9%</w:t>
            </w:r>
          </w:p>
        </w:tc>
      </w:tr>
      <w:tr>
        <w:trPr>
          <w:trHeight w:val="222"/>
        </w:trPr>
        <w:tc>
          <w:tcPr>
            <w:tcW w:w="5120" w:type="dxa"/>
            <w:vAlign w:val="bottom"/>
            <w:gridSpan w:val="2"/>
          </w:tcPr>
          <w:p>
            <w:pPr>
              <w:spacing w:after="0"/>
              <w:rPr>
                <w:sz w:val="20"/>
                <w:szCs w:val="20"/>
                <w:color w:val="auto"/>
              </w:rPr>
            </w:pPr>
            <w:r>
              <w:rPr>
                <w:rFonts w:ascii="Arial" w:cs="Arial" w:eastAsia="Arial" w:hAnsi="Arial"/>
                <w:sz w:val="18"/>
                <w:szCs w:val="18"/>
                <w:color w:val="auto"/>
              </w:rPr>
              <w:t>Expected dividend yield</w:t>
            </w:r>
          </w:p>
        </w:tc>
        <w:tc>
          <w:tcPr>
            <w:tcW w:w="16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2.0%</w:t>
            </w:r>
          </w:p>
        </w:tc>
        <w:tc>
          <w:tcPr>
            <w:tcW w:w="3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60" w:type="dxa"/>
            <w:vAlign w:val="bottom"/>
            <w:gridSpan w:val="2"/>
          </w:tcPr>
          <w:p>
            <w:pPr>
              <w:jc w:val="right"/>
              <w:ind w:right="212"/>
              <w:spacing w:after="0"/>
              <w:rPr>
                <w:sz w:val="20"/>
                <w:szCs w:val="20"/>
                <w:color w:val="auto"/>
              </w:rPr>
            </w:pPr>
            <w:r>
              <w:rPr>
                <w:rFonts w:ascii="Arial" w:cs="Arial" w:eastAsia="Arial" w:hAnsi="Arial"/>
                <w:sz w:val="18"/>
                <w:szCs w:val="18"/>
                <w:color w:val="auto"/>
                <w:w w:val="87"/>
              </w:rPr>
              <w:t>2.3%</w:t>
            </w:r>
          </w:p>
        </w:tc>
        <w:tc>
          <w:tcPr>
            <w:tcW w:w="2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80" w:type="dxa"/>
            <w:vAlign w:val="bottom"/>
            <w:gridSpan w:val="3"/>
          </w:tcPr>
          <w:p>
            <w:pPr>
              <w:jc w:val="right"/>
              <w:ind w:right="60"/>
              <w:spacing w:after="0"/>
              <w:rPr>
                <w:sz w:val="20"/>
                <w:szCs w:val="20"/>
                <w:color w:val="auto"/>
              </w:rPr>
            </w:pPr>
            <w:r>
              <w:rPr>
                <w:rFonts w:ascii="Arial" w:cs="Arial" w:eastAsia="Arial" w:hAnsi="Arial"/>
                <w:sz w:val="18"/>
                <w:szCs w:val="18"/>
                <w:color w:val="auto"/>
              </w:rPr>
              <w:t>2.4 %</w:t>
            </w:r>
          </w:p>
        </w:tc>
        <w:tc>
          <w:tcPr>
            <w:tcW w:w="3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0-2.3%</w:t>
            </w:r>
          </w:p>
        </w:tc>
      </w:tr>
      <w:tr>
        <w:trPr>
          <w:trHeight w:val="345"/>
        </w:trPr>
        <w:tc>
          <w:tcPr>
            <w:tcW w:w="920" w:type="dxa"/>
            <w:vAlign w:val="bottom"/>
          </w:tcPr>
          <w:p>
            <w:pPr>
              <w:spacing w:after="0"/>
              <w:rPr>
                <w:sz w:val="24"/>
                <w:szCs w:val="24"/>
                <w:color w:val="auto"/>
              </w:rPr>
            </w:pPr>
          </w:p>
        </w:tc>
        <w:tc>
          <w:tcPr>
            <w:tcW w:w="4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gridSpan w:val="7"/>
          </w:tcPr>
          <w:p>
            <w:pPr>
              <w:jc w:val="right"/>
              <w:ind w:right="280"/>
              <w:spacing w:after="0"/>
              <w:rPr>
                <w:sz w:val="20"/>
                <w:szCs w:val="20"/>
                <w:color w:val="auto"/>
              </w:rPr>
            </w:pPr>
            <w:r>
              <w:rPr>
                <w:rFonts w:ascii="Arial" w:cs="Arial" w:eastAsia="Arial" w:hAnsi="Arial"/>
                <w:sz w:val="14"/>
                <w:szCs w:val="14"/>
                <w:b w:val="1"/>
                <w:bCs w:val="1"/>
                <w:color w:val="auto"/>
              </w:rPr>
              <w:t>Nine Months Ended</w:t>
            </w:r>
          </w:p>
        </w:tc>
        <w:tc>
          <w:tcPr>
            <w:tcW w:w="360" w:type="dxa"/>
            <w:vAlign w:val="bottom"/>
            <w:tcBorders>
              <w:bottom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29"/>
        </w:trPr>
        <w:tc>
          <w:tcPr>
            <w:tcW w:w="920" w:type="dxa"/>
            <w:vAlign w:val="bottom"/>
          </w:tcPr>
          <w:p>
            <w:pPr>
              <w:spacing w:after="0"/>
              <w:rPr>
                <w:sz w:val="11"/>
                <w:szCs w:val="11"/>
                <w:color w:val="auto"/>
              </w:rPr>
            </w:pPr>
          </w:p>
        </w:tc>
        <w:tc>
          <w:tcPr>
            <w:tcW w:w="4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rPr>
              <w:t>November 2,</w:t>
            </w:r>
          </w:p>
        </w:tc>
        <w:tc>
          <w:tcPr>
            <w:tcW w:w="1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40" w:type="dxa"/>
            <w:vAlign w:val="bottom"/>
            <w:gridSpan w:val="4"/>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400" w:type="dxa"/>
            <w:vAlign w:val="bottom"/>
            <w:gridSpan w:val="3"/>
          </w:tcPr>
          <w:p>
            <w:pPr>
              <w:spacing w:after="0"/>
              <w:rPr>
                <w:sz w:val="11"/>
                <w:szCs w:val="11"/>
                <w:color w:val="auto"/>
              </w:rPr>
            </w:pPr>
          </w:p>
        </w:tc>
        <w:tc>
          <w:tcPr>
            <w:tcW w:w="500" w:type="dxa"/>
            <w:vAlign w:val="bottom"/>
          </w:tcPr>
          <w:p>
            <w:pPr>
              <w:spacing w:after="0"/>
              <w:rPr>
                <w:sz w:val="11"/>
                <w:szCs w:val="11"/>
                <w:color w:val="auto"/>
              </w:rPr>
            </w:pPr>
          </w:p>
        </w:tc>
        <w:tc>
          <w:tcPr>
            <w:tcW w:w="200" w:type="dxa"/>
            <w:vAlign w:val="bottom"/>
          </w:tcPr>
          <w:p>
            <w:pPr>
              <w:spacing w:after="0"/>
              <w:rPr>
                <w:sz w:val="11"/>
                <w:szCs w:val="11"/>
                <w:color w:val="auto"/>
              </w:rPr>
            </w:pPr>
          </w:p>
        </w:tc>
      </w:tr>
      <w:tr>
        <w:trPr>
          <w:trHeight w:val="161"/>
        </w:trPr>
        <w:tc>
          <w:tcPr>
            <w:tcW w:w="92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gridSpan w:val="2"/>
          </w:tcPr>
          <w:p>
            <w:pPr>
              <w:jc w:val="right"/>
              <w:ind w:right="172"/>
              <w:spacing w:after="0"/>
              <w:rPr>
                <w:sz w:val="20"/>
                <w:szCs w:val="20"/>
                <w:color w:val="auto"/>
              </w:rPr>
            </w:pPr>
            <w:r>
              <w:rPr>
                <w:rFonts w:ascii="Arial" w:cs="Arial" w:eastAsia="Arial" w:hAnsi="Arial"/>
                <w:sz w:val="14"/>
                <w:szCs w:val="14"/>
                <w:b w:val="1"/>
                <w:bCs w:val="1"/>
                <w:color w:val="auto"/>
              </w:rPr>
              <w:t>2013</w:t>
            </w:r>
          </w:p>
        </w:tc>
        <w:tc>
          <w:tcPr>
            <w:tcW w:w="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40" w:type="dxa"/>
            <w:vAlign w:val="bottom"/>
            <w:gridSpan w:val="4"/>
          </w:tcPr>
          <w:p>
            <w:pPr>
              <w:jc w:val="right"/>
              <w:ind w:right="132"/>
              <w:spacing w:after="0"/>
              <w:rPr>
                <w:sz w:val="20"/>
                <w:szCs w:val="20"/>
                <w:color w:val="auto"/>
              </w:rPr>
            </w:pPr>
            <w:r>
              <w:rPr>
                <w:rFonts w:ascii="Arial" w:cs="Arial" w:eastAsia="Arial" w:hAnsi="Arial"/>
                <w:sz w:val="14"/>
                <w:szCs w:val="14"/>
                <w:b w:val="1"/>
                <w:bCs w:val="1"/>
                <w:color w:val="auto"/>
              </w:rPr>
              <w:t>2012</w:t>
            </w: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96"/>
        </w:trPr>
        <w:tc>
          <w:tcPr>
            <w:tcW w:w="920" w:type="dxa"/>
            <w:vAlign w:val="bottom"/>
          </w:tcPr>
          <w:p>
            <w:pPr>
              <w:spacing w:after="0"/>
              <w:rPr>
                <w:sz w:val="17"/>
                <w:szCs w:val="17"/>
                <w:color w:val="auto"/>
              </w:rPr>
            </w:pPr>
          </w:p>
        </w:tc>
        <w:tc>
          <w:tcPr>
            <w:tcW w:w="42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16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16"/>
        </w:trPr>
        <w:tc>
          <w:tcPr>
            <w:tcW w:w="920" w:type="dxa"/>
            <w:vAlign w:val="bottom"/>
          </w:tcPr>
          <w:p>
            <w:pPr>
              <w:spacing w:after="0"/>
              <w:rPr>
                <w:sz w:val="18"/>
                <w:szCs w:val="18"/>
                <w:color w:val="auto"/>
              </w:rPr>
            </w:pPr>
          </w:p>
        </w:tc>
        <w:tc>
          <w:tcPr>
            <w:tcW w:w="4200" w:type="dxa"/>
            <w:vAlign w:val="bottom"/>
          </w:tcPr>
          <w:p>
            <w:pPr>
              <w:spacing w:after="0"/>
              <w:rPr>
                <w:sz w:val="20"/>
                <w:szCs w:val="20"/>
                <w:color w:val="auto"/>
              </w:rPr>
            </w:pPr>
            <w:r>
              <w:rPr>
                <w:rFonts w:ascii="Arial" w:cs="Arial" w:eastAsia="Arial" w:hAnsi="Arial"/>
                <w:sz w:val="18"/>
                <w:szCs w:val="18"/>
                <w:color w:val="auto"/>
              </w:rPr>
              <w:t>Estimated fair value</w:t>
            </w: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gridSpan w:val="2"/>
          </w:tcPr>
          <w:p>
            <w:pPr>
              <w:ind w:left="160"/>
              <w:spacing w:after="0"/>
              <w:rPr>
                <w:sz w:val="20"/>
                <w:szCs w:val="20"/>
                <w:color w:val="auto"/>
              </w:rPr>
            </w:pPr>
            <w:r>
              <w:rPr>
                <w:rFonts w:ascii="Arial" w:cs="Arial" w:eastAsia="Arial" w:hAnsi="Arial"/>
                <w:sz w:val="15"/>
                <w:szCs w:val="15"/>
                <w:color w:val="auto"/>
                <w:w w:val="71"/>
              </w:rPr>
              <w:t>$</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3.45</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w w:val="91"/>
              </w:rPr>
              <w:t>3.77</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40%</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39%</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420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42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2"/>
        </w:trPr>
        <w:tc>
          <w:tcPr>
            <w:tcW w:w="920" w:type="dxa"/>
            <w:vAlign w:val="bottom"/>
          </w:tcPr>
          <w:p>
            <w:pPr>
              <w:spacing w:after="0"/>
              <w:rPr>
                <w:sz w:val="19"/>
                <w:szCs w:val="19"/>
                <w:color w:val="auto"/>
              </w:rPr>
            </w:pPr>
          </w:p>
        </w:tc>
        <w:tc>
          <w:tcPr>
            <w:tcW w:w="4200" w:type="dxa"/>
            <w:vAlign w:val="bottom"/>
          </w:tcPr>
          <w:p>
            <w:pPr>
              <w:spacing w:after="0"/>
              <w:rPr>
                <w:sz w:val="20"/>
                <w:szCs w:val="20"/>
                <w:color w:val="auto"/>
              </w:rPr>
            </w:pPr>
            <w:r>
              <w:rPr>
                <w:rFonts w:ascii="Arial" w:cs="Arial" w:eastAsia="Arial" w:hAnsi="Arial"/>
                <w:sz w:val="18"/>
                <w:szCs w:val="18"/>
                <w:color w:val="auto"/>
              </w:rPr>
              <w:t>Dividend yield</w:t>
            </w:r>
          </w:p>
        </w:tc>
        <w:tc>
          <w:tcPr>
            <w:tcW w:w="16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920" w:type="dxa"/>
            <w:vAlign w:val="bottom"/>
            <w:gridSpan w:val="3"/>
          </w:tcPr>
          <w:p>
            <w:pPr>
              <w:jc w:val="right"/>
              <w:ind w:right="120"/>
              <w:spacing w:after="0"/>
              <w:rPr>
                <w:sz w:val="20"/>
                <w:szCs w:val="20"/>
                <w:color w:val="auto"/>
              </w:rPr>
            </w:pPr>
            <w:r>
              <w:rPr>
                <w:rFonts w:ascii="Arial" w:cs="Arial" w:eastAsia="Arial" w:hAnsi="Arial"/>
                <w:sz w:val="18"/>
                <w:szCs w:val="18"/>
                <w:color w:val="auto"/>
              </w:rPr>
              <w:t>2.2%</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60" w:type="dxa"/>
            <w:vAlign w:val="bottom"/>
            <w:gridSpan w:val="2"/>
          </w:tcPr>
          <w:p>
            <w:pPr>
              <w:jc w:val="right"/>
              <w:ind w:right="60"/>
              <w:spacing w:after="0"/>
              <w:rPr>
                <w:sz w:val="20"/>
                <w:szCs w:val="20"/>
                <w:color w:val="auto"/>
              </w:rPr>
            </w:pPr>
            <w:r>
              <w:rPr>
                <w:rFonts w:ascii="Arial" w:cs="Arial" w:eastAsia="Arial" w:hAnsi="Arial"/>
                <w:sz w:val="18"/>
                <w:szCs w:val="18"/>
                <w:color w:val="auto"/>
              </w:rPr>
              <w:t>2.0%</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200" w:type="dxa"/>
            <w:vAlign w:val="bottom"/>
          </w:tcPr>
          <w:p>
            <w:pPr>
              <w:spacing w:after="0"/>
              <w:rPr>
                <w:sz w:val="19"/>
                <w:szCs w:val="19"/>
                <w:color w:val="auto"/>
              </w:rPr>
            </w:pPr>
          </w:p>
        </w:tc>
      </w:tr>
    </w:tbl>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Under the ESPP, there were no stock purchase rights granted in the three months ended November 2, 2013 and October 27, 2012.</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20"/>
          </w:cols>
          <w:pgMar w:left="240" w:top="459" w:right="3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“will” and similar expressions identify such forward-looking statements. We make a number of forward-looking statements that relate to future periods and include statements relating to our anticipation that the rate of new orders and shipments may vary significantly from quarter to quarter; our expectations regarding market acceptance of our products using our innovative solutions; our expectations regarding sustained investments leading to new growth opportunities; our expectations regarding full certification in North America by the end of the year for our LTE solution; our ability to develop a single chip solution in the storage market that can drive lower price points and allow the market to grow; our expectations regarding the declaration of, timing of, funding of, payment of and quarterly amount of dividends; our expectations regarding industry trends; our expectations regarding our inventory levels; our expectations regarding the amount of our future sales in Asia; our expectations regarding competition; our expectations relating to the protection of our intellectual property; our expectations regarding the amount of customer concentration in the future; our plans and expectations regarding our auction rate securities; our expectations regarding acquisitions, investments, strategic alliances and joint ventures; our expectations regarding net revenue, cost of goods sold as a percentage of revenue and operating expenses for the fourth quarter ending February 1, 2014 compared with the third quarter ended November 2, 2013; our expectations regarding the growth of solid state drive revenue; our expectations regarding the impact of legal proceedings and claims; our ability to meet our capital needs for at least the next 12 months; our ability to attract and retain highly skilled personnel; our expectations regarding future growth opportunities; our plan regarding forward exchange contracts and the effect of foreign exchange rates; our expectations regarding unrecognized tax benefits;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and the impact of seasonality on demand; our expectations regarding defects;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our dependence upon the hard disk drive and mobile and wireless markets, which are highly cyclical and intensely competitive; our ability and the ability of our customers to successfully compete in the markets in which we serve; our dependence on a small number of customers; the outcome of pending or future litigation and legal proceedings; the impact of international conflict and continued economic volatility in either domestic or foreign markets; our ability to scale our operations in response to changes in demand for existing or new products and services; our maintenance of an effective system of internal controls; our ability and our customers’ ability to develop new and enhanced products and the adoption of those products in the market;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and the impact of lengthy and expensive product sales cycles.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color w:val="auto"/>
        </w:rPr>
        <w:t>We are a leading global semiconductor provider of high-performance application-specific standard products. Our core strength of expertise is the development of complex Systems-on-a-Chip devices, leveraging our extensive technology portfolio of intellectual property in the areas of analog, mixed-signal, digital signal processing, and embedded ARM-based microprocessor integrated circuits. We also develop platforms that we define as integrated hardware along with software that incorporates digital computing technologies designed and configured to provide an optimized computing solution compared to individual components. Our broad product portfolio includes devices for data storage, enterprise-class Ethernet data switching, Ethernet physical-layer transceivers, mobile handsets and other consumer electronics, Ethernet-based wireless networking, personal area networking, Ethernet-based PC connectivity, control plane communications controllers, video-image processing and power management solutions. Our products serve diverse applications used in carrier, metropolitan, enterprise</w:t>
      </w:r>
    </w:p>
    <w:p>
      <w:pPr>
        <w:spacing w:after="0" w:line="13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43"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w:t>
      </w:r>
    </w:p>
    <w:p>
      <w:pPr>
        <w:spacing w:after="0" w:line="14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3"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In this Quarterly Report on Form 10-Q, we refer to the fiscal year ended February 2, 2008 as fiscal 2008, the fiscal year ended January 31, 2009 as fiscal 2009, the fiscal year ended January 30, 2010 as fiscal 2010, the fiscal year ended January 29, 2011 as fiscal 2011, the fiscal year ended January 28, 2012 as fiscal 2012, the fiscal year ended February 2, 2013 as fiscal 2013, the fiscal year ending February 1, 2014 as fiscal 2014 and the fiscal year ending January 31, 2015 as fiscal 2015.</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6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February 2, 2013.</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Net revenue for the three months ended November 2, 2013 was higher by 19% compared to the three months ended October 27, 2012, led by year over year growth in the mobile and wireless end markets, together with stable growth in the storage market. On a sequential basis net revenue grew approximately 15% during the third quarter of fiscal 2014 compared to the second quarter of fiscal 2014 as we continued to see traction for mobile handsets and tablets based on our 3G unified platform, increased demand for our wireless products driven by the ramp up of new gaming platforms at two of our customers and stabilization in storage. We believe our sustained investments in advanced technologies leading to new innovations are beginning to pay off. We are seeing many of our customers introducing new devices using our innovative solutions, which we believe will drive success across all of our end markets. Our future growth is expected to be driven by areas such as mobile handsets, tablets, connectivity, smart home devices and solid state drives (“SSDs”).</w:t>
      </w:r>
    </w:p>
    <w:p>
      <w:pPr>
        <w:spacing w:after="0" w:line="37" w:lineRule="exact"/>
        <w:rPr>
          <w:sz w:val="20"/>
          <w:szCs w:val="20"/>
          <w:color w:val="auto"/>
        </w:rPr>
      </w:pPr>
    </w:p>
    <w:p>
      <w:pPr>
        <w:ind w:left="900" w:hanging="325"/>
        <w:spacing w:after="0" w:line="291"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mobile market, our 3G unified platform is in mass production at multiple top tier OEMs. For example, Samsung has successfully launched their 7-inch Galaxy Tab 3 globally based on our dual-core platform and China Mobile has selected our dual-core platform to launch its first branded smartphone. In addition to our dual-core devices, our quad-core platform is now in production with leading OEM customers who have introduced multiple quad-core smartphone models targeting the mass-market segments for both WCDMA and TD-SCDMA. We continue to make steady progress with our LTE solution, which passed qualifications in China, and is expected to achieve full certification in North America by the end of this year. Certification of our LTE solution at one major North American carrier is the latest milestone in our deployment of LTE technology.</w:t>
      </w:r>
    </w:p>
    <w:p>
      <w:pPr>
        <w:spacing w:after="0" w:line="39" w:lineRule="exact"/>
        <w:rPr>
          <w:rFonts w:ascii="Arial" w:cs="Arial" w:eastAsia="Arial" w:hAnsi="Arial"/>
          <w:sz w:val="16"/>
          <w:szCs w:val="16"/>
          <w:color w:val="auto"/>
        </w:rPr>
      </w:pPr>
    </w:p>
    <w:p>
      <w:pPr>
        <w:ind w:left="900" w:right="100" w:hanging="325"/>
        <w:spacing w:after="0" w:line="291"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wireless connectivity market, one of the new design wins is in the Google Chromecast, an innovative new product that allows consumers to seamlessly connect and stream video content from a small screen mobile device to any large screen. In the gaming market, our wireless connectivity solutions are being used in the new game consoles that are being launched for the holiday season. We expect wireless connectivity and other advanced features in these new game consoles to help drive growth for us in the industry in the upcoming year. In addition, in the smart phone market, we have on-going 100% attach rates on our new mobile platforms for our connectivity solutions with our 3G and 4G mobile platforms. We are seeing new opportunities for our connectivity solutions across multiple market segments.</w:t>
      </w:r>
    </w:p>
    <w:p>
      <w:pPr>
        <w:spacing w:after="0" w:line="39" w:lineRule="exact"/>
        <w:rPr>
          <w:rFonts w:ascii="Arial" w:cs="Arial" w:eastAsia="Arial" w:hAnsi="Arial"/>
          <w:sz w:val="16"/>
          <w:szCs w:val="16"/>
          <w:color w:val="auto"/>
        </w:rPr>
      </w:pPr>
    </w:p>
    <w:p>
      <w:pPr>
        <w:ind w:left="900" w:right="240" w:hanging="325"/>
        <w:spacing w:after="0" w:line="259"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 the storage market, we continue to execute well as the overall drive industry seems to have stabilized. We continue to grow within the hard disk drive (“HDD”) market as we have seen strong demand for our 500 gigabyte per platter products. In addition, we are seeing increased demand on enterprise drives at a top North America based HDD customer. Within the SSD market, our</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right="80"/>
        <w:spacing w:after="0" w:line="256" w:lineRule="auto"/>
        <w:rPr>
          <w:sz w:val="20"/>
          <w:szCs w:val="20"/>
          <w:color w:val="auto"/>
        </w:rPr>
      </w:pPr>
      <w:r>
        <w:rPr>
          <w:rFonts w:ascii="Arial" w:cs="Arial" w:eastAsia="Arial" w:hAnsi="Arial"/>
          <w:sz w:val="18"/>
          <w:szCs w:val="18"/>
          <w:color w:val="auto"/>
        </w:rPr>
        <w:t>revenue has continued to grow and our strategy of partnering with top tier OEMs has resulted in excellent traction for our advanced SSD solutions. Our PCIe SSD solutions are now in mass production and we believe we have a lead in the market. We are also leveraging our technology leadership in HDD and SSD to help our customer migrate to hybrid storage devices. Here we are developing a single-chip solution that we believe will drive lower price points and allow the market to grow.</w:t>
      </w:r>
    </w:p>
    <w:p>
      <w:pPr>
        <w:spacing w:after="0" w:line="62" w:lineRule="exact"/>
        <w:rPr>
          <w:sz w:val="20"/>
          <w:szCs w:val="20"/>
          <w:color w:val="auto"/>
        </w:rPr>
      </w:pPr>
    </w:p>
    <w:p>
      <w:pPr>
        <w:ind w:left="900" w:right="20" w:hanging="325"/>
        <w:spacing w:after="0" w:line="290"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In the networking market, we experienced softer than expected demand from some of our enterprise networking customers in the third quarter of fiscal 2014 due to a weaker market overall, but we saw some improvement in Ethernet PHY products and a recovery in our PON products. However, we remain cautious and expect the recovery of the market to take longer than previously expected. We continue to make strong progress with development design activity for our product portfolio addressing the infrastructure portion of the market. We recently announced our first 28nm network processor and traffic management solutions with our Xelerated AX and HX family of products targeting the infrastructure market, where we have engaged with Tier-1 customers on these new high-performance products for their next generation networking equipment. We are making steady progress in increasing our footprint in the infrastructure market while continuing to take measures to improve our enterprise related business.</w:t>
      </w:r>
    </w:p>
    <w:p>
      <w:pPr>
        <w:spacing w:after="0" w:line="118"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Our gross margin for the three months ended November 2, 2013 decreased compared to both the three months ended August 3, 2013 and October 27, 2012. As we expand our presence and grow revenue in the consumer space, we expect our gross margin to face downward pressure, as these end markets generally have lower average gross margins than the rest of our business. However, we expect growth in the consumer space will result in improvement to total gross margin dollars and operating profit. In addition, we are focused on efforts to improve both aspects of our gross profit, including through cost improvement and pricing.</w:t>
      </w:r>
    </w:p>
    <w:p>
      <w:pPr>
        <w:spacing w:after="0" w:line="9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financial position is strong and we remain committed to deliver shareholder value through our share repurchase and dividend programs.</w:t>
      </w:r>
    </w:p>
    <w:p>
      <w:pPr>
        <w:spacing w:after="0" w:line="113" w:lineRule="exact"/>
        <w:rPr>
          <w:sz w:val="20"/>
          <w:szCs w:val="20"/>
          <w:color w:val="auto"/>
        </w:rPr>
      </w:pPr>
    </w:p>
    <w:p>
      <w:pPr>
        <w:ind w:left="900" w:right="4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$1.8 billion at November 2, 2013 and we generated cash flow from operations of $347.6 million through the third quarter of fiscal 2014.</w:t>
      </w:r>
    </w:p>
    <w:p>
      <w:pPr>
        <w:spacing w:after="0" w:line="5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paid a cash dividend of $0.06 per share for a total of $29.6 million during the third quarter of fiscal 2014 and we recently announced a dividend of $0.06 per share to be paid during the fourth quarter of fiscal 2014.</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repurchased a total of 6.1 million of our common shares for $71.3 million in cash during the third quarter of fiscal 2014.</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We are currently involved in a patent litigation action with Carnegie Mellon University (“CMU”) (See “Risk Factors” under Part II, Item 1A of this Quarterly Report on Form 10-Q and “Note 10 – Commitments and Contingencies” in the Notes to Unaudited Condensed Consolidated Financial Statements for a further discussion of the risks associated with this matter and other patent litigation matters). A jury has awarded past damages of $1.17 billion, and CMU has sought pre-judgment damages of up to $322 million, post-judgment interest, attorneys’ fees, and an injunction and/or ongoing royalties. Due to the finding of willfulness during post trial proceedings, the judge could enhance the damages by an amount up to triple the damages awarded by the jury at trial. We intend to appeal the final judgment and we would seek to stay any award of damages pending the appeal. We strongly believe that we do not infringe on the methods described in the CMU patents and that our products use our own internally developed patented read channel technology.</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52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680" w:type="dxa"/>
            <w:vAlign w:val="bottom"/>
            <w:gridSpan w:val="6"/>
          </w:tcPr>
          <w:p>
            <w:pPr>
              <w:jc w:val="right"/>
              <w:ind w:right="100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140" w:type="dxa"/>
            <w:vAlign w:val="bottom"/>
            <w:gridSpan w:val="5"/>
          </w:tcPr>
          <w:p>
            <w:pPr>
              <w:jc w:val="right"/>
              <w:ind w:right="500"/>
              <w:spacing w:after="0"/>
              <w:rPr>
                <w:sz w:val="20"/>
                <w:szCs w:val="20"/>
                <w:color w:val="auto"/>
              </w:rPr>
            </w:pPr>
            <w:r>
              <w:rPr>
                <w:rFonts w:ascii="Arial" w:cs="Arial" w:eastAsia="Arial" w:hAnsi="Arial"/>
                <w:sz w:val="14"/>
                <w:szCs w:val="14"/>
                <w:b w:val="1"/>
                <w:bCs w:val="1"/>
                <w:color w:val="auto"/>
              </w:rPr>
              <w:t>Nine Months Ended</w:t>
            </w:r>
          </w:p>
        </w:tc>
        <w:tc>
          <w:tcPr>
            <w:tcW w:w="2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2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40" w:type="dxa"/>
            <w:vAlign w:val="bottom"/>
            <w:tcBorders>
              <w:top w:val="single" w:sz="8" w:color="auto"/>
            </w:tcBorders>
            <w:gridSpan w:val="2"/>
          </w:tcPr>
          <w:p>
            <w:pPr>
              <w:jc w:val="right"/>
              <w:ind w:right="200"/>
              <w:spacing w:after="0" w:line="129" w:lineRule="exact"/>
              <w:rPr>
                <w:sz w:val="20"/>
                <w:szCs w:val="20"/>
                <w:color w:val="auto"/>
              </w:rPr>
            </w:pPr>
            <w:r>
              <w:rPr>
                <w:rFonts w:ascii="Arial" w:cs="Arial" w:eastAsia="Arial" w:hAnsi="Arial"/>
                <w:sz w:val="14"/>
                <w:szCs w:val="14"/>
                <w:b w:val="1"/>
                <w:bCs w:val="1"/>
                <w:color w:val="auto"/>
                <w:w w:val="85"/>
              </w:rPr>
              <w:t>November 2,</w:t>
            </w:r>
          </w:p>
        </w:tc>
        <w:tc>
          <w:tcPr>
            <w:tcW w:w="5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3"/>
              </w:rPr>
              <w:t>October 27,</w:t>
            </w:r>
          </w:p>
        </w:tc>
        <w:tc>
          <w:tcPr>
            <w:tcW w:w="5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240"/>
              <w:spacing w:after="0" w:line="129" w:lineRule="exact"/>
              <w:rPr>
                <w:sz w:val="20"/>
                <w:szCs w:val="20"/>
                <w:color w:val="auto"/>
              </w:rPr>
            </w:pPr>
            <w:r>
              <w:rPr>
                <w:rFonts w:ascii="Arial" w:cs="Arial" w:eastAsia="Arial" w:hAnsi="Arial"/>
                <w:sz w:val="14"/>
                <w:szCs w:val="14"/>
                <w:b w:val="1"/>
                <w:bCs w:val="1"/>
                <w:color w:val="auto"/>
                <w:w w:val="88"/>
              </w:rPr>
              <w:t>November 2,</w:t>
            </w:r>
          </w:p>
        </w:tc>
        <w:tc>
          <w:tcPr>
            <w:tcW w:w="4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October 27,</w:t>
            </w:r>
          </w:p>
        </w:tc>
        <w:tc>
          <w:tcPr>
            <w:tcW w:w="2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26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740" w:type="dxa"/>
            <w:vAlign w:val="bottom"/>
            <w:tcBorders>
              <w:bottom w:val="single" w:sz="8" w:color="auto"/>
            </w:tcBorders>
          </w:tcPr>
          <w:p>
            <w:pPr>
              <w:jc w:val="right"/>
              <w:ind w:right="159"/>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w w:val="76"/>
              </w:rPr>
              <w:t>2012</w:t>
            </w:r>
          </w:p>
        </w:tc>
        <w:tc>
          <w:tcPr>
            <w:tcW w:w="56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gridSpan w:val="2"/>
          </w:tcPr>
          <w:p>
            <w:pPr>
              <w:spacing w:after="0"/>
              <w:rPr>
                <w:sz w:val="14"/>
                <w:szCs w:val="14"/>
                <w:color w:val="auto"/>
              </w:rPr>
            </w:pPr>
          </w:p>
        </w:tc>
        <w:tc>
          <w:tcPr>
            <w:tcW w:w="7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2013</w:t>
            </w:r>
          </w:p>
        </w:tc>
        <w:tc>
          <w:tcPr>
            <w:tcW w:w="240" w:type="dxa"/>
            <w:vAlign w:val="bottom"/>
            <w:tcBorders>
              <w:bottom w:val="single" w:sz="8" w:color="CCEEFF"/>
            </w:tcBorders>
          </w:tcPr>
          <w:p>
            <w:pPr>
              <w:spacing w:after="0"/>
              <w:rPr>
                <w:sz w:val="14"/>
                <w:szCs w:val="14"/>
                <w:color w:val="auto"/>
              </w:rPr>
            </w:pPr>
          </w:p>
        </w:tc>
        <w:tc>
          <w:tcPr>
            <w:tcW w:w="48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2"/>
          </w:tcPr>
          <w:p>
            <w:pPr>
              <w:jc w:val="right"/>
              <w:ind w:right="200"/>
              <w:spacing w:after="0"/>
              <w:rPr>
                <w:sz w:val="20"/>
                <w:szCs w:val="20"/>
                <w:color w:val="auto"/>
              </w:rPr>
            </w:pPr>
            <w:r>
              <w:rPr>
                <w:rFonts w:ascii="Arial" w:cs="Arial" w:eastAsia="Arial" w:hAnsi="Arial"/>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52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5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8"/>
              </w:rPr>
              <w:t>100.0%</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100.0%</w:t>
            </w:r>
          </w:p>
        </w:tc>
        <w:tc>
          <w:tcPr>
            <w:tcW w:w="480" w:type="dxa"/>
            <w:vAlign w:val="bottom"/>
            <w:shd w:val="clear" w:color="auto" w:fill="CCEEFF"/>
          </w:tcPr>
          <w:p>
            <w:pPr>
              <w:spacing w:after="0"/>
              <w:rPr>
                <w:sz w:val="18"/>
                <w:szCs w:val="18"/>
                <w:color w:val="auto"/>
              </w:rPr>
            </w:pPr>
          </w:p>
        </w:tc>
        <w:tc>
          <w:tcPr>
            <w:tcW w:w="8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10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49.9</w:t>
            </w:r>
          </w:p>
        </w:tc>
        <w:tc>
          <w:tcPr>
            <w:tcW w:w="5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48.0</w:t>
            </w:r>
          </w:p>
        </w:tc>
        <w:tc>
          <w:tcPr>
            <w:tcW w:w="114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48.0</w:t>
            </w:r>
          </w:p>
        </w:tc>
        <w:tc>
          <w:tcPr>
            <w:tcW w:w="11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46.9</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6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1000" w:type="dxa"/>
            <w:vAlign w:val="bottom"/>
            <w:gridSpan w:val="3"/>
          </w:tcPr>
          <w:p>
            <w:pPr>
              <w:jc w:val="right"/>
              <w:ind w:right="200"/>
              <w:spacing w:after="0"/>
              <w:rPr>
                <w:sz w:val="20"/>
                <w:szCs w:val="20"/>
                <w:color w:val="auto"/>
              </w:rPr>
            </w:pPr>
            <w:r>
              <w:rPr>
                <w:rFonts w:ascii="Arial" w:cs="Arial" w:eastAsia="Arial" w:hAnsi="Arial"/>
                <w:sz w:val="18"/>
                <w:szCs w:val="18"/>
                <w:color w:val="auto"/>
              </w:rPr>
              <w:t>31.8</w:t>
            </w: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gridSpan w:val="2"/>
          </w:tcPr>
          <w:p>
            <w:pPr>
              <w:jc w:val="right"/>
              <w:ind w:right="560"/>
              <w:spacing w:after="0"/>
              <w:rPr>
                <w:sz w:val="20"/>
                <w:szCs w:val="20"/>
                <w:color w:val="auto"/>
              </w:rPr>
            </w:pPr>
            <w:r>
              <w:rPr>
                <w:rFonts w:ascii="Arial" w:cs="Arial" w:eastAsia="Arial" w:hAnsi="Arial"/>
                <w:sz w:val="18"/>
                <w:szCs w:val="18"/>
                <w:color w:val="auto"/>
              </w:rPr>
              <w:t>33.8</w:t>
            </w:r>
          </w:p>
        </w:tc>
        <w:tc>
          <w:tcPr>
            <w:tcW w:w="1140" w:type="dxa"/>
            <w:vAlign w:val="bottom"/>
            <w:gridSpan w:val="4"/>
          </w:tcPr>
          <w:p>
            <w:pPr>
              <w:jc w:val="right"/>
              <w:ind w:right="240"/>
              <w:spacing w:after="0"/>
              <w:rPr>
                <w:sz w:val="20"/>
                <w:szCs w:val="20"/>
                <w:color w:val="auto"/>
              </w:rPr>
            </w:pPr>
            <w:r>
              <w:rPr>
                <w:rFonts w:ascii="Arial" w:cs="Arial" w:eastAsia="Arial" w:hAnsi="Arial"/>
                <w:sz w:val="18"/>
                <w:szCs w:val="18"/>
                <w:color w:val="auto"/>
              </w:rPr>
              <w:t>35.1</w:t>
            </w: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32.7</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10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4.0</w:t>
            </w:r>
          </w:p>
        </w:tc>
        <w:tc>
          <w:tcPr>
            <w:tcW w:w="5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4.9</w:t>
            </w:r>
          </w:p>
        </w:tc>
        <w:tc>
          <w:tcPr>
            <w:tcW w:w="114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4.7</w:t>
            </w:r>
          </w:p>
        </w:tc>
        <w:tc>
          <w:tcPr>
            <w:tcW w:w="11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6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1000" w:type="dxa"/>
            <w:vAlign w:val="bottom"/>
            <w:gridSpan w:val="3"/>
          </w:tcPr>
          <w:p>
            <w:pPr>
              <w:jc w:val="right"/>
              <w:ind w:right="200"/>
              <w:spacing w:after="0"/>
              <w:rPr>
                <w:sz w:val="20"/>
                <w:szCs w:val="20"/>
                <w:color w:val="auto"/>
              </w:rPr>
            </w:pPr>
            <w:r>
              <w:rPr>
                <w:rFonts w:ascii="Arial" w:cs="Arial" w:eastAsia="Arial" w:hAnsi="Arial"/>
                <w:sz w:val="18"/>
                <w:szCs w:val="18"/>
                <w:color w:val="auto"/>
              </w:rPr>
              <w:t>2.9</w:t>
            </w: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gridSpan w:val="2"/>
          </w:tcPr>
          <w:p>
            <w:pPr>
              <w:jc w:val="right"/>
              <w:ind w:right="560"/>
              <w:spacing w:after="0"/>
              <w:rPr>
                <w:sz w:val="20"/>
                <w:szCs w:val="20"/>
                <w:color w:val="auto"/>
              </w:rPr>
            </w:pPr>
            <w:r>
              <w:rPr>
                <w:rFonts w:ascii="Arial" w:cs="Arial" w:eastAsia="Arial" w:hAnsi="Arial"/>
                <w:sz w:val="18"/>
                <w:szCs w:val="18"/>
                <w:color w:val="auto"/>
              </w:rPr>
              <w:t>3.1</w:t>
            </w:r>
          </w:p>
        </w:tc>
        <w:tc>
          <w:tcPr>
            <w:tcW w:w="1140" w:type="dxa"/>
            <w:vAlign w:val="bottom"/>
            <w:gridSpan w:val="4"/>
          </w:tcPr>
          <w:p>
            <w:pPr>
              <w:jc w:val="right"/>
              <w:ind w:right="240"/>
              <w:spacing w:after="0"/>
              <w:rPr>
                <w:sz w:val="20"/>
                <w:szCs w:val="20"/>
                <w:color w:val="auto"/>
              </w:rPr>
            </w:pPr>
            <w:r>
              <w:rPr>
                <w:rFonts w:ascii="Arial" w:cs="Arial" w:eastAsia="Arial" w:hAnsi="Arial"/>
                <w:sz w:val="18"/>
                <w:szCs w:val="18"/>
                <w:color w:val="auto"/>
              </w:rPr>
              <w:t>3.2</w:t>
            </w: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3.2</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and write-off of acquired intangible assets</w:t>
            </w:r>
          </w:p>
        </w:tc>
        <w:tc>
          <w:tcPr>
            <w:tcW w:w="6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1.7</w:t>
            </w:r>
          </w:p>
        </w:tc>
        <w:tc>
          <w:tcPr>
            <w:tcW w:w="114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1.3</w:t>
            </w:r>
          </w:p>
        </w:tc>
        <w:tc>
          <w:tcPr>
            <w:tcW w:w="11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5260" w:type="dxa"/>
            <w:vAlign w:val="bottom"/>
            <w:vMerge w:val="restart"/>
          </w:tcPr>
          <w:p>
            <w:pPr>
              <w:ind w:left="880"/>
              <w:spacing w:after="0"/>
              <w:rPr>
                <w:sz w:val="20"/>
                <w:szCs w:val="20"/>
                <w:color w:val="auto"/>
              </w:rPr>
            </w:pPr>
            <w:r>
              <w:rPr>
                <w:rFonts w:ascii="Arial" w:cs="Arial" w:eastAsia="Arial" w:hAnsi="Arial"/>
                <w:sz w:val="18"/>
                <w:szCs w:val="18"/>
                <w:color w:val="auto"/>
              </w:rPr>
              <w:t>Total operating costs and expenses</w:t>
            </w:r>
          </w:p>
        </w:tc>
        <w:tc>
          <w:tcPr>
            <w:tcW w:w="6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0" w:type="dxa"/>
            <w:vAlign w:val="bottom"/>
          </w:tcPr>
          <w:p>
            <w:pPr>
              <w:spacing w:after="0"/>
              <w:rPr>
                <w:sz w:val="19"/>
                <w:szCs w:val="19"/>
                <w:color w:val="auto"/>
              </w:rPr>
            </w:pPr>
          </w:p>
        </w:tc>
        <w:tc>
          <w:tcPr>
            <w:tcW w:w="5260" w:type="dxa"/>
            <w:vAlign w:val="bottom"/>
            <w:vMerge w:val="continue"/>
          </w:tcPr>
          <w:p>
            <w:pPr>
              <w:spacing w:after="0"/>
              <w:rPr>
                <w:sz w:val="19"/>
                <w:szCs w:val="19"/>
                <w:color w:val="auto"/>
              </w:rPr>
            </w:pPr>
          </w:p>
        </w:tc>
        <w:tc>
          <w:tcPr>
            <w:tcW w:w="6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89.8</w:t>
            </w:r>
          </w:p>
        </w:tc>
        <w:tc>
          <w:tcPr>
            <w:tcW w:w="2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20" w:type="dxa"/>
            <w:vAlign w:val="bottom"/>
            <w:gridSpan w:val="2"/>
          </w:tcPr>
          <w:p>
            <w:pPr>
              <w:jc w:val="right"/>
              <w:ind w:right="560"/>
              <w:spacing w:after="0"/>
              <w:rPr>
                <w:sz w:val="20"/>
                <w:szCs w:val="20"/>
                <w:color w:val="auto"/>
              </w:rPr>
            </w:pPr>
            <w:r>
              <w:rPr>
                <w:rFonts w:ascii="Arial" w:cs="Arial" w:eastAsia="Arial" w:hAnsi="Arial"/>
                <w:sz w:val="18"/>
                <w:szCs w:val="18"/>
                <w:color w:val="auto"/>
              </w:rPr>
              <w:t>91.5</w:t>
            </w:r>
          </w:p>
        </w:tc>
        <w:tc>
          <w:tcPr>
            <w:tcW w:w="1140" w:type="dxa"/>
            <w:vAlign w:val="bottom"/>
            <w:gridSpan w:val="4"/>
          </w:tcPr>
          <w:p>
            <w:pPr>
              <w:jc w:val="right"/>
              <w:ind w:right="240"/>
              <w:spacing w:after="0"/>
              <w:rPr>
                <w:sz w:val="20"/>
                <w:szCs w:val="20"/>
                <w:color w:val="auto"/>
              </w:rPr>
            </w:pPr>
            <w:r>
              <w:rPr>
                <w:rFonts w:ascii="Arial" w:cs="Arial" w:eastAsia="Arial" w:hAnsi="Arial"/>
                <w:sz w:val="18"/>
                <w:szCs w:val="18"/>
                <w:color w:val="auto"/>
              </w:rPr>
              <w:t>92.3</w:t>
            </w: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89.5</w:t>
            </w:r>
          </w:p>
        </w:tc>
        <w:tc>
          <w:tcPr>
            <w:tcW w:w="2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460" w:type="dxa"/>
            <w:vAlign w:val="bottom"/>
            <w:vMerge w:val="restart"/>
          </w:tcPr>
          <w:p>
            <w:pPr>
              <w:spacing w:after="0"/>
              <w:rPr>
                <w:sz w:val="2"/>
                <w:szCs w:val="2"/>
                <w:color w:val="auto"/>
              </w:rPr>
            </w:pPr>
          </w:p>
        </w:tc>
        <w:tc>
          <w:tcPr>
            <w:tcW w:w="5260" w:type="dxa"/>
            <w:vAlign w:val="bottom"/>
          </w:tcPr>
          <w:p>
            <w:pPr>
              <w:spacing w:after="0"/>
              <w:rPr>
                <w:sz w:val="2"/>
                <w:szCs w:val="2"/>
                <w:color w:val="auto"/>
              </w:rPr>
            </w:pPr>
          </w:p>
        </w:tc>
        <w:tc>
          <w:tcPr>
            <w:tcW w:w="6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480" w:type="dxa"/>
            <w:vAlign w:val="bottom"/>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6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8.5</w:t>
            </w:r>
          </w:p>
        </w:tc>
        <w:tc>
          <w:tcPr>
            <w:tcW w:w="114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7.7</w:t>
            </w:r>
          </w:p>
        </w:tc>
        <w:tc>
          <w:tcPr>
            <w:tcW w:w="11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10.5</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6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gridSpan w:val="2"/>
          </w:tcPr>
          <w:p>
            <w:pPr>
              <w:jc w:val="right"/>
              <w:ind w:right="560"/>
              <w:spacing w:after="0"/>
              <w:rPr>
                <w:sz w:val="20"/>
                <w:szCs w:val="20"/>
                <w:color w:val="auto"/>
              </w:rPr>
            </w:pPr>
            <w:r>
              <w:rPr>
                <w:rFonts w:ascii="Arial" w:cs="Arial" w:eastAsia="Arial" w:hAnsi="Arial"/>
                <w:sz w:val="18"/>
                <w:szCs w:val="18"/>
                <w:color w:val="auto"/>
              </w:rPr>
              <w:t>0.3</w:t>
            </w:r>
          </w:p>
        </w:tc>
        <w:tc>
          <w:tcPr>
            <w:tcW w:w="1140" w:type="dxa"/>
            <w:vAlign w:val="bottom"/>
            <w:gridSpan w:val="4"/>
          </w:tcPr>
          <w:p>
            <w:pPr>
              <w:jc w:val="right"/>
              <w:ind w:right="240"/>
              <w:spacing w:after="0"/>
              <w:rPr>
                <w:sz w:val="20"/>
                <w:szCs w:val="20"/>
                <w:color w:val="auto"/>
              </w:rPr>
            </w:pPr>
            <w:r>
              <w:rPr>
                <w:rFonts w:ascii="Arial" w:cs="Arial" w:eastAsia="Arial" w:hAnsi="Arial"/>
                <w:sz w:val="18"/>
                <w:szCs w:val="18"/>
                <w:color w:val="auto"/>
              </w:rPr>
              <w:t>0.5</w:t>
            </w: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0.4</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5260" w:type="dxa"/>
            <w:vAlign w:val="bottom"/>
          </w:tcPr>
          <w:p>
            <w:pPr>
              <w:spacing w:after="0"/>
              <w:rPr>
                <w:sz w:val="2"/>
                <w:szCs w:val="2"/>
                <w:color w:val="auto"/>
              </w:rPr>
            </w:pPr>
          </w:p>
        </w:tc>
        <w:tc>
          <w:tcPr>
            <w:tcW w:w="6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480" w:type="dxa"/>
            <w:vAlign w:val="bottom"/>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6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w:t>
            </w:r>
          </w:p>
        </w:tc>
        <w:tc>
          <w:tcPr>
            <w:tcW w:w="2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8.8</w:t>
            </w:r>
          </w:p>
        </w:tc>
        <w:tc>
          <w:tcPr>
            <w:tcW w:w="114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8.2</w:t>
            </w:r>
          </w:p>
        </w:tc>
        <w:tc>
          <w:tcPr>
            <w:tcW w:w="11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10.9</w:t>
            </w:r>
          </w:p>
        </w:tc>
        <w:tc>
          <w:tcPr>
            <w:tcW w:w="200" w:type="dxa"/>
            <w:vAlign w:val="bottom"/>
            <w:shd w:val="clear" w:color="auto" w:fill="CCEEFF"/>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60" w:type="dxa"/>
            <w:vAlign w:val="bottom"/>
          </w:tcPr>
          <w:p>
            <w:pPr>
              <w:spacing w:after="0"/>
              <w:rPr>
                <w:sz w:val="18"/>
                <w:szCs w:val="18"/>
                <w:color w:val="auto"/>
              </w:rPr>
            </w:pPr>
          </w:p>
        </w:tc>
        <w:tc>
          <w:tcPr>
            <w:tcW w:w="940" w:type="dxa"/>
            <w:vAlign w:val="bottom"/>
            <w:gridSpan w:val="2"/>
          </w:tcPr>
          <w:p>
            <w:pPr>
              <w:jc w:val="right"/>
              <w:ind w:right="140"/>
              <w:spacing w:after="0"/>
              <w:rPr>
                <w:sz w:val="20"/>
                <w:szCs w:val="20"/>
                <w:color w:val="auto"/>
              </w:rPr>
            </w:pPr>
            <w:r>
              <w:rPr>
                <w:rFonts w:ascii="Arial" w:cs="Arial" w:eastAsia="Arial" w:hAnsi="Arial"/>
                <w:sz w:val="18"/>
                <w:szCs w:val="18"/>
                <w:color w:val="auto"/>
              </w:rPr>
              <w:t>(0.7)</w:t>
            </w:r>
          </w:p>
        </w:tc>
        <w:tc>
          <w:tcPr>
            <w:tcW w:w="5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gridSpan w:val="2"/>
          </w:tcPr>
          <w:p>
            <w:pPr>
              <w:jc w:val="right"/>
              <w:ind w:right="560"/>
              <w:spacing w:after="0"/>
              <w:rPr>
                <w:sz w:val="20"/>
                <w:szCs w:val="20"/>
                <w:color w:val="auto"/>
              </w:rPr>
            </w:pPr>
            <w:r>
              <w:rPr>
                <w:rFonts w:ascii="Arial" w:cs="Arial" w:eastAsia="Arial" w:hAnsi="Arial"/>
                <w:sz w:val="18"/>
                <w:szCs w:val="18"/>
                <w:color w:val="auto"/>
              </w:rPr>
              <w:t>0.0</w:t>
            </w:r>
          </w:p>
        </w:tc>
        <w:tc>
          <w:tcPr>
            <w:tcW w:w="1140" w:type="dxa"/>
            <w:vAlign w:val="bottom"/>
            <w:gridSpan w:val="4"/>
          </w:tcPr>
          <w:p>
            <w:pPr>
              <w:jc w:val="right"/>
              <w:ind w:right="180"/>
              <w:spacing w:after="0"/>
              <w:rPr>
                <w:sz w:val="20"/>
                <w:szCs w:val="20"/>
                <w:color w:val="auto"/>
              </w:rPr>
            </w:pPr>
            <w:r>
              <w:rPr>
                <w:rFonts w:ascii="Arial" w:cs="Arial" w:eastAsia="Arial" w:hAnsi="Arial"/>
                <w:sz w:val="18"/>
                <w:szCs w:val="18"/>
                <w:color w:val="auto"/>
              </w:rPr>
              <w:t>(0.6)</w:t>
            </w: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5260" w:type="dxa"/>
            <w:vAlign w:val="bottom"/>
          </w:tcPr>
          <w:p>
            <w:pPr>
              <w:spacing w:after="0"/>
              <w:rPr>
                <w:sz w:val="2"/>
                <w:szCs w:val="2"/>
                <w:color w:val="auto"/>
              </w:rPr>
            </w:pPr>
          </w:p>
        </w:tc>
        <w:tc>
          <w:tcPr>
            <w:tcW w:w="6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480" w:type="dxa"/>
            <w:vAlign w:val="bottom"/>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6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11.1%</w:t>
            </w:r>
          </w:p>
        </w:tc>
        <w:tc>
          <w:tcPr>
            <w:tcW w:w="5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8.8%</w:t>
            </w:r>
          </w:p>
        </w:tc>
        <w:tc>
          <w:tcPr>
            <w:tcW w:w="114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8.8%</w:t>
            </w:r>
          </w:p>
        </w:tc>
        <w:tc>
          <w:tcPr>
            <w:tcW w:w="13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10.7%</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720" w:type="dxa"/>
            <w:vAlign w:val="bottom"/>
            <w:gridSpan w:val="2"/>
            <w:vMerge w:val="restart"/>
          </w:tcPr>
          <w:p>
            <w:pPr>
              <w:spacing w:after="0"/>
              <w:rPr>
                <w:sz w:val="20"/>
                <w:szCs w:val="20"/>
                <w:color w:val="auto"/>
              </w:rPr>
            </w:pPr>
            <w:r>
              <w:rPr>
                <w:rFonts w:ascii="Arial" w:cs="Arial" w:eastAsia="Arial" w:hAnsi="Arial"/>
                <w:sz w:val="18"/>
                <w:szCs w:val="18"/>
                <w:b w:val="1"/>
                <w:bCs w:val="1"/>
                <w:color w:val="auto"/>
                <w:w w:val="94"/>
              </w:rPr>
              <w:t>Three and nine months ended November 2, 2013 and October 27, 2012</w:t>
            </w:r>
          </w:p>
        </w:tc>
        <w:tc>
          <w:tcPr>
            <w:tcW w:w="6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720" w:type="dxa"/>
            <w:vAlign w:val="bottom"/>
            <w:gridSpan w:val="2"/>
            <w:vMerge w:val="continue"/>
          </w:tcPr>
          <w:p>
            <w:pPr>
              <w:spacing w:after="0"/>
              <w:rPr>
                <w:sz w:val="24"/>
                <w:szCs w:val="24"/>
                <w:color w:val="auto"/>
              </w:rPr>
            </w:pPr>
          </w:p>
        </w:tc>
        <w:tc>
          <w:tcPr>
            <w:tcW w:w="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5720" w:type="dxa"/>
            <w:vAlign w:val="bottom"/>
            <w:gridSpan w:val="2"/>
          </w:tcPr>
          <w:p>
            <w:pPr>
              <w:ind w:left="460"/>
              <w:spacing w:after="0"/>
              <w:rPr>
                <w:sz w:val="20"/>
                <w:szCs w:val="20"/>
                <w:color w:val="auto"/>
              </w:rPr>
            </w:pPr>
            <w:r>
              <w:rPr>
                <w:rFonts w:ascii="Arial" w:cs="Arial" w:eastAsia="Arial" w:hAnsi="Arial"/>
                <w:sz w:val="18"/>
                <w:szCs w:val="18"/>
                <w:i w:val="1"/>
                <w:iCs w:val="1"/>
                <w:color w:val="auto"/>
              </w:rPr>
              <w:t>Net Revenue</w:t>
            </w:r>
          </w:p>
        </w:tc>
        <w:tc>
          <w:tcPr>
            <w:tcW w:w="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52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60" w:type="dxa"/>
            <w:vAlign w:val="bottom"/>
            <w:gridSpan w:val="4"/>
          </w:tcPr>
          <w:p>
            <w:pPr>
              <w:jc w:val="right"/>
              <w:ind w:right="172"/>
              <w:spacing w:after="0"/>
              <w:rPr>
                <w:sz w:val="20"/>
                <w:szCs w:val="20"/>
                <w:color w:val="auto"/>
              </w:rPr>
            </w:pPr>
            <w:r>
              <w:rPr>
                <w:rFonts w:ascii="Arial" w:cs="Arial" w:eastAsia="Arial" w:hAnsi="Arial"/>
                <w:sz w:val="14"/>
                <w:szCs w:val="14"/>
                <w:b w:val="1"/>
                <w:bCs w:val="1"/>
                <w:color w:val="auto"/>
              </w:rPr>
              <w:t>Three Months Ended</w:t>
            </w:r>
          </w:p>
        </w:tc>
        <w:tc>
          <w:tcPr>
            <w:tcW w:w="1020" w:type="dxa"/>
            <w:vAlign w:val="bottom"/>
            <w:gridSpan w:val="2"/>
            <w:vMerge w:val="restart"/>
          </w:tcPr>
          <w:p>
            <w:pPr>
              <w:jc w:val="right"/>
              <w:ind w:right="440"/>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14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460" w:type="dxa"/>
            <w:vAlign w:val="bottom"/>
            <w:gridSpan w:val="2"/>
            <w:vMerge w:val="restart"/>
          </w:tcPr>
          <w:p>
            <w:pPr>
              <w:jc w:val="right"/>
              <w:ind w:right="16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5260" w:type="dxa"/>
            <w:vAlign w:val="bottom"/>
          </w:tcPr>
          <w:p>
            <w:pPr>
              <w:spacing w:after="0"/>
              <w:rPr>
                <w:sz w:val="11"/>
                <w:szCs w:val="11"/>
                <w:color w:val="auto"/>
              </w:rPr>
            </w:pPr>
          </w:p>
        </w:tc>
        <w:tc>
          <w:tcPr>
            <w:tcW w:w="1000" w:type="dxa"/>
            <w:vAlign w:val="bottom"/>
            <w:tcBorders>
              <w:top w:val="single" w:sz="8" w:color="auto"/>
            </w:tcBorders>
            <w:gridSpan w:val="3"/>
          </w:tcPr>
          <w:p>
            <w:pPr>
              <w:jc w:val="right"/>
              <w:ind w:right="260"/>
              <w:spacing w:after="0" w:line="129" w:lineRule="exact"/>
              <w:rPr>
                <w:sz w:val="20"/>
                <w:szCs w:val="20"/>
                <w:color w:val="auto"/>
              </w:rPr>
            </w:pPr>
            <w:r>
              <w:rPr>
                <w:rFonts w:ascii="Arial" w:cs="Arial" w:eastAsia="Arial" w:hAnsi="Arial"/>
                <w:sz w:val="14"/>
                <w:szCs w:val="14"/>
                <w:b w:val="1"/>
                <w:bCs w:val="1"/>
                <w:color w:val="auto"/>
                <w:w w:val="85"/>
              </w:rPr>
              <w:t>November 2,</w:t>
            </w:r>
          </w:p>
        </w:tc>
        <w:tc>
          <w:tcPr>
            <w:tcW w:w="72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October 27,</w:t>
            </w:r>
          </w:p>
        </w:tc>
        <w:tc>
          <w:tcPr>
            <w:tcW w:w="1020" w:type="dxa"/>
            <w:vAlign w:val="bottom"/>
            <w:gridSpan w:val="2"/>
            <w:vMerge w:val="continue"/>
          </w:tcPr>
          <w:p>
            <w:pPr>
              <w:spacing w:after="0"/>
              <w:rPr>
                <w:sz w:val="11"/>
                <w:szCs w:val="11"/>
                <w:color w:val="auto"/>
              </w:rPr>
            </w:pPr>
          </w:p>
        </w:tc>
        <w:tc>
          <w:tcPr>
            <w:tcW w:w="120" w:type="dxa"/>
            <w:vAlign w:val="bottom"/>
          </w:tcPr>
          <w:p>
            <w:pPr>
              <w:spacing w:after="0"/>
              <w:rPr>
                <w:sz w:val="11"/>
                <w:szCs w:val="11"/>
                <w:color w:val="auto"/>
              </w:rPr>
            </w:pPr>
          </w:p>
        </w:tc>
        <w:tc>
          <w:tcPr>
            <w:tcW w:w="1020" w:type="dxa"/>
            <w:vAlign w:val="bottom"/>
            <w:tcBorders>
              <w:top w:val="single" w:sz="8" w:color="auto"/>
            </w:tcBorders>
            <w:gridSpan w:val="3"/>
          </w:tcPr>
          <w:p>
            <w:pPr>
              <w:jc w:val="center"/>
              <w:ind w:right="220"/>
              <w:spacing w:after="0" w:line="129" w:lineRule="exact"/>
              <w:rPr>
                <w:sz w:val="20"/>
                <w:szCs w:val="20"/>
                <w:color w:val="auto"/>
              </w:rPr>
            </w:pPr>
            <w:r>
              <w:rPr>
                <w:rFonts w:ascii="Arial" w:cs="Arial" w:eastAsia="Arial" w:hAnsi="Arial"/>
                <w:sz w:val="14"/>
                <w:szCs w:val="14"/>
                <w:b w:val="1"/>
                <w:bCs w:val="1"/>
                <w:color w:val="auto"/>
                <w:w w:val="85"/>
              </w:rPr>
              <w:t>November 2,</w:t>
            </w:r>
          </w:p>
        </w:tc>
        <w:tc>
          <w:tcPr>
            <w:tcW w:w="8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280" w:type="dxa"/>
            <w:vAlign w:val="bottom"/>
          </w:tcPr>
          <w:p>
            <w:pPr>
              <w:spacing w:after="0"/>
              <w:rPr>
                <w:sz w:val="11"/>
                <w:szCs w:val="11"/>
                <w:color w:val="auto"/>
              </w:rPr>
            </w:pPr>
          </w:p>
        </w:tc>
        <w:tc>
          <w:tcPr>
            <w:tcW w:w="46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5260" w:type="dxa"/>
            <w:vAlign w:val="bottom"/>
          </w:tcPr>
          <w:p>
            <w:pPr>
              <w:spacing w:after="0"/>
              <w:rPr>
                <w:sz w:val="14"/>
                <w:szCs w:val="14"/>
                <w:color w:val="auto"/>
              </w:rPr>
            </w:pPr>
          </w:p>
        </w:tc>
        <w:tc>
          <w:tcPr>
            <w:tcW w:w="800" w:type="dxa"/>
            <w:vAlign w:val="bottom"/>
            <w:gridSpan w:val="2"/>
          </w:tcPr>
          <w:p>
            <w:pPr>
              <w:jc w:val="right"/>
              <w:ind w:right="219"/>
              <w:spacing w:after="0"/>
              <w:rPr>
                <w:sz w:val="20"/>
                <w:szCs w:val="20"/>
                <w:color w:val="auto"/>
              </w:rPr>
            </w:pPr>
            <w:r>
              <w:rPr>
                <w:rFonts w:ascii="Arial" w:cs="Arial" w:eastAsia="Arial" w:hAnsi="Arial"/>
                <w:sz w:val="14"/>
                <w:szCs w:val="14"/>
                <w:b w:val="1"/>
                <w:bCs w:val="1"/>
                <w:color w:val="auto"/>
              </w:rPr>
              <w:t>2013</w:t>
            </w:r>
          </w:p>
        </w:tc>
        <w:tc>
          <w:tcPr>
            <w:tcW w:w="200" w:type="dxa"/>
            <w:vAlign w:val="bottom"/>
          </w:tcPr>
          <w:p>
            <w:pPr>
              <w:spacing w:after="0"/>
              <w:rPr>
                <w:sz w:val="14"/>
                <w:szCs w:val="14"/>
                <w:color w:val="auto"/>
              </w:rPr>
            </w:pPr>
          </w:p>
        </w:tc>
        <w:tc>
          <w:tcPr>
            <w:tcW w:w="72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2012</w:t>
            </w:r>
          </w:p>
        </w:tc>
        <w:tc>
          <w:tcPr>
            <w:tcW w:w="102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Change</w:t>
            </w:r>
          </w:p>
        </w:tc>
        <w:tc>
          <w:tcPr>
            <w:tcW w:w="900" w:type="dxa"/>
            <w:vAlign w:val="bottom"/>
            <w:gridSpan w:val="3"/>
          </w:tcPr>
          <w:p>
            <w:pPr>
              <w:jc w:val="right"/>
              <w:ind w:right="168"/>
              <w:spacing w:after="0"/>
              <w:rPr>
                <w:sz w:val="20"/>
                <w:szCs w:val="20"/>
                <w:color w:val="auto"/>
              </w:rPr>
            </w:pPr>
            <w:r>
              <w:rPr>
                <w:rFonts w:ascii="Arial" w:cs="Arial" w:eastAsia="Arial" w:hAnsi="Arial"/>
                <w:sz w:val="14"/>
                <w:szCs w:val="14"/>
                <w:b w:val="1"/>
                <w:bCs w:val="1"/>
                <w:color w:val="auto"/>
              </w:rPr>
              <w:t>2013</w:t>
            </w:r>
          </w:p>
        </w:tc>
        <w:tc>
          <w:tcPr>
            <w:tcW w:w="240" w:type="dxa"/>
            <w:vAlign w:val="bottom"/>
          </w:tcPr>
          <w:p>
            <w:pPr>
              <w:spacing w:after="0"/>
              <w:rPr>
                <w:sz w:val="14"/>
                <w:szCs w:val="14"/>
                <w:color w:val="auto"/>
              </w:rPr>
            </w:pPr>
          </w:p>
        </w:tc>
        <w:tc>
          <w:tcPr>
            <w:tcW w:w="880" w:type="dxa"/>
            <w:vAlign w:val="bottom"/>
            <w:gridSpan w:val="2"/>
          </w:tcPr>
          <w:p>
            <w:pPr>
              <w:jc w:val="right"/>
              <w:ind w:right="186"/>
              <w:spacing w:after="0"/>
              <w:rPr>
                <w:sz w:val="20"/>
                <w:szCs w:val="20"/>
                <w:color w:val="auto"/>
              </w:rPr>
            </w:pPr>
            <w:r>
              <w:rPr>
                <w:rFonts w:ascii="Arial" w:cs="Arial" w:eastAsia="Arial" w:hAnsi="Arial"/>
                <w:sz w:val="14"/>
                <w:szCs w:val="14"/>
                <w:b w:val="1"/>
                <w:bCs w:val="1"/>
                <w:color w:val="auto"/>
              </w:rPr>
              <w:t>2012</w:t>
            </w:r>
          </w:p>
        </w:tc>
        <w:tc>
          <w:tcPr>
            <w:tcW w:w="280" w:type="dxa"/>
            <w:vAlign w:val="bottom"/>
          </w:tcPr>
          <w:p>
            <w:pPr>
              <w:spacing w:after="0"/>
              <w:rPr>
                <w:sz w:val="14"/>
                <w:szCs w:val="14"/>
                <w:color w:val="auto"/>
              </w:rPr>
            </w:pPr>
          </w:p>
        </w:tc>
        <w:tc>
          <w:tcPr>
            <w:tcW w:w="66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60" w:type="dxa"/>
            <w:vAlign w:val="bottom"/>
          </w:tcPr>
          <w:p>
            <w:pPr>
              <w:spacing w:after="0"/>
              <w:rPr>
                <w:sz w:val="12"/>
                <w:szCs w:val="12"/>
                <w:color w:val="auto"/>
              </w:rPr>
            </w:pPr>
          </w:p>
        </w:tc>
        <w:tc>
          <w:tcPr>
            <w:tcW w:w="5260" w:type="dxa"/>
            <w:vAlign w:val="bottom"/>
          </w:tcPr>
          <w:p>
            <w:pPr>
              <w:spacing w:after="0"/>
              <w:rPr>
                <w:sz w:val="12"/>
                <w:szCs w:val="12"/>
                <w:color w:val="auto"/>
              </w:rPr>
            </w:pPr>
          </w:p>
        </w:tc>
        <w:tc>
          <w:tcPr>
            <w:tcW w:w="6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52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160" w:type="dxa"/>
            <w:vAlign w:val="bottom"/>
            <w:tcBorders>
              <w:top w:val="single" w:sz="8" w:color="auto"/>
            </w:tcBorders>
            <w:gridSpan w:val="6"/>
          </w:tcPr>
          <w:p>
            <w:pPr>
              <w:jc w:val="right"/>
              <w:ind w:right="180"/>
              <w:spacing w:after="0" w:line="142" w:lineRule="exact"/>
              <w:rPr>
                <w:sz w:val="20"/>
                <w:szCs w:val="20"/>
                <w:color w:val="auto"/>
              </w:rPr>
            </w:pPr>
            <w:r>
              <w:rPr>
                <w:rFonts w:ascii="Arial" w:cs="Arial" w:eastAsia="Arial" w:hAnsi="Arial"/>
                <w:sz w:val="14"/>
                <w:szCs w:val="14"/>
                <w:b w:val="1"/>
                <w:bCs w:val="1"/>
                <w:color w:val="auto"/>
                <w:w w:val="86"/>
              </w:rPr>
              <w:t>(in thousands, except percentage)</w:t>
            </w:r>
          </w:p>
        </w:tc>
        <w:tc>
          <w:tcPr>
            <w:tcW w:w="480" w:type="dxa"/>
            <w:vAlign w:val="bottom"/>
            <w:tcBorders>
              <w:top w:val="single" w:sz="8" w:color="auto"/>
            </w:tcBorders>
          </w:tcPr>
          <w:p>
            <w:pPr>
              <w:spacing w:after="0"/>
              <w:rPr>
                <w:sz w:val="12"/>
                <w:szCs w:val="12"/>
                <w:color w:val="auto"/>
              </w:rPr>
            </w:pPr>
          </w:p>
        </w:tc>
        <w:tc>
          <w:tcPr>
            <w:tcW w:w="40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7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9"/>
              </w:rPr>
              <w:t>$ 931,226</w:t>
            </w:r>
          </w:p>
        </w:tc>
        <w:tc>
          <w:tcPr>
            <w:tcW w:w="2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3"/>
              </w:rPr>
              <w:t>$780,881</w:t>
            </w: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19.3%</w:t>
            </w:r>
          </w:p>
        </w:tc>
        <w:tc>
          <w:tcPr>
            <w:tcW w:w="1140" w:type="dxa"/>
            <w:vAlign w:val="bottom"/>
            <w:gridSpan w:val="4"/>
            <w:shd w:val="clear" w:color="auto" w:fill="CCEEFF"/>
          </w:tcPr>
          <w:p>
            <w:pPr>
              <w:jc w:val="right"/>
              <w:ind w:right="220"/>
              <w:spacing w:after="0"/>
              <w:rPr>
                <w:sz w:val="20"/>
                <w:szCs w:val="20"/>
                <w:color w:val="auto"/>
              </w:rPr>
            </w:pPr>
            <w:r>
              <w:rPr>
                <w:rFonts w:ascii="Arial" w:cs="Arial" w:eastAsia="Arial" w:hAnsi="Arial"/>
                <w:sz w:val="18"/>
                <w:szCs w:val="18"/>
                <w:color w:val="auto"/>
                <w:w w:val="99"/>
              </w:rPr>
              <w:t>$2,472,651</w:t>
            </w:r>
          </w:p>
        </w:tc>
        <w:tc>
          <w:tcPr>
            <w:tcW w:w="116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w w:val="95"/>
              </w:rPr>
              <w:t>$2,393,336</w:t>
            </w:r>
          </w:p>
        </w:tc>
        <w:tc>
          <w:tcPr>
            <w:tcW w:w="6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Net revenue for the three months ended November 2, 2013 increased by $150.3 million or 19.3%, compared to the three months ended October 27, 2012. Net revenue for our mobile and wireless products increased significantly, due to successful launches of our new multi-core 3G mobile devices with key OEM’s into mobile handsets and tablets, and the increased demand for our wireless products driven by the ramp up of new gaming platforms at two of our customers. In our storage market, we saw higher HDD revenue, which was mostly driven by continued growth for our 500 gigabyte per platter products and increased demand for enterprise drives at a top North America based HDD customer. In addition, revenue for solid-state drive controllers increased significantly compared to the prior year, as these products continue to gain traction and popularity. Revenue for products in our networking market was lower in the three months ended November 2, 2013 compared to the prior year due to softer than expected demand from enterprise customers.</w:t>
      </w:r>
    </w:p>
    <w:p>
      <w:pPr>
        <w:spacing w:after="0" w:line="118"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Net revenue for the nine months ended November 2, 2013 increased by and $79.3 million or 3.3% compared to the nine months ended October 27, 2012. This increase was driven by our storage products, as we continued to see growth for our 500 gigabyte per platter products and increased demand for enterprise drives at a top North America based HDD customer. These increases were partially offset by slightly lower revenue for our mobile and wireless products. Despite the significant increase in revenue for our mobile and wireless products in the three months ended November 2, 2013, revenue for the combined nine months was lower since the revenue for the nine months ended October 27, 2012 included significantly higher revenue from a North American handset customer. Revenue for products in our networking market was lower in the nine months ended November 2, 2013 compared to the prior year due primarily to a weaker market overall and its effect on our networking customers.</w:t>
      </w:r>
    </w:p>
    <w:p>
      <w:pPr>
        <w:spacing w:after="0" w:line="118" w:lineRule="exact"/>
        <w:rPr>
          <w:sz w:val="20"/>
          <w:szCs w:val="20"/>
          <w:color w:val="auto"/>
        </w:rPr>
      </w:pPr>
    </w:p>
    <w:p>
      <w:pPr>
        <w:ind w:right="280" w:firstLine="456"/>
        <w:spacing w:after="0" w:line="268" w:lineRule="auto"/>
        <w:rPr>
          <w:sz w:val="20"/>
          <w:szCs w:val="20"/>
          <w:color w:val="auto"/>
        </w:rPr>
      </w:pPr>
      <w:r>
        <w:rPr>
          <w:rFonts w:ascii="Arial" w:cs="Arial" w:eastAsia="Arial" w:hAnsi="Arial"/>
          <w:sz w:val="18"/>
          <w:szCs w:val="18"/>
          <w:color w:val="auto"/>
        </w:rPr>
        <w:t>We currently expect overall net revenue for the three months ending February 1, 2014 to be in the range of $880 million to $920 million due to seasonal decreases in storage and non-mobile connectivity, offset by the continued ramp up of new mobile programs.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Historically, a relatively small number of customers have accounted for a significant portion of our net revenue. We had two end customers who each</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represented greater than 10% of our total net revenue for the three and nine months ended November 2, 2013. Combined revenue from these two customers was</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33% and 36% of total net revenue for the three and nine months ended November 2, 2013, respectively. No distributors accounted for more than 10% of our net</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revenue for the three and nine months ended November 2, 2013. We had one end customer who represented greater than 10% of our total net revenue for the three</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months ended October 27, 2012. We had two end customers who each represented greater than 10% of our total net revenue for the nine months ended</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October 27, 2012 and combined revenue from these two customers was 34% of total net revenue for the nine months ended October 27, 2012. In addition, we had</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one distributor who accounted for more than 10% of our net revenue for the three and nine months ended October 27, 2012. We expect to continue to experience</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similar customer concentration in future periods.</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Most of our sales are expected to continue to be made to customers located outside of the United States, primarily in Asia. Sales to customers located in Asia represented 96% and 95% of our net revenue for the three and nine months ended November 2, 2013, respectively, compared to 92% and 90% of our net revenue for the three and nine months ended October 27, 2012, respectively. Because many manufacturers and manufacturing subcontractors of our customers are located in Asia, we expect that most of our net revenue will continue to be represented by sales to our customers in that region.</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360" w:type="dxa"/>
            <w:vAlign w:val="bottom"/>
          </w:tcPr>
          <w:p>
            <w:pPr>
              <w:spacing w:after="0"/>
              <w:rPr>
                <w:sz w:val="14"/>
                <w:szCs w:val="14"/>
                <w:color w:val="auto"/>
              </w:rPr>
            </w:pPr>
          </w:p>
        </w:tc>
        <w:tc>
          <w:tcPr>
            <w:tcW w:w="1960" w:type="dxa"/>
            <w:vAlign w:val="bottom"/>
            <w:gridSpan w:val="3"/>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1080" w:type="dxa"/>
            <w:vAlign w:val="bottom"/>
            <w:vMerge w:val="restart"/>
          </w:tcPr>
          <w:p>
            <w:pPr>
              <w:ind w:left="400"/>
              <w:spacing w:after="0"/>
              <w:rPr>
                <w:sz w:val="20"/>
                <w:szCs w:val="20"/>
                <w:color w:val="auto"/>
              </w:rPr>
            </w:pPr>
            <w:r>
              <w:rPr>
                <w:rFonts w:ascii="Arial" w:cs="Arial" w:eastAsia="Arial" w:hAnsi="Arial"/>
                <w:sz w:val="14"/>
                <w:szCs w:val="14"/>
                <w:b w:val="1"/>
                <w:bCs w:val="1"/>
                <w:color w:val="auto"/>
              </w:rPr>
              <w:t>%</w:t>
            </w:r>
          </w:p>
        </w:tc>
        <w:tc>
          <w:tcPr>
            <w:tcW w:w="224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Nine Months Ended</w:t>
            </w:r>
          </w:p>
        </w:tc>
        <w:tc>
          <w:tcPr>
            <w:tcW w:w="5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360" w:type="dxa"/>
            <w:vAlign w:val="bottom"/>
          </w:tcPr>
          <w:p>
            <w:pPr>
              <w:spacing w:after="0"/>
              <w:rPr>
                <w:sz w:val="11"/>
                <w:szCs w:val="11"/>
                <w:color w:val="auto"/>
              </w:rPr>
            </w:pPr>
          </w:p>
        </w:tc>
        <w:tc>
          <w:tcPr>
            <w:tcW w:w="1000" w:type="dxa"/>
            <w:vAlign w:val="bottom"/>
            <w:tcBorders>
              <w:top w:val="single" w:sz="8" w:color="auto"/>
            </w:tcBorders>
          </w:tcPr>
          <w:p>
            <w:pPr>
              <w:jc w:val="right"/>
              <w:ind w:right="184"/>
              <w:spacing w:after="0" w:line="129" w:lineRule="exact"/>
              <w:rPr>
                <w:sz w:val="20"/>
                <w:szCs w:val="20"/>
                <w:color w:val="auto"/>
              </w:rPr>
            </w:pPr>
            <w:r>
              <w:rPr>
                <w:rFonts w:ascii="Arial" w:cs="Arial" w:eastAsia="Arial" w:hAnsi="Arial"/>
                <w:sz w:val="14"/>
                <w:szCs w:val="14"/>
                <w:b w:val="1"/>
                <w:bCs w:val="1"/>
                <w:color w:val="auto"/>
                <w:w w:val="85"/>
              </w:rPr>
              <w:t>November 2,</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160" w:type="dxa"/>
            <w:vAlign w:val="bottom"/>
          </w:tcPr>
          <w:p>
            <w:pPr>
              <w:spacing w:after="0"/>
              <w:rPr>
                <w:sz w:val="11"/>
                <w:szCs w:val="11"/>
                <w:color w:val="auto"/>
              </w:rPr>
            </w:pPr>
          </w:p>
        </w:tc>
        <w:tc>
          <w:tcPr>
            <w:tcW w:w="1080" w:type="dxa"/>
            <w:vAlign w:val="bottom"/>
            <w:vMerge w:val="continue"/>
          </w:tcPr>
          <w:p>
            <w:pPr>
              <w:spacing w:after="0"/>
              <w:rPr>
                <w:sz w:val="11"/>
                <w:szCs w:val="11"/>
                <w:color w:val="auto"/>
              </w:rPr>
            </w:pPr>
          </w:p>
        </w:tc>
        <w:tc>
          <w:tcPr>
            <w:tcW w:w="106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8"/>
              </w:rPr>
              <w:t>November 2,</w:t>
            </w:r>
          </w:p>
        </w:tc>
        <w:tc>
          <w:tcPr>
            <w:tcW w:w="9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360" w:type="dxa"/>
            <w:vAlign w:val="bottom"/>
          </w:tcPr>
          <w:p>
            <w:pPr>
              <w:spacing w:after="0"/>
              <w:rPr>
                <w:sz w:val="14"/>
                <w:szCs w:val="14"/>
                <w:color w:val="auto"/>
              </w:rPr>
            </w:pPr>
          </w:p>
        </w:tc>
        <w:tc>
          <w:tcPr>
            <w:tcW w:w="1000" w:type="dxa"/>
            <w:vAlign w:val="bottom"/>
          </w:tcPr>
          <w:p>
            <w:pPr>
              <w:jc w:val="right"/>
              <w:ind w:right="424"/>
              <w:spacing w:after="0"/>
              <w:rPr>
                <w:sz w:val="20"/>
                <w:szCs w:val="20"/>
                <w:color w:val="auto"/>
              </w:rPr>
            </w:pPr>
            <w:r>
              <w:rPr>
                <w:rFonts w:ascii="Arial" w:cs="Arial" w:eastAsia="Arial" w:hAnsi="Arial"/>
                <w:sz w:val="14"/>
                <w:szCs w:val="14"/>
                <w:b w:val="1"/>
                <w:bCs w:val="1"/>
                <w:color w:val="auto"/>
              </w:rPr>
              <w:t>2013</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160" w:type="dxa"/>
            <w:vAlign w:val="bottom"/>
          </w:tcPr>
          <w:p>
            <w:pPr>
              <w:spacing w:after="0"/>
              <w:rPr>
                <w:sz w:val="14"/>
                <w:szCs w:val="14"/>
                <w:color w:val="auto"/>
              </w:rPr>
            </w:pPr>
          </w:p>
        </w:tc>
        <w:tc>
          <w:tcPr>
            <w:tcW w:w="1080" w:type="dxa"/>
            <w:vAlign w:val="bottom"/>
          </w:tcPr>
          <w:p>
            <w:pPr>
              <w:ind w:left="240"/>
              <w:spacing w:after="0"/>
              <w:rPr>
                <w:sz w:val="20"/>
                <w:szCs w:val="20"/>
                <w:color w:val="auto"/>
              </w:rPr>
            </w:pPr>
            <w:r>
              <w:rPr>
                <w:rFonts w:ascii="Arial" w:cs="Arial" w:eastAsia="Arial" w:hAnsi="Arial"/>
                <w:sz w:val="14"/>
                <w:szCs w:val="14"/>
                <w:b w:val="1"/>
                <w:bCs w:val="1"/>
                <w:color w:val="auto"/>
              </w:rPr>
              <w:t>Change</w:t>
            </w:r>
          </w:p>
        </w:tc>
        <w:tc>
          <w:tcPr>
            <w:tcW w:w="1060" w:type="dxa"/>
            <w:vAlign w:val="bottom"/>
          </w:tcPr>
          <w:p>
            <w:pPr>
              <w:jc w:val="right"/>
              <w:ind w:right="464"/>
              <w:spacing w:after="0"/>
              <w:rPr>
                <w:sz w:val="20"/>
                <w:szCs w:val="20"/>
                <w:color w:val="auto"/>
              </w:rPr>
            </w:pPr>
            <w:r>
              <w:rPr>
                <w:rFonts w:ascii="Arial" w:cs="Arial" w:eastAsia="Arial" w:hAnsi="Arial"/>
                <w:sz w:val="14"/>
                <w:szCs w:val="14"/>
                <w:b w:val="1"/>
                <w:bCs w:val="1"/>
                <w:color w:val="auto"/>
              </w:rPr>
              <w:t>2013</w:t>
            </w:r>
          </w:p>
        </w:tc>
        <w:tc>
          <w:tcPr>
            <w:tcW w:w="920" w:type="dxa"/>
            <w:vAlign w:val="bottom"/>
          </w:tcPr>
          <w:p>
            <w:pPr>
              <w:jc w:val="right"/>
              <w:ind w:right="182"/>
              <w:spacing w:after="0"/>
              <w:rPr>
                <w:sz w:val="20"/>
                <w:szCs w:val="20"/>
                <w:color w:val="auto"/>
              </w:rPr>
            </w:pPr>
            <w:r>
              <w:rPr>
                <w:rFonts w:ascii="Arial" w:cs="Arial" w:eastAsia="Arial" w:hAnsi="Arial"/>
                <w:sz w:val="14"/>
                <w:szCs w:val="14"/>
                <w:b w:val="1"/>
                <w:bCs w:val="1"/>
                <w:color w:val="auto"/>
              </w:rPr>
              <w:t>2012</w:t>
            </w:r>
          </w:p>
        </w:tc>
        <w:tc>
          <w:tcPr>
            <w:tcW w:w="26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360" w:type="dxa"/>
            <w:vAlign w:val="bottom"/>
          </w:tcPr>
          <w:p>
            <w:pPr>
              <w:spacing w:after="0"/>
              <w:rPr>
                <w:sz w:val="12"/>
                <w:szCs w:val="12"/>
                <w:color w:val="auto"/>
              </w:rPr>
            </w:pPr>
          </w:p>
        </w:tc>
        <w:tc>
          <w:tcPr>
            <w:tcW w:w="100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140" w:type="dxa"/>
            <w:vAlign w:val="bottom"/>
            <w:tcBorders>
              <w:top w:val="single" w:sz="8" w:color="auto"/>
            </w:tcBorders>
            <w:gridSpan w:val="2"/>
          </w:tcPr>
          <w:p>
            <w:pPr>
              <w:jc w:val="right"/>
              <w:ind w:right="144"/>
              <w:spacing w:after="0" w:line="142" w:lineRule="exact"/>
              <w:rPr>
                <w:sz w:val="20"/>
                <w:szCs w:val="20"/>
                <w:color w:val="auto"/>
              </w:rPr>
            </w:pPr>
            <w:r>
              <w:rPr>
                <w:rFonts w:ascii="Arial" w:cs="Arial" w:eastAsia="Arial" w:hAnsi="Arial"/>
                <w:sz w:val="14"/>
                <w:szCs w:val="14"/>
                <w:b w:val="1"/>
                <w:bCs w:val="1"/>
                <w:color w:val="auto"/>
                <w:w w:val="83"/>
              </w:rPr>
              <w:t>(in thousands, except percentage)</w:t>
            </w:r>
          </w:p>
        </w:tc>
        <w:tc>
          <w:tcPr>
            <w:tcW w:w="92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00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9"/>
              </w:rPr>
              <w:t>$ 464,981</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$374,503</w:t>
            </w:r>
          </w:p>
        </w:tc>
        <w:tc>
          <w:tcPr>
            <w:tcW w:w="160" w:type="dxa"/>
            <w:vAlign w:val="bottom"/>
            <w:shd w:val="clear" w:color="auto" w:fill="CCEEFF"/>
          </w:tcPr>
          <w:p>
            <w:pPr>
              <w:spacing w:after="0"/>
              <w:rPr>
                <w:sz w:val="18"/>
                <w:szCs w:val="18"/>
                <w:color w:val="auto"/>
              </w:rPr>
            </w:pPr>
          </w:p>
        </w:tc>
        <w:tc>
          <w:tcPr>
            <w:tcW w:w="1080" w:type="dxa"/>
            <w:vAlign w:val="bottom"/>
            <w:shd w:val="clear" w:color="auto" w:fill="CCEEFF"/>
          </w:tcPr>
          <w:p>
            <w:pPr>
              <w:ind w:left="380"/>
              <w:spacing w:after="0"/>
              <w:rPr>
                <w:sz w:val="20"/>
                <w:szCs w:val="20"/>
                <w:color w:val="auto"/>
              </w:rPr>
            </w:pPr>
            <w:r>
              <w:rPr>
                <w:rFonts w:ascii="Arial" w:cs="Arial" w:eastAsia="Arial" w:hAnsi="Arial"/>
                <w:sz w:val="18"/>
                <w:szCs w:val="18"/>
                <w:color w:val="auto"/>
              </w:rPr>
              <w:t>24.2%</w:t>
            </w:r>
          </w:p>
        </w:tc>
        <w:tc>
          <w:tcPr>
            <w:tcW w:w="106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6"/>
              </w:rPr>
              <w:t>$1,186,478</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$1,122,664</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22"/>
        </w:trPr>
        <w:tc>
          <w:tcPr>
            <w:tcW w:w="536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tcPr>
          <w:p>
            <w:pPr>
              <w:jc w:val="right"/>
              <w:ind w:right="44"/>
              <w:spacing w:after="0"/>
              <w:rPr>
                <w:sz w:val="20"/>
                <w:szCs w:val="20"/>
                <w:color w:val="auto"/>
              </w:rPr>
            </w:pPr>
            <w:r>
              <w:rPr>
                <w:rFonts w:ascii="Arial" w:cs="Arial" w:eastAsia="Arial" w:hAnsi="Arial"/>
                <w:sz w:val="18"/>
                <w:szCs w:val="18"/>
                <w:color w:val="auto"/>
              </w:rPr>
              <w:t>49.9%</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48.0%</w:t>
            </w:r>
          </w:p>
        </w:tc>
        <w:tc>
          <w:tcPr>
            <w:tcW w:w="1080" w:type="dxa"/>
            <w:vAlign w:val="bottom"/>
          </w:tcPr>
          <w:p>
            <w:pPr>
              <w:spacing w:after="0"/>
              <w:rPr>
                <w:sz w:val="19"/>
                <w:szCs w:val="19"/>
                <w:color w:val="auto"/>
              </w:rPr>
            </w:pPr>
          </w:p>
        </w:tc>
        <w:tc>
          <w:tcPr>
            <w:tcW w:w="1060" w:type="dxa"/>
            <w:vAlign w:val="bottom"/>
          </w:tcPr>
          <w:p>
            <w:pPr>
              <w:jc w:val="right"/>
              <w:ind w:right="44"/>
              <w:spacing w:after="0"/>
              <w:rPr>
                <w:sz w:val="20"/>
                <w:szCs w:val="20"/>
                <w:color w:val="auto"/>
              </w:rPr>
            </w:pPr>
            <w:r>
              <w:rPr>
                <w:rFonts w:ascii="Arial" w:cs="Arial" w:eastAsia="Arial" w:hAnsi="Arial"/>
                <w:sz w:val="18"/>
                <w:szCs w:val="18"/>
                <w:color w:val="auto"/>
              </w:rPr>
              <w:t>48.0%</w:t>
            </w: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46.9%</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Cost of goods sold as a percentage of net revenue was higher for the three and nine months ended November 2, 2013 compared to the three and nine months ended October 27, 2012. Although we continued to benefit from lower commodity costs driven by our ongoing effort to replace the use of gold in our products with copper, manufacturing costs were higher in the three and nine months ended November 2, 2013 due to increased royalty expense and the ramp up of new product designs in consumer-oriented products.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8"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We currently expect cost of goods sold as a percentage of net revenue for the three months ending February 1, 2014 to be slightly higher compared to the three months ended November 2, 2013.</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9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8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00" w:type="dxa"/>
            <w:vAlign w:val="bottom"/>
            <w:gridSpan w:val="5"/>
          </w:tcPr>
          <w:p>
            <w:pPr>
              <w:ind w:left="24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3900" w:type="dxa"/>
            <w:vAlign w:val="bottom"/>
          </w:tcPr>
          <w:p>
            <w:pPr>
              <w:spacing w:after="0"/>
              <w:rPr>
                <w:sz w:val="11"/>
                <w:szCs w:val="11"/>
                <w:color w:val="auto"/>
              </w:rPr>
            </w:pPr>
          </w:p>
        </w:tc>
        <w:tc>
          <w:tcPr>
            <w:tcW w:w="2000" w:type="dxa"/>
            <w:vAlign w:val="bottom"/>
          </w:tcPr>
          <w:p>
            <w:pPr>
              <w:spacing w:after="0"/>
              <w:rPr>
                <w:sz w:val="11"/>
                <w:szCs w:val="11"/>
                <w:color w:val="auto"/>
              </w:rPr>
            </w:pPr>
          </w:p>
        </w:tc>
        <w:tc>
          <w:tcPr>
            <w:tcW w:w="1300" w:type="dxa"/>
            <w:vAlign w:val="bottom"/>
            <w:tcBorders>
              <w:top w:val="single" w:sz="8" w:color="auto"/>
            </w:tcBorders>
            <w:gridSpan w:val="3"/>
          </w:tcPr>
          <w:p>
            <w:pPr>
              <w:ind w:left="20"/>
              <w:spacing w:after="0" w:line="129" w:lineRule="exact"/>
              <w:rPr>
                <w:sz w:val="20"/>
                <w:szCs w:val="20"/>
                <w:color w:val="auto"/>
              </w:rPr>
            </w:pPr>
            <w:r>
              <w:rPr>
                <w:rFonts w:ascii="Arial" w:cs="Arial" w:eastAsia="Arial" w:hAnsi="Arial"/>
                <w:sz w:val="14"/>
                <w:szCs w:val="14"/>
                <w:b w:val="1"/>
                <w:bCs w:val="1"/>
                <w:color w:val="auto"/>
              </w:rPr>
              <w:t>November 2,</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2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5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27,</w:t>
            </w:r>
          </w:p>
        </w:tc>
        <w:tc>
          <w:tcPr>
            <w:tcW w:w="100" w:type="dxa"/>
            <w:vAlign w:val="bottom"/>
          </w:tcPr>
          <w:p>
            <w:pPr>
              <w:spacing w:after="0"/>
              <w:rPr>
                <w:sz w:val="11"/>
                <w:szCs w:val="11"/>
                <w:color w:val="auto"/>
              </w:rPr>
            </w:pPr>
          </w:p>
        </w:tc>
      </w:tr>
      <w:tr>
        <w:trPr>
          <w:trHeight w:val="161"/>
        </w:trPr>
        <w:tc>
          <w:tcPr>
            <w:tcW w:w="390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2013</w:t>
            </w:r>
          </w:p>
        </w:tc>
        <w:tc>
          <w:tcPr>
            <w:tcW w:w="5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2012</w:t>
            </w:r>
          </w:p>
        </w:tc>
        <w:tc>
          <w:tcPr>
            <w:tcW w:w="2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2013</w:t>
            </w:r>
          </w:p>
        </w:tc>
        <w:tc>
          <w:tcPr>
            <w:tcW w:w="5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w w:val="96"/>
              </w:rPr>
              <w:t>2012</w:t>
            </w:r>
          </w:p>
        </w:tc>
        <w:tc>
          <w:tcPr>
            <w:tcW w:w="100" w:type="dxa"/>
            <w:vAlign w:val="bottom"/>
          </w:tcPr>
          <w:p>
            <w:pPr>
              <w:spacing w:after="0"/>
              <w:rPr>
                <w:sz w:val="14"/>
                <w:szCs w:val="14"/>
                <w:color w:val="auto"/>
              </w:rPr>
            </w:pPr>
          </w:p>
        </w:tc>
      </w:tr>
      <w:tr>
        <w:trPr>
          <w:trHeight w:val="142"/>
        </w:trPr>
        <w:tc>
          <w:tcPr>
            <w:tcW w:w="390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60" w:type="dxa"/>
            <w:vAlign w:val="bottom"/>
            <w:gridSpan w:val="4"/>
          </w:tcPr>
          <w:p>
            <w:pPr>
              <w:ind w:left="400"/>
              <w:spacing w:after="0" w:line="142" w:lineRule="exact"/>
              <w:rPr>
                <w:sz w:val="20"/>
                <w:szCs w:val="20"/>
                <w:color w:val="auto"/>
              </w:rPr>
            </w:pPr>
            <w:r>
              <w:rPr>
                <w:rFonts w:ascii="Arial" w:cs="Arial" w:eastAsia="Arial" w:hAnsi="Arial"/>
                <w:sz w:val="14"/>
                <w:szCs w:val="14"/>
                <w:b w:val="1"/>
                <w:bCs w:val="1"/>
                <w:color w:val="auto"/>
                <w:w w:val="87"/>
              </w:rPr>
              <w:t>(in thousands)</w:t>
            </w:r>
          </w:p>
        </w:tc>
        <w:tc>
          <w:tcPr>
            <w:tcW w:w="5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180" w:type="dxa"/>
            <w:vAlign w:val="bottom"/>
            <w:gridSpan w:val="2"/>
            <w:shd w:val="clear" w:color="auto" w:fill="CCEEFF"/>
          </w:tcPr>
          <w:p>
            <w:pPr>
              <w:ind w:left="2000"/>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2,531</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1,944</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6,266</w:t>
            </w:r>
          </w:p>
        </w:tc>
        <w:tc>
          <w:tcPr>
            <w:tcW w:w="70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5,842</w:t>
            </w:r>
          </w:p>
        </w:tc>
        <w:tc>
          <w:tcPr>
            <w:tcW w:w="100" w:type="dxa"/>
            <w:vAlign w:val="bottom"/>
            <w:shd w:val="clear" w:color="auto" w:fill="CCEEFF"/>
          </w:tcPr>
          <w:p>
            <w:pPr>
              <w:spacing w:after="0"/>
              <w:rPr>
                <w:sz w:val="18"/>
                <w:szCs w:val="18"/>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120" w:type="dxa"/>
            <w:vAlign w:val="bottom"/>
            <w:gridSpan w:val="2"/>
          </w:tcPr>
          <w:p>
            <w:pPr>
              <w:jc w:val="right"/>
              <w:ind w:right="540"/>
              <w:spacing w:after="0"/>
              <w:rPr>
                <w:sz w:val="20"/>
                <w:szCs w:val="20"/>
                <w:color w:val="auto"/>
              </w:rPr>
            </w:pPr>
            <w:r>
              <w:rPr>
                <w:rFonts w:ascii="Arial" w:cs="Arial" w:eastAsia="Arial" w:hAnsi="Arial"/>
                <w:sz w:val="18"/>
                <w:szCs w:val="18"/>
                <w:color w:val="auto"/>
              </w:rPr>
              <w:t>30,084</w:t>
            </w:r>
          </w:p>
        </w:tc>
        <w:tc>
          <w:tcPr>
            <w:tcW w:w="14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w w:val="94"/>
              </w:rPr>
              <w:t>22,565</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82,345</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62,152</w:t>
            </w:r>
          </w:p>
        </w:tc>
        <w:tc>
          <w:tcPr>
            <w:tcW w:w="100" w:type="dxa"/>
            <w:vAlign w:val="bottom"/>
          </w:tcPr>
          <w:p>
            <w:pPr>
              <w:spacing w:after="0"/>
              <w:rPr>
                <w:sz w:val="18"/>
                <w:szCs w:val="18"/>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3,738</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3,101</w:t>
            </w:r>
          </w:p>
        </w:tc>
        <w:tc>
          <w:tcPr>
            <w:tcW w:w="2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10,778</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9,595</w:t>
            </w:r>
          </w:p>
        </w:tc>
        <w:tc>
          <w:tcPr>
            <w:tcW w:w="100" w:type="dxa"/>
            <w:vAlign w:val="bottom"/>
            <w:shd w:val="clear" w:color="auto" w:fill="CCEEFF"/>
          </w:tcPr>
          <w:p>
            <w:pPr>
              <w:spacing w:after="0"/>
              <w:rPr>
                <w:sz w:val="18"/>
                <w:szCs w:val="18"/>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0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6,848</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2,764</w:t>
            </w:r>
          </w:p>
        </w:tc>
        <w:tc>
          <w:tcPr>
            <w:tcW w:w="2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18,416</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13,205</w:t>
            </w:r>
          </w:p>
        </w:tc>
        <w:tc>
          <w:tcPr>
            <w:tcW w:w="100" w:type="dxa"/>
            <w:vAlign w:val="bottom"/>
          </w:tcPr>
          <w:p>
            <w:pPr>
              <w:spacing w:after="0"/>
              <w:rPr>
                <w:sz w:val="18"/>
                <w:szCs w:val="18"/>
                <w:color w:val="auto"/>
              </w:rPr>
            </w:pPr>
          </w:p>
        </w:tc>
      </w:tr>
      <w:tr>
        <w:trPr>
          <w:trHeight w:val="27"/>
        </w:trPr>
        <w:tc>
          <w:tcPr>
            <w:tcW w:w="3900" w:type="dxa"/>
            <w:vAlign w:val="bottom"/>
          </w:tcPr>
          <w:p>
            <w:pPr>
              <w:spacing w:after="0"/>
              <w:rPr>
                <w:sz w:val="2"/>
                <w:szCs w:val="2"/>
                <w:color w:val="auto"/>
              </w:rPr>
            </w:pPr>
          </w:p>
        </w:tc>
        <w:tc>
          <w:tcPr>
            <w:tcW w:w="20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3900" w:type="dxa"/>
            <w:vAlign w:val="bottom"/>
            <w:shd w:val="clear" w:color="auto" w:fill="CCEEFF"/>
          </w:tcPr>
          <w:p>
            <w:pPr>
              <w:spacing w:after="0"/>
              <w:rPr>
                <w:sz w:val="18"/>
                <w:szCs w:val="18"/>
                <w:color w:val="auto"/>
              </w:rPr>
            </w:pPr>
          </w:p>
        </w:tc>
        <w:tc>
          <w:tcPr>
            <w:tcW w:w="20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43,201</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4"/>
              </w:rPr>
              <w:t>30,374</w:t>
            </w:r>
          </w:p>
        </w:tc>
        <w:tc>
          <w:tcPr>
            <w:tcW w:w="4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117,805</w:t>
            </w:r>
          </w:p>
        </w:tc>
        <w:tc>
          <w:tcPr>
            <w:tcW w:w="700" w:type="dxa"/>
            <w:vAlign w:val="bottom"/>
            <w:gridSpan w:val="2"/>
            <w:shd w:val="clear" w:color="auto" w:fill="CCEEFF"/>
          </w:tcPr>
          <w:p>
            <w:pPr>
              <w:ind w:left="560"/>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90,794</w:t>
            </w:r>
          </w:p>
        </w:tc>
        <w:tc>
          <w:tcPr>
            <w:tcW w:w="100" w:type="dxa"/>
            <w:vAlign w:val="bottom"/>
            <w:shd w:val="clear" w:color="auto" w:fill="CCEEFF"/>
          </w:tcPr>
          <w:p>
            <w:pPr>
              <w:spacing w:after="0"/>
              <w:rPr>
                <w:sz w:val="18"/>
                <w:szCs w:val="18"/>
                <w:color w:val="auto"/>
              </w:rPr>
            </w:pPr>
          </w:p>
        </w:tc>
      </w:tr>
      <w:tr>
        <w:trPr>
          <w:trHeight w:val="20"/>
        </w:trPr>
        <w:tc>
          <w:tcPr>
            <w:tcW w:w="3900" w:type="dxa"/>
            <w:vAlign w:val="bottom"/>
          </w:tcPr>
          <w:p>
            <w:pPr>
              <w:spacing w:after="0" w:line="20" w:lineRule="exact"/>
              <w:rPr>
                <w:sz w:val="1"/>
                <w:szCs w:val="1"/>
                <w:color w:val="auto"/>
              </w:rPr>
            </w:pPr>
          </w:p>
        </w:tc>
        <w:tc>
          <w:tcPr>
            <w:tcW w:w="20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Share-based compensation expense increased by $12.8 million and $27.0 million for the three and nine months ended November 2, 2013, respectively, compared to the three and nine months ended October 27, 2012. These increases were primarily due to increased headcount in fiscal 2014, combined with higher expense related to the employee stock purchase plan. The offering price of the employee stock purchase plan was reset in June 2012 and also in December 2012 due to the decline in our stock price. In addition, equity awards granted in fiscal 2014 contained shorter vesting periods, which accelerated the share-based compensation expense.</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2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2080" w:type="dxa"/>
            <w:vAlign w:val="bottom"/>
            <w:gridSpan w:val="3"/>
          </w:tcPr>
          <w:p>
            <w:pPr>
              <w:jc w:val="right"/>
              <w:ind w:right="492"/>
              <w:spacing w:after="0"/>
              <w:rPr>
                <w:sz w:val="20"/>
                <w:szCs w:val="20"/>
                <w:color w:val="auto"/>
              </w:rPr>
            </w:pPr>
            <w:r>
              <w:rPr>
                <w:rFonts w:ascii="Arial" w:cs="Arial" w:eastAsia="Arial" w:hAnsi="Arial"/>
                <w:sz w:val="14"/>
                <w:szCs w:val="14"/>
                <w:b w:val="1"/>
                <w:bCs w:val="1"/>
                <w:color w:val="auto"/>
              </w:rPr>
              <w:t>Three Months Ended</w:t>
            </w:r>
          </w:p>
        </w:tc>
        <w:tc>
          <w:tcPr>
            <w:tcW w:w="96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w:t>
            </w:r>
          </w:p>
        </w:tc>
        <w:tc>
          <w:tcPr>
            <w:tcW w:w="2060" w:type="dxa"/>
            <w:vAlign w:val="bottom"/>
            <w:gridSpan w:val="3"/>
          </w:tcPr>
          <w:p>
            <w:pPr>
              <w:jc w:val="right"/>
              <w:ind w:right="580"/>
              <w:spacing w:after="0"/>
              <w:rPr>
                <w:sz w:val="20"/>
                <w:szCs w:val="20"/>
                <w:color w:val="auto"/>
              </w:rPr>
            </w:pPr>
            <w:r>
              <w:rPr>
                <w:rFonts w:ascii="Arial" w:cs="Arial" w:eastAsia="Arial" w:hAnsi="Arial"/>
                <w:sz w:val="14"/>
                <w:szCs w:val="14"/>
                <w:b w:val="1"/>
                <w:bCs w:val="1"/>
                <w:color w:val="auto"/>
              </w:rPr>
              <w:t>Nine Months Ended</w:t>
            </w:r>
          </w:p>
        </w:tc>
        <w:tc>
          <w:tcPr>
            <w:tcW w:w="580" w:type="dxa"/>
            <w:vAlign w:val="bottom"/>
            <w:vMerge w:val="restart"/>
          </w:tcPr>
          <w:p>
            <w:pPr>
              <w:ind w:left="28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2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000" w:type="dxa"/>
            <w:vAlign w:val="bottom"/>
            <w:tcBorders>
              <w:top w:val="single" w:sz="8" w:color="auto"/>
            </w:tcBorders>
          </w:tcPr>
          <w:p>
            <w:pPr>
              <w:jc w:val="right"/>
              <w:ind w:right="212"/>
              <w:spacing w:after="0" w:line="129" w:lineRule="exact"/>
              <w:rPr>
                <w:sz w:val="20"/>
                <w:szCs w:val="20"/>
                <w:color w:val="auto"/>
              </w:rPr>
            </w:pPr>
            <w:r>
              <w:rPr>
                <w:rFonts w:ascii="Arial" w:cs="Arial" w:eastAsia="Arial" w:hAnsi="Arial"/>
                <w:sz w:val="14"/>
                <w:szCs w:val="14"/>
                <w:b w:val="1"/>
                <w:bCs w:val="1"/>
                <w:color w:val="auto"/>
                <w:w w:val="83"/>
              </w:rPr>
              <w:t>November 2,</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280" w:type="dxa"/>
            <w:vAlign w:val="bottom"/>
          </w:tcPr>
          <w:p>
            <w:pPr>
              <w:spacing w:after="0"/>
              <w:rPr>
                <w:sz w:val="11"/>
                <w:szCs w:val="11"/>
                <w:color w:val="auto"/>
              </w:rPr>
            </w:pPr>
          </w:p>
        </w:tc>
        <w:tc>
          <w:tcPr>
            <w:tcW w:w="960" w:type="dxa"/>
            <w:vAlign w:val="bottom"/>
            <w:vMerge w:val="continue"/>
          </w:tcPr>
          <w:p>
            <w:pPr>
              <w:spacing w:after="0"/>
              <w:rPr>
                <w:sz w:val="11"/>
                <w:szCs w:val="11"/>
                <w:color w:val="auto"/>
              </w:rPr>
            </w:pPr>
          </w:p>
        </w:tc>
        <w:tc>
          <w:tcPr>
            <w:tcW w:w="1000" w:type="dxa"/>
            <w:vAlign w:val="bottom"/>
            <w:tcBorders>
              <w:top w:val="single" w:sz="8" w:color="auto"/>
            </w:tcBorders>
          </w:tcPr>
          <w:p>
            <w:pPr>
              <w:jc w:val="right"/>
              <w:ind w:right="204"/>
              <w:spacing w:after="0" w:line="129" w:lineRule="exact"/>
              <w:rPr>
                <w:sz w:val="20"/>
                <w:szCs w:val="20"/>
                <w:color w:val="auto"/>
              </w:rPr>
            </w:pPr>
            <w:r>
              <w:rPr>
                <w:rFonts w:ascii="Arial" w:cs="Arial" w:eastAsia="Arial" w:hAnsi="Arial"/>
                <w:sz w:val="14"/>
                <w:szCs w:val="14"/>
                <w:b w:val="1"/>
                <w:bCs w:val="1"/>
                <w:color w:val="auto"/>
                <w:w w:val="83"/>
              </w:rPr>
              <w:t>November 2,</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260" w:type="dxa"/>
            <w:vAlign w:val="bottom"/>
          </w:tcPr>
          <w:p>
            <w:pPr>
              <w:spacing w:after="0"/>
              <w:rPr>
                <w:sz w:val="11"/>
                <w:szCs w:val="11"/>
                <w:color w:val="auto"/>
              </w:rPr>
            </w:pPr>
          </w:p>
        </w:tc>
        <w:tc>
          <w:tcPr>
            <w:tcW w:w="58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20" w:type="dxa"/>
            <w:vAlign w:val="bottom"/>
          </w:tcPr>
          <w:p>
            <w:pPr>
              <w:spacing w:after="0"/>
              <w:rPr>
                <w:sz w:val="14"/>
                <w:szCs w:val="14"/>
                <w:color w:val="auto"/>
              </w:rPr>
            </w:pPr>
          </w:p>
        </w:tc>
        <w:tc>
          <w:tcPr>
            <w:tcW w:w="282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2013</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280" w:type="dxa"/>
            <w:vAlign w:val="bottom"/>
          </w:tcPr>
          <w:p>
            <w:pPr>
              <w:spacing w:after="0"/>
              <w:rPr>
                <w:sz w:val="14"/>
                <w:szCs w:val="14"/>
                <w:color w:val="auto"/>
              </w:rPr>
            </w:pPr>
          </w:p>
        </w:tc>
        <w:tc>
          <w:tcPr>
            <w:tcW w:w="960" w:type="dxa"/>
            <w:vAlign w:val="bottom"/>
          </w:tcPr>
          <w:p>
            <w:pPr>
              <w:ind w:left="120"/>
              <w:spacing w:after="0"/>
              <w:rPr>
                <w:sz w:val="20"/>
                <w:szCs w:val="20"/>
                <w:color w:val="auto"/>
              </w:rPr>
            </w:pPr>
            <w:r>
              <w:rPr>
                <w:rFonts w:ascii="Arial" w:cs="Arial" w:eastAsia="Arial" w:hAnsi="Arial"/>
                <w:sz w:val="14"/>
                <w:szCs w:val="14"/>
                <w:b w:val="1"/>
                <w:bCs w:val="1"/>
                <w:color w:val="auto"/>
              </w:rPr>
              <w:t>Change</w:t>
            </w:r>
          </w:p>
        </w:tc>
        <w:tc>
          <w:tcPr>
            <w:tcW w:w="1000" w:type="dxa"/>
            <w:vAlign w:val="bottom"/>
          </w:tcPr>
          <w:p>
            <w:pPr>
              <w:jc w:val="right"/>
              <w:ind w:right="424"/>
              <w:spacing w:after="0"/>
              <w:rPr>
                <w:sz w:val="20"/>
                <w:szCs w:val="20"/>
                <w:color w:val="auto"/>
              </w:rPr>
            </w:pPr>
            <w:r>
              <w:rPr>
                <w:rFonts w:ascii="Arial" w:cs="Arial" w:eastAsia="Arial" w:hAnsi="Arial"/>
                <w:sz w:val="14"/>
                <w:szCs w:val="14"/>
                <w:b w:val="1"/>
                <w:bCs w:val="1"/>
                <w:color w:val="auto"/>
              </w:rPr>
              <w:t>2013</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260" w:type="dxa"/>
            <w:vAlign w:val="bottom"/>
          </w:tcPr>
          <w:p>
            <w:pPr>
              <w:spacing w:after="0"/>
              <w:rPr>
                <w:sz w:val="14"/>
                <w:szCs w:val="14"/>
                <w:color w:val="auto"/>
              </w:rPr>
            </w:pPr>
          </w:p>
        </w:tc>
        <w:tc>
          <w:tcPr>
            <w:tcW w:w="780" w:type="dxa"/>
            <w:vAlign w:val="bottom"/>
            <w:gridSpan w:val="2"/>
          </w:tcPr>
          <w:p>
            <w:pPr>
              <w:ind w:left="1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720" w:type="dxa"/>
            <w:vAlign w:val="bottom"/>
          </w:tcPr>
          <w:p>
            <w:pPr>
              <w:spacing w:after="0"/>
              <w:rPr>
                <w:sz w:val="12"/>
                <w:szCs w:val="12"/>
                <w:color w:val="auto"/>
              </w:rPr>
            </w:pPr>
          </w:p>
        </w:tc>
        <w:tc>
          <w:tcPr>
            <w:tcW w:w="1820" w:type="dxa"/>
            <w:vAlign w:val="bottom"/>
          </w:tcPr>
          <w:p>
            <w:pPr>
              <w:spacing w:after="0"/>
              <w:rPr>
                <w:sz w:val="12"/>
                <w:szCs w:val="12"/>
                <w:color w:val="auto"/>
              </w:rPr>
            </w:pPr>
          </w:p>
        </w:tc>
        <w:tc>
          <w:tcPr>
            <w:tcW w:w="100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2240" w:type="dxa"/>
            <w:vAlign w:val="bottom"/>
            <w:tcBorders>
              <w:top w:val="single" w:sz="8" w:color="auto"/>
            </w:tcBorders>
            <w:gridSpan w:val="3"/>
          </w:tcPr>
          <w:p>
            <w:pPr>
              <w:jc w:val="right"/>
              <w:ind w:right="16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82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$ 296,291</w:t>
            </w:r>
          </w:p>
        </w:tc>
        <w:tc>
          <w:tcPr>
            <w:tcW w:w="108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$263,615</w:t>
            </w:r>
          </w:p>
        </w:tc>
        <w:tc>
          <w:tcPr>
            <w:tcW w:w="9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12.4%</w:t>
            </w:r>
          </w:p>
        </w:tc>
        <w:tc>
          <w:tcPr>
            <w:tcW w:w="100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9"/>
              </w:rPr>
              <w:t>$ 867,985</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$783,760</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3"/>
              </w:rPr>
              <w:t>10.7%</w:t>
            </w:r>
          </w:p>
        </w:tc>
        <w:tc>
          <w:tcPr>
            <w:tcW w:w="0" w:type="dxa"/>
            <w:vAlign w:val="bottom"/>
          </w:tcPr>
          <w:p>
            <w:pPr>
              <w:spacing w:after="0"/>
              <w:rPr>
                <w:sz w:val="1"/>
                <w:szCs w:val="1"/>
                <w:color w:val="auto"/>
              </w:rPr>
            </w:pPr>
          </w:p>
        </w:tc>
      </w:tr>
      <w:tr>
        <w:trPr>
          <w:trHeight w:val="222"/>
        </w:trPr>
        <w:tc>
          <w:tcPr>
            <w:tcW w:w="3720" w:type="dxa"/>
            <w:vAlign w:val="bottom"/>
          </w:tcPr>
          <w:p>
            <w:pPr>
              <w:spacing w:after="0"/>
              <w:rPr>
                <w:sz w:val="20"/>
                <w:szCs w:val="20"/>
                <w:color w:val="auto"/>
              </w:rPr>
            </w:pPr>
            <w:r>
              <w:rPr>
                <w:rFonts w:ascii="Arial" w:cs="Arial" w:eastAsia="Arial" w:hAnsi="Arial"/>
                <w:sz w:val="18"/>
                <w:szCs w:val="18"/>
                <w:color w:val="auto"/>
              </w:rPr>
              <w:t>% of net revenue</w:t>
            </w:r>
          </w:p>
        </w:tc>
        <w:tc>
          <w:tcPr>
            <w:tcW w:w="2820" w:type="dxa"/>
            <w:vAlign w:val="bottom"/>
            <w:gridSpan w:val="2"/>
          </w:tcPr>
          <w:p>
            <w:pPr>
              <w:jc w:val="right"/>
              <w:ind w:right="52"/>
              <w:spacing w:after="0"/>
              <w:rPr>
                <w:sz w:val="20"/>
                <w:szCs w:val="20"/>
                <w:color w:val="auto"/>
              </w:rPr>
            </w:pPr>
            <w:r>
              <w:rPr>
                <w:rFonts w:ascii="Arial" w:cs="Arial" w:eastAsia="Arial" w:hAnsi="Arial"/>
                <w:sz w:val="18"/>
                <w:szCs w:val="18"/>
                <w:color w:val="auto"/>
              </w:rPr>
              <w:t>31.8%</w:t>
            </w:r>
          </w:p>
        </w:tc>
        <w:tc>
          <w:tcPr>
            <w:tcW w:w="1080" w:type="dxa"/>
            <w:vAlign w:val="bottom"/>
            <w:gridSpan w:val="2"/>
          </w:tcPr>
          <w:p>
            <w:pPr>
              <w:jc w:val="right"/>
              <w:ind w:right="72"/>
              <w:spacing w:after="0"/>
              <w:rPr>
                <w:sz w:val="20"/>
                <w:szCs w:val="20"/>
                <w:color w:val="auto"/>
              </w:rPr>
            </w:pPr>
            <w:r>
              <w:rPr>
                <w:rFonts w:ascii="Arial" w:cs="Arial" w:eastAsia="Arial" w:hAnsi="Arial"/>
                <w:sz w:val="18"/>
                <w:szCs w:val="18"/>
                <w:color w:val="auto"/>
              </w:rPr>
              <w:t>33.8%</w:t>
            </w:r>
          </w:p>
        </w:tc>
        <w:tc>
          <w:tcPr>
            <w:tcW w:w="960" w:type="dxa"/>
            <w:vAlign w:val="bottom"/>
          </w:tcPr>
          <w:p>
            <w:pPr>
              <w:spacing w:after="0"/>
              <w:rPr>
                <w:sz w:val="19"/>
                <w:szCs w:val="19"/>
                <w:color w:val="auto"/>
              </w:rPr>
            </w:pPr>
          </w:p>
        </w:tc>
        <w:tc>
          <w:tcPr>
            <w:tcW w:w="1000" w:type="dxa"/>
            <w:vAlign w:val="bottom"/>
          </w:tcPr>
          <w:p>
            <w:pPr>
              <w:jc w:val="right"/>
              <w:ind w:right="44"/>
              <w:spacing w:after="0"/>
              <w:rPr>
                <w:sz w:val="20"/>
                <w:szCs w:val="20"/>
                <w:color w:val="auto"/>
              </w:rPr>
            </w:pPr>
            <w:r>
              <w:rPr>
                <w:rFonts w:ascii="Arial" w:cs="Arial" w:eastAsia="Arial" w:hAnsi="Arial"/>
                <w:sz w:val="18"/>
                <w:szCs w:val="18"/>
                <w:color w:val="auto"/>
              </w:rPr>
              <w:t>35.1%</w:t>
            </w: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32.7%</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Research and development expense increased by $32.7 million for the three months ended November 2, 2013 compared to the three months ended October 27, 2012. This increase was primarily attributable to higher personnel-related costs as a result of increased headcount to support new designs and higher average employee compensation, as well as higher computer-aided design tools and depreciation costs as we continue to invest in the development of innovative solutions. In addition, we incurred restructuring and other exit-related costs of $2.9 million, primarily associated with the closure of two sites in the three months ended November 2, 2013.</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Research and development expense increased by $84.2 million for the nine months ended November 2, 2013 compared to the nine months ended October 27, 2012. This increase was primarily attributable to increased headcount and higher average employee compensation, as well as higher computer-aided design tools and depreciation cost.</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2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206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080" w:type="dxa"/>
            <w:vAlign w:val="bottom"/>
            <w:vMerge w:val="restart"/>
          </w:tcPr>
          <w:p>
            <w:pPr>
              <w:ind w:left="440"/>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2180" w:type="dxa"/>
            <w:vAlign w:val="bottom"/>
            <w:gridSpan w:val="3"/>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32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106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85"/>
              </w:rPr>
              <w:t>November 2,</w:t>
            </w:r>
          </w:p>
        </w:tc>
        <w:tc>
          <w:tcPr>
            <w:tcW w:w="8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180" w:type="dxa"/>
            <w:vAlign w:val="bottom"/>
          </w:tcPr>
          <w:p>
            <w:pPr>
              <w:spacing w:after="0"/>
              <w:rPr>
                <w:sz w:val="11"/>
                <w:szCs w:val="11"/>
                <w:color w:val="auto"/>
              </w:rPr>
            </w:pPr>
          </w:p>
        </w:tc>
        <w:tc>
          <w:tcPr>
            <w:tcW w:w="108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104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November 2,</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320" w:type="dxa"/>
            <w:vAlign w:val="bottom"/>
          </w:tcPr>
          <w:p>
            <w:pPr>
              <w:spacing w:after="0"/>
              <w:rPr>
                <w:sz w:val="14"/>
                <w:szCs w:val="14"/>
                <w:color w:val="auto"/>
              </w:rPr>
            </w:pPr>
          </w:p>
        </w:tc>
        <w:tc>
          <w:tcPr>
            <w:tcW w:w="282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2013</w:t>
            </w:r>
          </w:p>
        </w:tc>
        <w:tc>
          <w:tcPr>
            <w:tcW w:w="8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180" w:type="dxa"/>
            <w:vAlign w:val="bottom"/>
          </w:tcPr>
          <w:p>
            <w:pPr>
              <w:spacing w:after="0"/>
              <w:rPr>
                <w:sz w:val="14"/>
                <w:szCs w:val="14"/>
                <w:color w:val="auto"/>
              </w:rPr>
            </w:pPr>
          </w:p>
        </w:tc>
        <w:tc>
          <w:tcPr>
            <w:tcW w:w="1080" w:type="dxa"/>
            <w:vAlign w:val="bottom"/>
          </w:tcPr>
          <w:p>
            <w:pPr>
              <w:ind w:left="280"/>
              <w:spacing w:after="0"/>
              <w:rPr>
                <w:sz w:val="20"/>
                <w:szCs w:val="20"/>
                <w:color w:val="auto"/>
              </w:rPr>
            </w:pPr>
            <w:r>
              <w:rPr>
                <w:rFonts w:ascii="Arial" w:cs="Arial" w:eastAsia="Arial" w:hAnsi="Arial"/>
                <w:sz w:val="14"/>
                <w:szCs w:val="14"/>
                <w:b w:val="1"/>
                <w:bCs w:val="1"/>
                <w:color w:val="auto"/>
              </w:rPr>
              <w:t>Change</w:t>
            </w:r>
          </w:p>
        </w:tc>
        <w:tc>
          <w:tcPr>
            <w:tcW w:w="120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2013</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86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3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106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280" w:type="dxa"/>
            <w:vAlign w:val="bottom"/>
            <w:tcBorders>
              <w:top w:val="single" w:sz="8" w:color="auto"/>
            </w:tcBorders>
            <w:gridSpan w:val="3"/>
          </w:tcPr>
          <w:p>
            <w:pPr>
              <w:jc w:val="right"/>
              <w:ind w:right="27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3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82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  37,496</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$ 38,398</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ind w:left="460"/>
              <w:spacing w:after="0"/>
              <w:rPr>
                <w:sz w:val="20"/>
                <w:szCs w:val="20"/>
                <w:color w:val="auto"/>
              </w:rPr>
            </w:pPr>
            <w:r>
              <w:rPr>
                <w:rFonts w:ascii="Arial" w:cs="Arial" w:eastAsia="Arial" w:hAnsi="Arial"/>
                <w:sz w:val="18"/>
                <w:szCs w:val="18"/>
                <w:color w:val="auto"/>
              </w:rPr>
              <w:t>(2.3)%</w:t>
            </w:r>
          </w:p>
        </w:tc>
        <w:tc>
          <w:tcPr>
            <w:tcW w:w="120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$ 116,033</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$ 119,498</w:t>
            </w:r>
          </w:p>
        </w:tc>
        <w:tc>
          <w:tcPr>
            <w:tcW w:w="8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8"/>
              </w:rPr>
              <w:t>(2.9)%</w:t>
            </w:r>
          </w:p>
        </w:tc>
        <w:tc>
          <w:tcPr>
            <w:tcW w:w="0" w:type="dxa"/>
            <w:vAlign w:val="bottom"/>
          </w:tcPr>
          <w:p>
            <w:pPr>
              <w:spacing w:after="0"/>
              <w:rPr>
                <w:sz w:val="1"/>
                <w:szCs w:val="1"/>
                <w:color w:val="auto"/>
              </w:rPr>
            </w:pPr>
          </w:p>
        </w:tc>
      </w:tr>
      <w:tr>
        <w:trPr>
          <w:trHeight w:val="222"/>
        </w:trPr>
        <w:tc>
          <w:tcPr>
            <w:tcW w:w="3320" w:type="dxa"/>
            <w:vAlign w:val="bottom"/>
          </w:tcPr>
          <w:p>
            <w:pPr>
              <w:spacing w:after="0"/>
              <w:rPr>
                <w:sz w:val="20"/>
                <w:szCs w:val="20"/>
                <w:color w:val="auto"/>
              </w:rPr>
            </w:pPr>
            <w:r>
              <w:rPr>
                <w:rFonts w:ascii="Arial" w:cs="Arial" w:eastAsia="Arial" w:hAnsi="Arial"/>
                <w:sz w:val="18"/>
                <w:szCs w:val="18"/>
                <w:color w:val="auto"/>
              </w:rPr>
              <w:t>% of net revenue</w:t>
            </w:r>
          </w:p>
        </w:tc>
        <w:tc>
          <w:tcPr>
            <w:tcW w:w="2820" w:type="dxa"/>
            <w:vAlign w:val="bottom"/>
            <w:gridSpan w:val="2"/>
          </w:tcPr>
          <w:p>
            <w:pPr>
              <w:jc w:val="right"/>
              <w:ind w:right="92"/>
              <w:spacing w:after="0"/>
              <w:rPr>
                <w:sz w:val="20"/>
                <w:szCs w:val="20"/>
                <w:color w:val="auto"/>
              </w:rPr>
            </w:pPr>
            <w:r>
              <w:rPr>
                <w:rFonts w:ascii="Arial" w:cs="Arial" w:eastAsia="Arial" w:hAnsi="Arial"/>
                <w:sz w:val="18"/>
                <w:szCs w:val="18"/>
                <w:color w:val="auto"/>
              </w:rPr>
              <w:t>4.0%</w:t>
            </w:r>
          </w:p>
        </w:tc>
        <w:tc>
          <w:tcPr>
            <w:tcW w:w="1000" w:type="dxa"/>
            <w:vAlign w:val="bottom"/>
            <w:gridSpan w:val="2"/>
          </w:tcPr>
          <w:p>
            <w:pPr>
              <w:jc w:val="right"/>
              <w:ind w:right="40"/>
              <w:spacing w:after="0"/>
              <w:rPr>
                <w:sz w:val="20"/>
                <w:szCs w:val="20"/>
                <w:color w:val="auto"/>
              </w:rPr>
            </w:pPr>
            <w:r>
              <w:rPr>
                <w:rFonts w:ascii="Arial" w:cs="Arial" w:eastAsia="Arial" w:hAnsi="Arial"/>
                <w:sz w:val="18"/>
                <w:szCs w:val="18"/>
                <w:color w:val="auto"/>
              </w:rPr>
              <w:t>4.9%</w:t>
            </w:r>
          </w:p>
        </w:tc>
        <w:tc>
          <w:tcPr>
            <w:tcW w:w="1080" w:type="dxa"/>
            <w:vAlign w:val="bottom"/>
          </w:tcPr>
          <w:p>
            <w:pPr>
              <w:spacing w:after="0"/>
              <w:rPr>
                <w:sz w:val="19"/>
                <w:szCs w:val="19"/>
                <w:color w:val="auto"/>
              </w:rPr>
            </w:pPr>
          </w:p>
        </w:tc>
        <w:tc>
          <w:tcPr>
            <w:tcW w:w="1200" w:type="dxa"/>
            <w:vAlign w:val="bottom"/>
            <w:gridSpan w:val="2"/>
          </w:tcPr>
          <w:p>
            <w:pPr>
              <w:jc w:val="right"/>
              <w:ind w:right="72"/>
              <w:spacing w:after="0"/>
              <w:rPr>
                <w:sz w:val="20"/>
                <w:szCs w:val="20"/>
                <w:color w:val="auto"/>
              </w:rPr>
            </w:pPr>
            <w:r>
              <w:rPr>
                <w:rFonts w:ascii="Arial" w:cs="Arial" w:eastAsia="Arial" w:hAnsi="Arial"/>
                <w:sz w:val="18"/>
                <w:szCs w:val="18"/>
                <w:color w:val="auto"/>
              </w:rPr>
              <w:t>4.7%</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5.0%</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Selling and marketing expense decreased by $0.9 million and $3.5 million for the three and nine months ended November 2, 2013, respectively, compared to the three and nine months ended October 27, 2012. These decreases were attributable to lower expenses for marketing communication activities as a result of our efforts to control discretionary spending. Also included in selling and marketing expense for the three months ended November 2, 2013 were restructuring and other exit-related costs of $0.8 million.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56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204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200" w:type="dxa"/>
            <w:vAlign w:val="bottom"/>
            <w:vMerge w:val="restart"/>
          </w:tcPr>
          <w:p>
            <w:pPr>
              <w:jc w:val="right"/>
              <w:ind w:right="547"/>
              <w:spacing w:after="0"/>
              <w:rPr>
                <w:sz w:val="20"/>
                <w:szCs w:val="20"/>
                <w:color w:val="auto"/>
              </w:rPr>
            </w:pPr>
            <w:r>
              <w:rPr>
                <w:rFonts w:ascii="Arial" w:cs="Arial" w:eastAsia="Arial" w:hAnsi="Arial"/>
                <w:sz w:val="14"/>
                <w:szCs w:val="14"/>
                <w:b w:val="1"/>
                <w:bCs w:val="1"/>
                <w:color w:val="auto"/>
              </w:rPr>
              <w:t>%</w:t>
            </w:r>
          </w:p>
        </w:tc>
        <w:tc>
          <w:tcPr>
            <w:tcW w:w="2180" w:type="dxa"/>
            <w:vAlign w:val="bottom"/>
            <w:gridSpan w:val="3"/>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560" w:type="dxa"/>
            <w:vAlign w:val="bottom"/>
          </w:tcPr>
          <w:p>
            <w:pPr>
              <w:spacing w:after="0"/>
              <w:rPr>
                <w:sz w:val="11"/>
                <w:szCs w:val="11"/>
                <w:color w:val="auto"/>
              </w:rPr>
            </w:pPr>
          </w:p>
        </w:tc>
        <w:tc>
          <w:tcPr>
            <w:tcW w:w="1640" w:type="dxa"/>
            <w:vAlign w:val="bottom"/>
          </w:tcPr>
          <w:p>
            <w:pPr>
              <w:spacing w:after="0"/>
              <w:rPr>
                <w:sz w:val="11"/>
                <w:szCs w:val="11"/>
                <w:color w:val="auto"/>
              </w:rPr>
            </w:pPr>
          </w:p>
        </w:tc>
        <w:tc>
          <w:tcPr>
            <w:tcW w:w="104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November 2,</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160" w:type="dxa"/>
            <w:vAlign w:val="bottom"/>
          </w:tcPr>
          <w:p>
            <w:pPr>
              <w:spacing w:after="0"/>
              <w:rPr>
                <w:sz w:val="11"/>
                <w:szCs w:val="11"/>
                <w:color w:val="auto"/>
              </w:rPr>
            </w:pPr>
          </w:p>
        </w:tc>
        <w:tc>
          <w:tcPr>
            <w:tcW w:w="1200" w:type="dxa"/>
            <w:vAlign w:val="bottom"/>
            <w:vMerge w:val="continue"/>
          </w:tcPr>
          <w:p>
            <w:pPr>
              <w:spacing w:after="0"/>
              <w:rPr>
                <w:sz w:val="11"/>
                <w:szCs w:val="11"/>
                <w:color w:val="auto"/>
              </w:rPr>
            </w:pPr>
          </w:p>
        </w:tc>
        <w:tc>
          <w:tcPr>
            <w:tcW w:w="104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November 2,</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60" w:type="dxa"/>
            <w:vAlign w:val="bottom"/>
          </w:tcPr>
          <w:p>
            <w:pPr>
              <w:spacing w:after="0"/>
              <w:rPr>
                <w:sz w:val="14"/>
                <w:szCs w:val="14"/>
                <w:color w:val="auto"/>
              </w:rPr>
            </w:pPr>
          </w:p>
        </w:tc>
        <w:tc>
          <w:tcPr>
            <w:tcW w:w="268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2013</w:t>
            </w:r>
          </w:p>
        </w:tc>
        <w:tc>
          <w:tcPr>
            <w:tcW w:w="840" w:type="dxa"/>
            <w:vAlign w:val="bottom"/>
          </w:tcPr>
          <w:p>
            <w:pPr>
              <w:jc w:val="right"/>
              <w:ind w:right="142"/>
              <w:spacing w:after="0"/>
              <w:rPr>
                <w:sz w:val="20"/>
                <w:szCs w:val="20"/>
                <w:color w:val="auto"/>
              </w:rPr>
            </w:pPr>
            <w:r>
              <w:rPr>
                <w:rFonts w:ascii="Arial" w:cs="Arial" w:eastAsia="Arial" w:hAnsi="Arial"/>
                <w:sz w:val="14"/>
                <w:szCs w:val="14"/>
                <w:b w:val="1"/>
                <w:bCs w:val="1"/>
                <w:color w:val="auto"/>
              </w:rPr>
              <w:t>2012</w:t>
            </w:r>
          </w:p>
        </w:tc>
        <w:tc>
          <w:tcPr>
            <w:tcW w:w="160" w:type="dxa"/>
            <w:vAlign w:val="bottom"/>
          </w:tcPr>
          <w:p>
            <w:pPr>
              <w:spacing w:after="0"/>
              <w:rPr>
                <w:sz w:val="14"/>
                <w:szCs w:val="14"/>
                <w:color w:val="auto"/>
              </w:rPr>
            </w:pPr>
          </w:p>
        </w:tc>
        <w:tc>
          <w:tcPr>
            <w:tcW w:w="1200" w:type="dxa"/>
            <w:vAlign w:val="bottom"/>
          </w:tcPr>
          <w:p>
            <w:pPr>
              <w:jc w:val="center"/>
              <w:ind w:right="87"/>
              <w:spacing w:after="0"/>
              <w:rPr>
                <w:sz w:val="20"/>
                <w:szCs w:val="20"/>
                <w:color w:val="auto"/>
              </w:rPr>
            </w:pPr>
            <w:r>
              <w:rPr>
                <w:rFonts w:ascii="Arial" w:cs="Arial" w:eastAsia="Arial" w:hAnsi="Arial"/>
                <w:sz w:val="14"/>
                <w:szCs w:val="14"/>
                <w:b w:val="1"/>
                <w:bCs w:val="1"/>
                <w:color w:val="auto"/>
                <w:w w:val="85"/>
              </w:rPr>
              <w:t>Change</w:t>
            </w:r>
          </w:p>
        </w:tc>
        <w:tc>
          <w:tcPr>
            <w:tcW w:w="1040" w:type="dxa"/>
            <w:vAlign w:val="bottom"/>
          </w:tcPr>
          <w:p>
            <w:pPr>
              <w:jc w:val="right"/>
              <w:ind w:right="464"/>
              <w:spacing w:after="0"/>
              <w:rPr>
                <w:sz w:val="20"/>
                <w:szCs w:val="20"/>
                <w:color w:val="auto"/>
              </w:rPr>
            </w:pPr>
            <w:r>
              <w:rPr>
                <w:rFonts w:ascii="Arial" w:cs="Arial" w:eastAsia="Arial" w:hAnsi="Arial"/>
                <w:sz w:val="14"/>
                <w:szCs w:val="14"/>
                <w:b w:val="1"/>
                <w:bCs w:val="1"/>
                <w:color w:val="auto"/>
              </w:rPr>
              <w:t>2013</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80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56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04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240" w:type="dxa"/>
            <w:vAlign w:val="bottom"/>
            <w:tcBorders>
              <w:top w:val="single" w:sz="8" w:color="auto"/>
            </w:tcBorders>
            <w:gridSpan w:val="2"/>
          </w:tcPr>
          <w:p>
            <w:pPr>
              <w:jc w:val="right"/>
              <w:ind w:right="244"/>
              <w:spacing w:after="0" w:line="142" w:lineRule="exact"/>
              <w:rPr>
                <w:sz w:val="20"/>
                <w:szCs w:val="20"/>
                <w:color w:val="auto"/>
              </w:rPr>
            </w:pPr>
            <w:r>
              <w:rPr>
                <w:rFonts w:ascii="Arial" w:cs="Arial" w:eastAsia="Arial" w:hAnsi="Arial"/>
                <w:sz w:val="14"/>
                <w:szCs w:val="14"/>
                <w:b w:val="1"/>
                <w:bCs w:val="1"/>
                <w:color w:val="auto"/>
                <w:w w:val="83"/>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68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26,589</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$ 24,514</w:t>
            </w:r>
          </w:p>
        </w:tc>
        <w:tc>
          <w:tcPr>
            <w:tcW w:w="160" w:type="dxa"/>
            <w:vAlign w:val="bottom"/>
            <w:shd w:val="clear" w:color="auto" w:fill="CCEEFF"/>
          </w:tcPr>
          <w:p>
            <w:pPr>
              <w:spacing w:after="0"/>
              <w:rPr>
                <w:sz w:val="18"/>
                <w:szCs w:val="18"/>
                <w:color w:val="auto"/>
              </w:rPr>
            </w:pPr>
          </w:p>
        </w:tc>
        <w:tc>
          <w:tcPr>
            <w:tcW w:w="1200" w:type="dxa"/>
            <w:vAlign w:val="bottom"/>
            <w:shd w:val="clear" w:color="auto" w:fill="CCEEFF"/>
          </w:tcPr>
          <w:p>
            <w:pPr>
              <w:jc w:val="right"/>
              <w:ind w:right="247"/>
              <w:spacing w:after="0"/>
              <w:rPr>
                <w:sz w:val="20"/>
                <w:szCs w:val="20"/>
                <w:color w:val="auto"/>
              </w:rPr>
            </w:pPr>
            <w:r>
              <w:rPr>
                <w:rFonts w:ascii="Arial" w:cs="Arial" w:eastAsia="Arial" w:hAnsi="Arial"/>
                <w:sz w:val="18"/>
                <w:szCs w:val="18"/>
                <w:color w:val="auto"/>
              </w:rPr>
              <w:t>8.5%</w:t>
            </w:r>
          </w:p>
        </w:tc>
        <w:tc>
          <w:tcPr>
            <w:tcW w:w="104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5"/>
              </w:rPr>
              <w:t>$  80,104</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$ 75,937</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22"/>
        </w:trPr>
        <w:tc>
          <w:tcPr>
            <w:tcW w:w="3560" w:type="dxa"/>
            <w:vAlign w:val="bottom"/>
          </w:tcPr>
          <w:p>
            <w:pPr>
              <w:spacing w:after="0"/>
              <w:rPr>
                <w:sz w:val="20"/>
                <w:szCs w:val="20"/>
                <w:color w:val="auto"/>
              </w:rPr>
            </w:pPr>
            <w:r>
              <w:rPr>
                <w:rFonts w:ascii="Arial" w:cs="Arial" w:eastAsia="Arial" w:hAnsi="Arial"/>
                <w:sz w:val="18"/>
                <w:szCs w:val="18"/>
                <w:color w:val="auto"/>
              </w:rPr>
              <w:t>% of net revenue</w:t>
            </w:r>
          </w:p>
        </w:tc>
        <w:tc>
          <w:tcPr>
            <w:tcW w:w="2680" w:type="dxa"/>
            <w:vAlign w:val="bottom"/>
            <w:gridSpan w:val="2"/>
          </w:tcPr>
          <w:p>
            <w:pPr>
              <w:jc w:val="right"/>
              <w:ind w:right="92"/>
              <w:spacing w:after="0"/>
              <w:rPr>
                <w:sz w:val="20"/>
                <w:szCs w:val="20"/>
                <w:color w:val="auto"/>
              </w:rPr>
            </w:pPr>
            <w:r>
              <w:rPr>
                <w:rFonts w:ascii="Arial" w:cs="Arial" w:eastAsia="Arial" w:hAnsi="Arial"/>
                <w:sz w:val="18"/>
                <w:szCs w:val="18"/>
                <w:color w:val="auto"/>
              </w:rPr>
              <w:t>2.9%</w:t>
            </w: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3.1%</w:t>
            </w:r>
          </w:p>
        </w:tc>
        <w:tc>
          <w:tcPr>
            <w:tcW w:w="1200" w:type="dxa"/>
            <w:vAlign w:val="bottom"/>
          </w:tcPr>
          <w:p>
            <w:pPr>
              <w:spacing w:after="0"/>
              <w:rPr>
                <w:sz w:val="19"/>
                <w:szCs w:val="19"/>
                <w:color w:val="auto"/>
              </w:rPr>
            </w:pPr>
          </w:p>
        </w:tc>
        <w:tc>
          <w:tcPr>
            <w:tcW w:w="1040" w:type="dxa"/>
            <w:vAlign w:val="bottom"/>
          </w:tcPr>
          <w:p>
            <w:pPr>
              <w:jc w:val="right"/>
              <w:ind w:right="84"/>
              <w:spacing w:after="0"/>
              <w:rPr>
                <w:sz w:val="20"/>
                <w:szCs w:val="20"/>
                <w:color w:val="auto"/>
              </w:rPr>
            </w:pPr>
            <w:r>
              <w:rPr>
                <w:rFonts w:ascii="Arial" w:cs="Arial" w:eastAsia="Arial" w:hAnsi="Arial"/>
                <w:sz w:val="18"/>
                <w:szCs w:val="18"/>
                <w:color w:val="auto"/>
              </w:rPr>
              <w:t>3.2%</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3.2%</w:t>
            </w:r>
          </w:p>
        </w:tc>
        <w:tc>
          <w:tcPr>
            <w:tcW w:w="6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General and administrative expense increased by $2.1 million for the three months ended November 2, 2013 compared to the three months ended October 27, 2012. This increase was due primarily to higher share-based compensation, which was partially offset by lower legal expenses for ongoing litigation matters. Also included in general and administrative expense for the three months ended November 2, 2013 were restructuring and other exit-related costs of $0.5 million.</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General and administrative expense increased by $4.2 million for the nine months ended November 2, 2013 compared to the nine months ended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October 27, 2012. This increase was due primarily to higher share-based compensation, which was partially offset by lower discretionary expenses as a result of</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our efforts to control costs.</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6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Three Months Ended</w:t>
            </w:r>
          </w:p>
        </w:tc>
        <w:tc>
          <w:tcPr>
            <w:tcW w:w="1080" w:type="dxa"/>
            <w:vAlign w:val="bottom"/>
            <w:vMerge w:val="restart"/>
          </w:tcPr>
          <w:p>
            <w:pPr>
              <w:jc w:val="right"/>
              <w:ind w:right="427"/>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2180" w:type="dxa"/>
            <w:vAlign w:val="bottom"/>
            <w:gridSpan w:val="3"/>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5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6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85"/>
              </w:rPr>
              <w:t>November 2,</w:t>
            </w:r>
          </w:p>
        </w:tc>
        <w:tc>
          <w:tcPr>
            <w:tcW w:w="8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180" w:type="dxa"/>
            <w:vAlign w:val="bottom"/>
          </w:tcPr>
          <w:p>
            <w:pPr>
              <w:spacing w:after="0"/>
              <w:rPr>
                <w:sz w:val="11"/>
                <w:szCs w:val="11"/>
                <w:color w:val="auto"/>
              </w:rPr>
            </w:pPr>
          </w:p>
        </w:tc>
        <w:tc>
          <w:tcPr>
            <w:tcW w:w="108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104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November 2,</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520" w:type="dxa"/>
            <w:vAlign w:val="bottom"/>
          </w:tcPr>
          <w:p>
            <w:pPr>
              <w:spacing w:after="0"/>
              <w:rPr>
                <w:sz w:val="14"/>
                <w:szCs w:val="14"/>
                <w:color w:val="auto"/>
              </w:rPr>
            </w:pPr>
          </w:p>
        </w:tc>
        <w:tc>
          <w:tcPr>
            <w:tcW w:w="162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2013</w:t>
            </w:r>
          </w:p>
        </w:tc>
        <w:tc>
          <w:tcPr>
            <w:tcW w:w="8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180" w:type="dxa"/>
            <w:vAlign w:val="bottom"/>
          </w:tcPr>
          <w:p>
            <w:pPr>
              <w:spacing w:after="0"/>
              <w:rPr>
                <w:sz w:val="14"/>
                <w:szCs w:val="14"/>
                <w:color w:val="auto"/>
              </w:rPr>
            </w:pPr>
          </w:p>
        </w:tc>
        <w:tc>
          <w:tcPr>
            <w:tcW w:w="1080" w:type="dxa"/>
            <w:vAlign w:val="bottom"/>
          </w:tcPr>
          <w:p>
            <w:pPr>
              <w:jc w:val="center"/>
              <w:ind w:right="7"/>
              <w:spacing w:after="0"/>
              <w:rPr>
                <w:sz w:val="20"/>
                <w:szCs w:val="20"/>
                <w:color w:val="auto"/>
              </w:rPr>
            </w:pPr>
            <w:r>
              <w:rPr>
                <w:rFonts w:ascii="Arial" w:cs="Arial" w:eastAsia="Arial" w:hAnsi="Arial"/>
                <w:sz w:val="14"/>
                <w:szCs w:val="14"/>
                <w:b w:val="1"/>
                <w:bCs w:val="1"/>
                <w:color w:val="auto"/>
                <w:w w:val="85"/>
              </w:rPr>
              <w:t>Change</w:t>
            </w:r>
          </w:p>
        </w:tc>
        <w:tc>
          <w:tcPr>
            <w:tcW w:w="120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2013</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8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5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6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280" w:type="dxa"/>
            <w:vAlign w:val="bottom"/>
            <w:tcBorders>
              <w:top w:val="single" w:sz="8" w:color="auto"/>
            </w:tcBorders>
            <w:gridSpan w:val="3"/>
          </w:tcPr>
          <w:p>
            <w:pPr>
              <w:jc w:val="right"/>
              <w:ind w:right="27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62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rPr>
              <w:t>$  10,645</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$ 13,054</w:t>
            </w: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ind w:right="67"/>
              <w:spacing w:after="0"/>
              <w:rPr>
                <w:sz w:val="20"/>
                <w:szCs w:val="20"/>
                <w:color w:val="auto"/>
              </w:rPr>
            </w:pPr>
            <w:r>
              <w:rPr>
                <w:rFonts w:ascii="Arial" w:cs="Arial" w:eastAsia="Arial" w:hAnsi="Arial"/>
                <w:sz w:val="18"/>
                <w:szCs w:val="18"/>
                <w:color w:val="auto"/>
              </w:rPr>
              <w:t>(18.5)%</w:t>
            </w:r>
          </w:p>
        </w:tc>
        <w:tc>
          <w:tcPr>
            <w:tcW w:w="120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31,969</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$ 40,432</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(20.9)%</w:t>
            </w:r>
          </w:p>
        </w:tc>
        <w:tc>
          <w:tcPr>
            <w:tcW w:w="0" w:type="dxa"/>
            <w:vAlign w:val="bottom"/>
          </w:tcPr>
          <w:p>
            <w:pPr>
              <w:spacing w:after="0"/>
              <w:rPr>
                <w:sz w:val="1"/>
                <w:szCs w:val="1"/>
                <w:color w:val="auto"/>
              </w:rPr>
            </w:pPr>
          </w:p>
        </w:tc>
      </w:tr>
      <w:tr>
        <w:trPr>
          <w:trHeight w:val="222"/>
        </w:trPr>
        <w:tc>
          <w:tcPr>
            <w:tcW w:w="4520" w:type="dxa"/>
            <w:vAlign w:val="bottom"/>
          </w:tcPr>
          <w:p>
            <w:pPr>
              <w:spacing w:after="0"/>
              <w:rPr>
                <w:sz w:val="20"/>
                <w:szCs w:val="20"/>
                <w:color w:val="auto"/>
              </w:rPr>
            </w:pPr>
            <w:r>
              <w:rPr>
                <w:rFonts w:ascii="Arial" w:cs="Arial" w:eastAsia="Arial" w:hAnsi="Arial"/>
                <w:sz w:val="18"/>
                <w:szCs w:val="18"/>
                <w:color w:val="auto"/>
              </w:rPr>
              <w:t>% of net revenue</w:t>
            </w:r>
          </w:p>
        </w:tc>
        <w:tc>
          <w:tcPr>
            <w:tcW w:w="1620" w:type="dxa"/>
            <w:vAlign w:val="bottom"/>
            <w:gridSpan w:val="2"/>
          </w:tcPr>
          <w:p>
            <w:pPr>
              <w:jc w:val="right"/>
              <w:ind w:right="92"/>
              <w:spacing w:after="0"/>
              <w:rPr>
                <w:sz w:val="20"/>
                <w:szCs w:val="20"/>
                <w:color w:val="auto"/>
              </w:rPr>
            </w:pPr>
            <w:r>
              <w:rPr>
                <w:rFonts w:ascii="Arial" w:cs="Arial" w:eastAsia="Arial" w:hAnsi="Arial"/>
                <w:sz w:val="18"/>
                <w:szCs w:val="18"/>
                <w:color w:val="auto"/>
              </w:rPr>
              <w:t>1.2%</w:t>
            </w:r>
          </w:p>
        </w:tc>
        <w:tc>
          <w:tcPr>
            <w:tcW w:w="1000" w:type="dxa"/>
            <w:vAlign w:val="bottom"/>
            <w:gridSpan w:val="2"/>
          </w:tcPr>
          <w:p>
            <w:pPr>
              <w:jc w:val="right"/>
              <w:ind w:right="40"/>
              <w:spacing w:after="0"/>
              <w:rPr>
                <w:sz w:val="20"/>
                <w:szCs w:val="20"/>
                <w:color w:val="auto"/>
              </w:rPr>
            </w:pPr>
            <w:r>
              <w:rPr>
                <w:rFonts w:ascii="Arial" w:cs="Arial" w:eastAsia="Arial" w:hAnsi="Arial"/>
                <w:sz w:val="18"/>
                <w:szCs w:val="18"/>
                <w:color w:val="auto"/>
              </w:rPr>
              <w:t>1.7%</w:t>
            </w:r>
          </w:p>
        </w:tc>
        <w:tc>
          <w:tcPr>
            <w:tcW w:w="1080" w:type="dxa"/>
            <w:vAlign w:val="bottom"/>
          </w:tcPr>
          <w:p>
            <w:pPr>
              <w:spacing w:after="0"/>
              <w:rPr>
                <w:sz w:val="19"/>
                <w:szCs w:val="19"/>
                <w:color w:val="auto"/>
              </w:rPr>
            </w:pPr>
          </w:p>
        </w:tc>
        <w:tc>
          <w:tcPr>
            <w:tcW w:w="1200" w:type="dxa"/>
            <w:vAlign w:val="bottom"/>
            <w:gridSpan w:val="2"/>
          </w:tcPr>
          <w:p>
            <w:pPr>
              <w:jc w:val="right"/>
              <w:ind w:right="72"/>
              <w:spacing w:after="0"/>
              <w:rPr>
                <w:sz w:val="20"/>
                <w:szCs w:val="20"/>
                <w:color w:val="auto"/>
              </w:rPr>
            </w:pPr>
            <w:r>
              <w:rPr>
                <w:rFonts w:ascii="Arial" w:cs="Arial" w:eastAsia="Arial" w:hAnsi="Arial"/>
                <w:sz w:val="18"/>
                <w:szCs w:val="18"/>
                <w:color w:val="auto"/>
              </w:rPr>
              <w:t>1.3%</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1.7%</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color w:val="auto"/>
        </w:rPr>
        <w:t>Amortization and write-off of acquired intangible assets decreased by $2.4 million and $8.5 million for the three and nine months ended November 2, 2013, respectively, compared to the three and nine months ended October 27, 2012. These decreases were primarily due to certain intangible assets that became fully amortized. In addition, the nine months ended October 27, 2012 included a $0.8 million write-off of in-process research and development related to an abandoned project.</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5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00" w:type="dxa"/>
            <w:vAlign w:val="bottom"/>
            <w:gridSpan w:val="5"/>
          </w:tcPr>
          <w:p>
            <w:pPr>
              <w:jc w:val="right"/>
              <w:ind w:right="800"/>
              <w:spacing w:after="0"/>
              <w:rPr>
                <w:sz w:val="20"/>
                <w:szCs w:val="20"/>
                <w:color w:val="auto"/>
              </w:rPr>
            </w:pPr>
            <w:r>
              <w:rPr>
                <w:rFonts w:ascii="Arial" w:cs="Arial" w:eastAsia="Arial" w:hAnsi="Arial"/>
                <w:sz w:val="14"/>
                <w:szCs w:val="14"/>
                <w:b w:val="1"/>
                <w:bCs w:val="1"/>
                <w:color w:val="auto"/>
              </w:rPr>
              <w:t>Three Months Ended</w:t>
            </w:r>
          </w:p>
        </w:tc>
        <w:tc>
          <w:tcPr>
            <w:tcW w:w="3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4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5520" w:type="dxa"/>
            <w:vAlign w:val="bottom"/>
          </w:tcPr>
          <w:p>
            <w:pPr>
              <w:spacing w:after="0"/>
              <w:rPr>
                <w:sz w:val="11"/>
                <w:szCs w:val="11"/>
                <w:color w:val="auto"/>
              </w:rPr>
            </w:pPr>
          </w:p>
        </w:tc>
        <w:tc>
          <w:tcPr>
            <w:tcW w:w="14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November 2,</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3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7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November 2,</w:t>
            </w:r>
          </w:p>
        </w:tc>
        <w:tc>
          <w:tcPr>
            <w:tcW w:w="6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27,</w:t>
            </w:r>
          </w:p>
        </w:tc>
        <w:tc>
          <w:tcPr>
            <w:tcW w:w="100" w:type="dxa"/>
            <w:vAlign w:val="bottom"/>
          </w:tcPr>
          <w:p>
            <w:pPr>
              <w:spacing w:after="0"/>
              <w:rPr>
                <w:sz w:val="11"/>
                <w:szCs w:val="11"/>
                <w:color w:val="auto"/>
              </w:rPr>
            </w:pPr>
          </w:p>
        </w:tc>
      </w:tr>
      <w:tr>
        <w:trPr>
          <w:trHeight w:val="161"/>
        </w:trPr>
        <w:tc>
          <w:tcPr>
            <w:tcW w:w="552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9"/>
              <w:spacing w:after="0"/>
              <w:rPr>
                <w:sz w:val="20"/>
                <w:szCs w:val="20"/>
                <w:color w:val="auto"/>
              </w:rPr>
            </w:pPr>
            <w:r>
              <w:rPr>
                <w:rFonts w:ascii="Arial" w:cs="Arial" w:eastAsia="Arial" w:hAnsi="Arial"/>
                <w:sz w:val="14"/>
                <w:szCs w:val="14"/>
                <w:b w:val="1"/>
                <w:bCs w:val="1"/>
                <w:color w:val="auto"/>
              </w:rPr>
              <w:t>2013</w:t>
            </w:r>
          </w:p>
        </w:tc>
        <w:tc>
          <w:tcPr>
            <w:tcW w:w="6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9"/>
              <w:spacing w:after="0"/>
              <w:rPr>
                <w:sz w:val="20"/>
                <w:szCs w:val="20"/>
                <w:color w:val="auto"/>
              </w:rPr>
            </w:pPr>
            <w:r>
              <w:rPr>
                <w:rFonts w:ascii="Arial" w:cs="Arial" w:eastAsia="Arial" w:hAnsi="Arial"/>
                <w:sz w:val="14"/>
                <w:szCs w:val="14"/>
                <w:b w:val="1"/>
                <w:bCs w:val="1"/>
                <w:color w:val="auto"/>
                <w:w w:val="96"/>
              </w:rPr>
              <w:t>2012</w:t>
            </w:r>
          </w:p>
        </w:tc>
        <w:tc>
          <w:tcPr>
            <w:tcW w:w="3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59"/>
              <w:spacing w:after="0"/>
              <w:rPr>
                <w:sz w:val="20"/>
                <w:szCs w:val="20"/>
                <w:color w:val="auto"/>
              </w:rPr>
            </w:pPr>
            <w:r>
              <w:rPr>
                <w:rFonts w:ascii="Arial" w:cs="Arial" w:eastAsia="Arial" w:hAnsi="Arial"/>
                <w:sz w:val="14"/>
                <w:szCs w:val="14"/>
                <w:b w:val="1"/>
                <w:bCs w:val="1"/>
                <w:color w:val="auto"/>
              </w:rPr>
              <w:t>2013</w:t>
            </w:r>
          </w:p>
        </w:tc>
        <w:tc>
          <w:tcPr>
            <w:tcW w:w="6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2012</w:t>
            </w:r>
          </w:p>
        </w:tc>
        <w:tc>
          <w:tcPr>
            <w:tcW w:w="100" w:type="dxa"/>
            <w:vAlign w:val="bottom"/>
          </w:tcPr>
          <w:p>
            <w:pPr>
              <w:spacing w:after="0"/>
              <w:rPr>
                <w:sz w:val="14"/>
                <w:szCs w:val="14"/>
                <w:color w:val="auto"/>
              </w:rPr>
            </w:pPr>
          </w:p>
        </w:tc>
      </w:tr>
      <w:tr>
        <w:trPr>
          <w:trHeight w:val="142"/>
        </w:trPr>
        <w:tc>
          <w:tcPr>
            <w:tcW w:w="55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380" w:type="dxa"/>
            <w:vAlign w:val="bottom"/>
            <w:gridSpan w:val="4"/>
          </w:tcPr>
          <w:p>
            <w:pPr>
              <w:ind w:left="460"/>
              <w:spacing w:after="0" w:line="142" w:lineRule="exact"/>
              <w:rPr>
                <w:sz w:val="20"/>
                <w:szCs w:val="20"/>
                <w:color w:val="auto"/>
              </w:rPr>
            </w:pPr>
            <w:r>
              <w:rPr>
                <w:rFonts w:ascii="Arial" w:cs="Arial" w:eastAsia="Arial" w:hAnsi="Arial"/>
                <w:sz w:val="14"/>
                <w:szCs w:val="14"/>
                <w:b w:val="1"/>
                <w:bCs w:val="1"/>
                <w:color w:val="auto"/>
                <w:w w:val="93"/>
              </w:rPr>
              <w:t>(in thousands)</w:t>
            </w:r>
          </w:p>
        </w:tc>
        <w:tc>
          <w:tcPr>
            <w:tcW w:w="5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55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360" w:type="dxa"/>
            <w:vAlign w:val="bottom"/>
            <w:shd w:val="clear" w:color="auto" w:fill="CCEEFF"/>
          </w:tcPr>
          <w:p>
            <w:pPr>
              <w:spacing w:after="0"/>
              <w:rPr>
                <w:sz w:val="18"/>
                <w:szCs w:val="18"/>
                <w:color w:val="auto"/>
              </w:rPr>
            </w:pPr>
          </w:p>
        </w:tc>
        <w:tc>
          <w:tcPr>
            <w:tcW w:w="48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2,886</w:t>
            </w:r>
          </w:p>
        </w:tc>
        <w:tc>
          <w:tcPr>
            <w:tcW w:w="82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w:t>
            </w:r>
          </w:p>
        </w:tc>
      </w:tr>
      <w:tr>
        <w:trPr>
          <w:trHeight w:val="216"/>
        </w:trPr>
        <w:tc>
          <w:tcPr>
            <w:tcW w:w="5520" w:type="dxa"/>
            <w:vAlign w:val="bottom"/>
          </w:tcPr>
          <w:p>
            <w:pPr>
              <w:spacing w:after="0"/>
              <w:rPr>
                <w:sz w:val="20"/>
                <w:szCs w:val="20"/>
                <w:color w:val="auto"/>
              </w:rPr>
            </w:pPr>
            <w:r>
              <w:rPr>
                <w:rFonts w:ascii="Arial" w:cs="Arial" w:eastAsia="Arial" w:hAnsi="Arial"/>
                <w:sz w:val="18"/>
                <w:szCs w:val="18"/>
                <w:color w:val="auto"/>
              </w:rPr>
              <w:t>Selling and marketing</w:t>
            </w: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795</w:t>
            </w: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w:t>
            </w:r>
          </w:p>
        </w:tc>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795</w:t>
            </w: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(3)</w:t>
            </w:r>
          </w:p>
        </w:tc>
      </w:tr>
      <w:tr>
        <w:trPr>
          <w:trHeight w:val="216"/>
        </w:trPr>
        <w:tc>
          <w:tcPr>
            <w:tcW w:w="55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527</w:t>
            </w:r>
          </w:p>
        </w:tc>
        <w:tc>
          <w:tcPr>
            <w:tcW w:w="68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130</w:t>
            </w:r>
          </w:p>
        </w:tc>
        <w:tc>
          <w:tcPr>
            <w:tcW w:w="3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933</w:t>
            </w:r>
          </w:p>
        </w:tc>
        <w:tc>
          <w:tcPr>
            <w:tcW w:w="68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1,060</w:t>
            </w:r>
          </w:p>
        </w:tc>
        <w:tc>
          <w:tcPr>
            <w:tcW w:w="100" w:type="dxa"/>
            <w:vAlign w:val="bottom"/>
            <w:shd w:val="clear" w:color="auto" w:fill="CCEEFF"/>
          </w:tcPr>
          <w:p>
            <w:pPr>
              <w:spacing w:after="0"/>
              <w:rPr>
                <w:sz w:val="18"/>
                <w:szCs w:val="18"/>
                <w:color w:val="auto"/>
              </w:rPr>
            </w:pPr>
          </w:p>
        </w:tc>
      </w:tr>
      <w:tr>
        <w:trPr>
          <w:trHeight w:val="222"/>
        </w:trPr>
        <w:tc>
          <w:tcPr>
            <w:tcW w:w="5520" w:type="dxa"/>
            <w:vAlign w:val="bottom"/>
          </w:tcPr>
          <w:p>
            <w:pPr>
              <w:spacing w:after="0"/>
              <w:rPr>
                <w:sz w:val="19"/>
                <w:szCs w:val="19"/>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4,208</w:t>
            </w:r>
          </w:p>
        </w:tc>
        <w:tc>
          <w:tcPr>
            <w:tcW w:w="6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129</w:t>
            </w:r>
          </w:p>
        </w:tc>
        <w:tc>
          <w:tcPr>
            <w:tcW w:w="360" w:type="dxa"/>
            <w:vAlign w:val="bottom"/>
          </w:tcPr>
          <w:p>
            <w:pPr>
              <w:spacing w:after="0"/>
              <w:rPr>
                <w:sz w:val="19"/>
                <w:szCs w:val="19"/>
                <w:color w:val="auto"/>
              </w:rPr>
            </w:pPr>
          </w:p>
        </w:tc>
        <w:tc>
          <w:tcPr>
            <w:tcW w:w="4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4,614</w:t>
            </w:r>
          </w:p>
        </w:tc>
        <w:tc>
          <w:tcPr>
            <w:tcW w:w="82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1,103</w:t>
            </w:r>
          </w:p>
        </w:tc>
      </w:tr>
      <w:tr>
        <w:trPr>
          <w:trHeight w:val="20"/>
        </w:trPr>
        <w:tc>
          <w:tcPr>
            <w:tcW w:w="55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We recorded a $4.2 million charge primarily related to the closure of two sites in the three months ended November 2, 2013. This amount included $2.8 million of severance costs, $1.3 million for other exit-related costs in connection with vacating three facilities and $0.1 million for the write off of equipment. All activities related to the closure of the two sites were substantially completed by the end of the quarter.</w:t>
      </w:r>
    </w:p>
    <w:p>
      <w:pPr>
        <w:spacing w:after="0" w:line="14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During the nine months ended November 2, 2013, we also continued to make payments and incur on-going operating expenses related to vacated facilities under previous restructure actions.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0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w w:val="99"/>
              </w:rPr>
              <w:t>Three Months Ended</w:t>
            </w:r>
          </w:p>
        </w:tc>
        <w:tc>
          <w:tcPr>
            <w:tcW w:w="1240" w:type="dxa"/>
            <w:vAlign w:val="bottom"/>
            <w:vMerge w:val="restart"/>
          </w:tcPr>
          <w:p>
            <w:pPr>
              <w:jc w:val="right"/>
              <w:ind w:right="607"/>
              <w:spacing w:after="0"/>
              <w:rPr>
                <w:sz w:val="20"/>
                <w:szCs w:val="20"/>
                <w:color w:val="auto"/>
              </w:rPr>
            </w:pPr>
            <w:r>
              <w:rPr>
                <w:rFonts w:ascii="Arial" w:cs="Arial" w:eastAsia="Arial" w:hAnsi="Arial"/>
                <w:sz w:val="14"/>
                <w:szCs w:val="14"/>
                <w:b w:val="1"/>
                <w:bCs w:val="1"/>
                <w:color w:val="auto"/>
              </w:rPr>
              <w:t>%</w:t>
            </w:r>
          </w:p>
        </w:tc>
        <w:tc>
          <w:tcPr>
            <w:tcW w:w="2180" w:type="dxa"/>
            <w:vAlign w:val="bottom"/>
            <w:gridSpan w:val="3"/>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ind w:left="30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62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10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November 2,</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180" w:type="dxa"/>
            <w:vAlign w:val="bottom"/>
          </w:tcPr>
          <w:p>
            <w:pPr>
              <w:spacing w:after="0"/>
              <w:rPr>
                <w:sz w:val="11"/>
                <w:szCs w:val="11"/>
                <w:color w:val="auto"/>
              </w:rPr>
            </w:pPr>
          </w:p>
        </w:tc>
        <w:tc>
          <w:tcPr>
            <w:tcW w:w="1240" w:type="dxa"/>
            <w:vAlign w:val="bottom"/>
            <w:vMerge w:val="continue"/>
          </w:tcPr>
          <w:p>
            <w:pPr>
              <w:spacing w:after="0"/>
              <w:rPr>
                <w:sz w:val="11"/>
                <w:szCs w:val="11"/>
                <w:color w:val="auto"/>
              </w:rPr>
            </w:pPr>
          </w:p>
        </w:tc>
        <w:tc>
          <w:tcPr>
            <w:tcW w:w="104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November 2,</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6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tcPr>
          <w:p>
            <w:pPr>
              <w:jc w:val="right"/>
              <w:ind w:right="462"/>
              <w:spacing w:after="0"/>
              <w:rPr>
                <w:sz w:val="20"/>
                <w:szCs w:val="20"/>
                <w:color w:val="auto"/>
              </w:rPr>
            </w:pPr>
            <w:r>
              <w:rPr>
                <w:rFonts w:ascii="Arial" w:cs="Arial" w:eastAsia="Arial" w:hAnsi="Arial"/>
                <w:sz w:val="14"/>
                <w:szCs w:val="14"/>
                <w:b w:val="1"/>
                <w:bCs w:val="1"/>
                <w:color w:val="auto"/>
              </w:rPr>
              <w:t>2013</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180" w:type="dxa"/>
            <w:vAlign w:val="bottom"/>
          </w:tcPr>
          <w:p>
            <w:pPr>
              <w:spacing w:after="0"/>
              <w:rPr>
                <w:sz w:val="14"/>
                <w:szCs w:val="14"/>
                <w:color w:val="auto"/>
              </w:rPr>
            </w:pPr>
          </w:p>
        </w:tc>
        <w:tc>
          <w:tcPr>
            <w:tcW w:w="1240" w:type="dxa"/>
            <w:vAlign w:val="bottom"/>
          </w:tcPr>
          <w:p>
            <w:pPr>
              <w:jc w:val="center"/>
              <w:ind w:right="167"/>
              <w:spacing w:after="0"/>
              <w:rPr>
                <w:sz w:val="20"/>
                <w:szCs w:val="20"/>
                <w:color w:val="auto"/>
              </w:rPr>
            </w:pPr>
            <w:r>
              <w:rPr>
                <w:rFonts w:ascii="Arial" w:cs="Arial" w:eastAsia="Arial" w:hAnsi="Arial"/>
                <w:sz w:val="14"/>
                <w:szCs w:val="14"/>
                <w:b w:val="1"/>
                <w:bCs w:val="1"/>
                <w:color w:val="auto"/>
                <w:w w:val="85"/>
              </w:rPr>
              <w:t>Change</w:t>
            </w:r>
          </w:p>
        </w:tc>
        <w:tc>
          <w:tcPr>
            <w:tcW w:w="1040" w:type="dxa"/>
            <w:vAlign w:val="bottom"/>
          </w:tcPr>
          <w:p>
            <w:pPr>
              <w:jc w:val="right"/>
              <w:ind w:right="464"/>
              <w:spacing w:after="0"/>
              <w:rPr>
                <w:sz w:val="20"/>
                <w:szCs w:val="20"/>
                <w:color w:val="auto"/>
              </w:rPr>
            </w:pPr>
            <w:r>
              <w:rPr>
                <w:rFonts w:ascii="Arial" w:cs="Arial" w:eastAsia="Arial" w:hAnsi="Arial"/>
                <w:sz w:val="14"/>
                <w:szCs w:val="14"/>
                <w:b w:val="1"/>
                <w:bCs w:val="1"/>
                <w:color w:val="auto"/>
              </w:rPr>
              <w:t>2013</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300" w:type="dxa"/>
            <w:vAlign w:val="bottom"/>
          </w:tcPr>
          <w:p>
            <w:pPr>
              <w:spacing w:after="0"/>
              <w:rPr>
                <w:sz w:val="14"/>
                <w:szCs w:val="14"/>
                <w:color w:val="auto"/>
              </w:rPr>
            </w:pPr>
          </w:p>
        </w:tc>
        <w:tc>
          <w:tcPr>
            <w:tcW w:w="80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62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280" w:type="dxa"/>
            <w:vAlign w:val="bottom"/>
            <w:tcBorders>
              <w:top w:val="single" w:sz="8" w:color="auto"/>
            </w:tcBorders>
            <w:gridSpan w:val="2"/>
          </w:tcPr>
          <w:p>
            <w:pPr>
              <w:jc w:val="right"/>
              <w:ind w:right="264"/>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680" w:type="dxa"/>
            <w:vAlign w:val="bottom"/>
            <w:gridSpan w:val="2"/>
            <w:shd w:val="clear" w:color="auto" w:fill="CCEEFF"/>
          </w:tcPr>
          <w:p>
            <w:pPr>
              <w:ind w:left="15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222"/>
              <w:spacing w:after="0"/>
              <w:rPr>
                <w:sz w:val="20"/>
                <w:szCs w:val="20"/>
                <w:color w:val="auto"/>
              </w:rPr>
            </w:pPr>
            <w:r>
              <w:rPr>
                <w:rFonts w:ascii="Arial" w:cs="Arial" w:eastAsia="Arial" w:hAnsi="Arial"/>
                <w:sz w:val="18"/>
                <w:szCs w:val="18"/>
                <w:color w:val="auto"/>
              </w:rPr>
              <w:t>1,536</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2,387</w:t>
            </w:r>
          </w:p>
        </w:tc>
        <w:tc>
          <w:tcPr>
            <w:tcW w:w="180" w:type="dxa"/>
            <w:vAlign w:val="bottom"/>
            <w:shd w:val="clear" w:color="auto" w:fill="CCEEFF"/>
          </w:tcPr>
          <w:p>
            <w:pPr>
              <w:spacing w:after="0"/>
              <w:rPr>
                <w:sz w:val="18"/>
                <w:szCs w:val="18"/>
                <w:color w:val="auto"/>
              </w:rPr>
            </w:pPr>
          </w:p>
        </w:tc>
        <w:tc>
          <w:tcPr>
            <w:tcW w:w="1240" w:type="dxa"/>
            <w:vAlign w:val="bottom"/>
            <w:shd w:val="clear" w:color="auto" w:fill="CCEEFF"/>
          </w:tcPr>
          <w:p>
            <w:pPr>
              <w:jc w:val="right"/>
              <w:ind w:right="247"/>
              <w:spacing w:after="0"/>
              <w:rPr>
                <w:sz w:val="20"/>
                <w:szCs w:val="20"/>
                <w:color w:val="auto"/>
              </w:rPr>
            </w:pPr>
            <w:r>
              <w:rPr>
                <w:rFonts w:ascii="Arial" w:cs="Arial" w:eastAsia="Arial" w:hAnsi="Arial"/>
                <w:sz w:val="18"/>
                <w:szCs w:val="18"/>
                <w:color w:val="auto"/>
              </w:rPr>
              <w:t>(35.7)%</w:t>
            </w:r>
          </w:p>
        </w:tc>
        <w:tc>
          <w:tcPr>
            <w:tcW w:w="104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5"/>
              </w:rPr>
              <w:t>$  12,949</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9,308</w:t>
            </w:r>
          </w:p>
        </w:tc>
        <w:tc>
          <w:tcPr>
            <w:tcW w:w="8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3"/>
              </w:rPr>
              <w:t>39.1%</w:t>
            </w:r>
          </w:p>
        </w:tc>
        <w:tc>
          <w:tcPr>
            <w:tcW w:w="0" w:type="dxa"/>
            <w:vAlign w:val="bottom"/>
          </w:tcPr>
          <w:p>
            <w:pPr>
              <w:spacing w:after="0"/>
              <w:rPr>
                <w:sz w:val="1"/>
                <w:szCs w:val="1"/>
                <w:color w:val="auto"/>
              </w:rPr>
            </w:pPr>
          </w:p>
        </w:tc>
      </w:tr>
      <w:tr>
        <w:trPr>
          <w:trHeight w:val="222"/>
        </w:trPr>
        <w:tc>
          <w:tcPr>
            <w:tcW w:w="3620" w:type="dxa"/>
            <w:vAlign w:val="bottom"/>
          </w:tcPr>
          <w:p>
            <w:pPr>
              <w:spacing w:after="0"/>
              <w:rPr>
                <w:sz w:val="20"/>
                <w:szCs w:val="20"/>
                <w:color w:val="auto"/>
              </w:rPr>
            </w:pPr>
            <w:r>
              <w:rPr>
                <w:rFonts w:ascii="Arial" w:cs="Arial" w:eastAsia="Arial" w:hAnsi="Arial"/>
                <w:sz w:val="18"/>
                <w:szCs w:val="18"/>
                <w:color w:val="auto"/>
              </w:rPr>
              <w:t>% of net revenue</w:t>
            </w:r>
          </w:p>
        </w:tc>
        <w:tc>
          <w:tcPr>
            <w:tcW w:w="15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80" w:type="dxa"/>
            <w:vAlign w:val="bottom"/>
          </w:tcPr>
          <w:p>
            <w:pPr>
              <w:jc w:val="right"/>
              <w:ind w:right="82"/>
              <w:spacing w:after="0"/>
              <w:rPr>
                <w:sz w:val="20"/>
                <w:szCs w:val="20"/>
                <w:color w:val="auto"/>
              </w:rPr>
            </w:pPr>
            <w:r>
              <w:rPr>
                <w:rFonts w:ascii="Arial" w:cs="Arial" w:eastAsia="Arial" w:hAnsi="Arial"/>
                <w:sz w:val="18"/>
                <w:szCs w:val="18"/>
                <w:color w:val="auto"/>
              </w:rPr>
              <w:t>0.2%</w:t>
            </w: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0.3%</w:t>
            </w:r>
          </w:p>
        </w:tc>
        <w:tc>
          <w:tcPr>
            <w:tcW w:w="1240" w:type="dxa"/>
            <w:vAlign w:val="bottom"/>
          </w:tcPr>
          <w:p>
            <w:pPr>
              <w:spacing w:after="0"/>
              <w:rPr>
                <w:sz w:val="19"/>
                <w:szCs w:val="19"/>
                <w:color w:val="auto"/>
              </w:rPr>
            </w:pPr>
          </w:p>
        </w:tc>
        <w:tc>
          <w:tcPr>
            <w:tcW w:w="1040" w:type="dxa"/>
            <w:vAlign w:val="bottom"/>
          </w:tcPr>
          <w:p>
            <w:pPr>
              <w:jc w:val="right"/>
              <w:ind w:right="84"/>
              <w:spacing w:after="0"/>
              <w:rPr>
                <w:sz w:val="20"/>
                <w:szCs w:val="20"/>
                <w:color w:val="auto"/>
              </w:rPr>
            </w:pPr>
            <w:r>
              <w:rPr>
                <w:rFonts w:ascii="Arial" w:cs="Arial" w:eastAsia="Arial" w:hAnsi="Arial"/>
                <w:sz w:val="18"/>
                <w:szCs w:val="18"/>
                <w:color w:val="auto"/>
              </w:rPr>
              <w:t>0.5%</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0.4%</w:t>
            </w:r>
          </w:p>
        </w:tc>
        <w:tc>
          <w:tcPr>
            <w:tcW w:w="6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Interest and other income, net, decreased for the three months ended November 2, 2013 compared to the three months ended October 27, 2012 primarily due to lower realized gains on investments and lower interest income from a lower rate of return. This was further reduced by the impact of the weakening of the U.S. dollar on our foreign currency denominated tax liabilities.</w:t>
      </w:r>
    </w:p>
    <w:p>
      <w:pPr>
        <w:spacing w:after="0" w:line="14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Interest and other income, net, increased for the nine months ended November 2, 2013 compared to the nine months ended October 27, 2012 primarily due to the impact of the strengthening of the U.S. dollar on our foreign currency denominated tax liabilities. This was partially offset by lower interest income from lower average cash and investment balances, lower realized investment gains, and higher imputed interest expense related to technology license obligations during the nine months ended November 2, 2013. We also had a $1.0 million write down of an equity investment during the nine months ended November 2, 2013.</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780" w:type="dxa"/>
            <w:vAlign w:val="bottom"/>
          </w:tcPr>
          <w:p>
            <w:pPr>
              <w:spacing w:after="0"/>
              <w:rPr>
                <w:sz w:val="14"/>
                <w:szCs w:val="14"/>
                <w:color w:val="auto"/>
              </w:rPr>
            </w:pPr>
          </w:p>
        </w:tc>
        <w:tc>
          <w:tcPr>
            <w:tcW w:w="2140" w:type="dxa"/>
            <w:vAlign w:val="bottom"/>
            <w:gridSpan w:val="4"/>
          </w:tcPr>
          <w:p>
            <w:pPr>
              <w:jc w:val="right"/>
              <w:ind w:right="580"/>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vMerge w:val="restart"/>
          </w:tcPr>
          <w:p>
            <w:pPr>
              <w:jc w:val="right"/>
              <w:ind w:right="667"/>
              <w:spacing w:after="0"/>
              <w:rPr>
                <w:sz w:val="20"/>
                <w:szCs w:val="20"/>
                <w:color w:val="auto"/>
              </w:rPr>
            </w:pPr>
            <w:r>
              <w:rPr>
                <w:rFonts w:ascii="Arial" w:cs="Arial" w:eastAsia="Arial" w:hAnsi="Arial"/>
                <w:sz w:val="14"/>
                <w:szCs w:val="14"/>
                <w:b w:val="1"/>
                <w:bCs w:val="1"/>
                <w:color w:val="auto"/>
              </w:rPr>
              <w:t>%</w:t>
            </w:r>
          </w:p>
        </w:tc>
        <w:tc>
          <w:tcPr>
            <w:tcW w:w="2240" w:type="dxa"/>
            <w:vAlign w:val="bottom"/>
            <w:gridSpan w:val="3"/>
          </w:tcPr>
          <w:p>
            <w:pPr>
              <w:jc w:val="right"/>
              <w:ind w:right="700"/>
              <w:spacing w:after="0"/>
              <w:rPr>
                <w:sz w:val="20"/>
                <w:szCs w:val="20"/>
                <w:color w:val="auto"/>
              </w:rPr>
            </w:pPr>
            <w:r>
              <w:rPr>
                <w:rFonts w:ascii="Arial" w:cs="Arial" w:eastAsia="Arial" w:hAnsi="Arial"/>
                <w:sz w:val="14"/>
                <w:szCs w:val="14"/>
                <w:b w:val="1"/>
                <w:bCs w:val="1"/>
                <w:color w:val="auto"/>
              </w:rPr>
              <w:t>Nine Months Ended</w:t>
            </w:r>
          </w:p>
        </w:tc>
        <w:tc>
          <w:tcPr>
            <w:tcW w:w="64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780" w:type="dxa"/>
            <w:vAlign w:val="bottom"/>
          </w:tcPr>
          <w:p>
            <w:pPr>
              <w:spacing w:after="0"/>
              <w:rPr>
                <w:sz w:val="11"/>
                <w:szCs w:val="11"/>
                <w:color w:val="auto"/>
              </w:rPr>
            </w:pPr>
          </w:p>
        </w:tc>
        <w:tc>
          <w:tcPr>
            <w:tcW w:w="1100" w:type="dxa"/>
            <w:vAlign w:val="bottom"/>
            <w:tcBorders>
              <w:top w:val="single" w:sz="8" w:color="auto"/>
            </w:tcBorders>
          </w:tcPr>
          <w:p>
            <w:pPr>
              <w:jc w:val="right"/>
              <w:ind w:right="284"/>
              <w:spacing w:after="0" w:line="129" w:lineRule="exact"/>
              <w:rPr>
                <w:sz w:val="20"/>
                <w:szCs w:val="20"/>
                <w:color w:val="auto"/>
              </w:rPr>
            </w:pPr>
            <w:r>
              <w:rPr>
                <w:rFonts w:ascii="Arial" w:cs="Arial" w:eastAsia="Arial" w:hAnsi="Arial"/>
                <w:sz w:val="14"/>
                <w:szCs w:val="14"/>
                <w:b w:val="1"/>
                <w:bCs w:val="1"/>
                <w:color w:val="auto"/>
                <w:w w:val="85"/>
              </w:rPr>
              <w:t>November 2,</w:t>
            </w:r>
          </w:p>
        </w:tc>
        <w:tc>
          <w:tcPr>
            <w:tcW w:w="820" w:type="dxa"/>
            <w:vAlign w:val="bottom"/>
            <w:tcBorders>
              <w:top w:val="single" w:sz="8" w:color="auto"/>
            </w:tcBorders>
            <w:gridSpan w:val="2"/>
          </w:tcPr>
          <w:p>
            <w:pPr>
              <w:ind w:left="140"/>
              <w:spacing w:after="0" w:line="129" w:lineRule="exact"/>
              <w:rPr>
                <w:sz w:val="20"/>
                <w:szCs w:val="20"/>
                <w:color w:val="auto"/>
              </w:rPr>
            </w:pPr>
            <w:r>
              <w:rPr>
                <w:rFonts w:ascii="Arial" w:cs="Arial" w:eastAsia="Arial" w:hAnsi="Arial"/>
                <w:sz w:val="14"/>
                <w:szCs w:val="14"/>
                <w:b w:val="1"/>
                <w:bCs w:val="1"/>
                <w:color w:val="auto"/>
                <w:w w:val="85"/>
              </w:rPr>
              <w:t>October 27,</w:t>
            </w:r>
          </w:p>
        </w:tc>
        <w:tc>
          <w:tcPr>
            <w:tcW w:w="220" w:type="dxa"/>
            <w:vAlign w:val="bottom"/>
          </w:tcPr>
          <w:p>
            <w:pPr>
              <w:spacing w:after="0"/>
              <w:rPr>
                <w:sz w:val="11"/>
                <w:szCs w:val="11"/>
                <w:color w:val="auto"/>
              </w:rPr>
            </w:pPr>
          </w:p>
        </w:tc>
        <w:tc>
          <w:tcPr>
            <w:tcW w:w="1360" w:type="dxa"/>
            <w:vAlign w:val="bottom"/>
            <w:vMerge w:val="continue"/>
          </w:tcPr>
          <w:p>
            <w:pPr>
              <w:spacing w:after="0"/>
              <w:rPr>
                <w:sz w:val="11"/>
                <w:szCs w:val="11"/>
                <w:color w:val="auto"/>
              </w:rPr>
            </w:pPr>
          </w:p>
        </w:tc>
        <w:tc>
          <w:tcPr>
            <w:tcW w:w="1100" w:type="dxa"/>
            <w:vAlign w:val="bottom"/>
            <w:tcBorders>
              <w:top w:val="single" w:sz="8" w:color="auto"/>
            </w:tcBorders>
          </w:tcPr>
          <w:p>
            <w:pPr>
              <w:jc w:val="right"/>
              <w:ind w:right="284"/>
              <w:spacing w:after="0" w:line="129" w:lineRule="exact"/>
              <w:rPr>
                <w:sz w:val="20"/>
                <w:szCs w:val="20"/>
                <w:color w:val="auto"/>
              </w:rPr>
            </w:pPr>
            <w:r>
              <w:rPr>
                <w:rFonts w:ascii="Arial" w:cs="Arial" w:eastAsia="Arial" w:hAnsi="Arial"/>
                <w:sz w:val="14"/>
                <w:szCs w:val="14"/>
                <w:b w:val="1"/>
                <w:bCs w:val="1"/>
                <w:color w:val="auto"/>
                <w:w w:val="85"/>
              </w:rPr>
              <w:t>November 2,</w:t>
            </w:r>
          </w:p>
        </w:tc>
        <w:tc>
          <w:tcPr>
            <w:tcW w:w="8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27,</w:t>
            </w:r>
          </w:p>
        </w:tc>
        <w:tc>
          <w:tcPr>
            <w:tcW w:w="32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780" w:type="dxa"/>
            <w:vAlign w:val="bottom"/>
          </w:tcPr>
          <w:p>
            <w:pPr>
              <w:spacing w:after="0"/>
              <w:rPr>
                <w:sz w:val="14"/>
                <w:szCs w:val="14"/>
                <w:color w:val="auto"/>
              </w:rPr>
            </w:pPr>
          </w:p>
        </w:tc>
        <w:tc>
          <w:tcPr>
            <w:tcW w:w="1100" w:type="dxa"/>
            <w:vAlign w:val="bottom"/>
          </w:tcPr>
          <w:p>
            <w:pPr>
              <w:jc w:val="right"/>
              <w:ind w:right="524"/>
              <w:spacing w:after="0"/>
              <w:rPr>
                <w:sz w:val="20"/>
                <w:szCs w:val="20"/>
                <w:color w:val="auto"/>
              </w:rPr>
            </w:pPr>
            <w:r>
              <w:rPr>
                <w:rFonts w:ascii="Arial" w:cs="Arial" w:eastAsia="Arial" w:hAnsi="Arial"/>
                <w:sz w:val="14"/>
                <w:szCs w:val="14"/>
                <w:b w:val="1"/>
                <w:bCs w:val="1"/>
                <w:color w:val="auto"/>
              </w:rPr>
              <w:t>2013</w:t>
            </w:r>
          </w:p>
        </w:tc>
        <w:tc>
          <w:tcPr>
            <w:tcW w:w="280" w:type="dxa"/>
            <w:vAlign w:val="bottom"/>
          </w:tcPr>
          <w:p>
            <w:pPr>
              <w:spacing w:after="0"/>
              <w:rPr>
                <w:sz w:val="14"/>
                <w:szCs w:val="14"/>
                <w:color w:val="auto"/>
              </w:rPr>
            </w:pPr>
          </w:p>
        </w:tc>
        <w:tc>
          <w:tcPr>
            <w:tcW w:w="540" w:type="dxa"/>
            <w:vAlign w:val="bottom"/>
          </w:tcPr>
          <w:p>
            <w:pPr>
              <w:jc w:val="right"/>
              <w:ind w:right="119"/>
              <w:spacing w:after="0"/>
              <w:rPr>
                <w:sz w:val="20"/>
                <w:szCs w:val="20"/>
                <w:color w:val="auto"/>
              </w:rPr>
            </w:pPr>
            <w:r>
              <w:rPr>
                <w:rFonts w:ascii="Arial" w:cs="Arial" w:eastAsia="Arial" w:hAnsi="Arial"/>
                <w:sz w:val="14"/>
                <w:szCs w:val="14"/>
                <w:b w:val="1"/>
                <w:bCs w:val="1"/>
                <w:color w:val="auto"/>
              </w:rPr>
              <w:t>2012</w:t>
            </w:r>
          </w:p>
        </w:tc>
        <w:tc>
          <w:tcPr>
            <w:tcW w:w="220" w:type="dxa"/>
            <w:vAlign w:val="bottom"/>
          </w:tcPr>
          <w:p>
            <w:pPr>
              <w:spacing w:after="0"/>
              <w:rPr>
                <w:sz w:val="14"/>
                <w:szCs w:val="14"/>
                <w:color w:val="auto"/>
              </w:rPr>
            </w:pPr>
          </w:p>
        </w:tc>
        <w:tc>
          <w:tcPr>
            <w:tcW w:w="1360" w:type="dxa"/>
            <w:vAlign w:val="bottom"/>
          </w:tcPr>
          <w:p>
            <w:pPr>
              <w:jc w:val="center"/>
              <w:ind w:right="207"/>
              <w:spacing w:after="0"/>
              <w:rPr>
                <w:sz w:val="20"/>
                <w:szCs w:val="20"/>
                <w:color w:val="auto"/>
              </w:rPr>
            </w:pPr>
            <w:r>
              <w:rPr>
                <w:rFonts w:ascii="Arial" w:cs="Arial" w:eastAsia="Arial" w:hAnsi="Arial"/>
                <w:sz w:val="14"/>
                <w:szCs w:val="14"/>
                <w:b w:val="1"/>
                <w:bCs w:val="1"/>
                <w:color w:val="auto"/>
                <w:w w:val="85"/>
              </w:rPr>
              <w:t>Change</w:t>
            </w:r>
          </w:p>
        </w:tc>
        <w:tc>
          <w:tcPr>
            <w:tcW w:w="1100" w:type="dxa"/>
            <w:vAlign w:val="bottom"/>
          </w:tcPr>
          <w:p>
            <w:pPr>
              <w:jc w:val="right"/>
              <w:ind w:right="504"/>
              <w:spacing w:after="0"/>
              <w:rPr>
                <w:sz w:val="20"/>
                <w:szCs w:val="20"/>
                <w:color w:val="auto"/>
              </w:rPr>
            </w:pPr>
            <w:r>
              <w:rPr>
                <w:rFonts w:ascii="Arial" w:cs="Arial" w:eastAsia="Arial" w:hAnsi="Arial"/>
                <w:sz w:val="14"/>
                <w:szCs w:val="14"/>
                <w:b w:val="1"/>
                <w:bCs w:val="1"/>
                <w:color w:val="auto"/>
              </w:rPr>
              <w:t>2013</w:t>
            </w:r>
          </w:p>
        </w:tc>
        <w:tc>
          <w:tcPr>
            <w:tcW w:w="8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2012</w:t>
            </w:r>
          </w:p>
        </w:tc>
        <w:tc>
          <w:tcPr>
            <w:tcW w:w="320" w:type="dxa"/>
            <w:vAlign w:val="bottom"/>
          </w:tcPr>
          <w:p>
            <w:pPr>
              <w:spacing w:after="0"/>
              <w:rPr>
                <w:sz w:val="14"/>
                <w:szCs w:val="14"/>
                <w:color w:val="auto"/>
              </w:rPr>
            </w:pPr>
          </w:p>
        </w:tc>
        <w:tc>
          <w:tcPr>
            <w:tcW w:w="9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780" w:type="dxa"/>
            <w:vAlign w:val="bottom"/>
          </w:tcPr>
          <w:p>
            <w:pPr>
              <w:spacing w:after="0"/>
              <w:rPr>
                <w:sz w:val="12"/>
                <w:szCs w:val="12"/>
                <w:color w:val="auto"/>
              </w:rPr>
            </w:pPr>
          </w:p>
        </w:tc>
        <w:tc>
          <w:tcPr>
            <w:tcW w:w="110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40" w:type="dxa"/>
            <w:vAlign w:val="bottom"/>
            <w:tcBorders>
              <w:top w:val="single" w:sz="8" w:color="auto"/>
            </w:tcBorders>
          </w:tcPr>
          <w:p>
            <w:pPr>
              <w:spacing w:after="0"/>
              <w:rPr>
                <w:sz w:val="12"/>
                <w:szCs w:val="12"/>
                <w:color w:val="auto"/>
              </w:rPr>
            </w:pPr>
          </w:p>
        </w:tc>
        <w:tc>
          <w:tcPr>
            <w:tcW w:w="220" w:type="dxa"/>
            <w:vAlign w:val="bottom"/>
            <w:tcBorders>
              <w:top w:val="single" w:sz="8" w:color="auto"/>
            </w:tcBorders>
          </w:tcPr>
          <w:p>
            <w:pPr>
              <w:spacing w:after="0"/>
              <w:rPr>
                <w:sz w:val="12"/>
                <w:szCs w:val="12"/>
                <w:color w:val="auto"/>
              </w:rPr>
            </w:pPr>
          </w:p>
        </w:tc>
        <w:tc>
          <w:tcPr>
            <w:tcW w:w="2460" w:type="dxa"/>
            <w:vAlign w:val="bottom"/>
            <w:tcBorders>
              <w:top w:val="single" w:sz="8" w:color="auto"/>
            </w:tcBorders>
            <w:gridSpan w:val="2"/>
          </w:tcPr>
          <w:p>
            <w:pPr>
              <w:jc w:val="right"/>
              <w:ind w:right="384"/>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2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6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7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10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5"/>
              </w:rPr>
              <w:t>$   (6,396)</w:t>
            </w:r>
          </w:p>
        </w:tc>
        <w:tc>
          <w:tcPr>
            <w:tcW w:w="280" w:type="dxa"/>
            <w:vAlign w:val="bottom"/>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368</w:t>
            </w:r>
          </w:p>
        </w:tc>
        <w:tc>
          <w:tcPr>
            <w:tcW w:w="1360" w:type="dxa"/>
            <w:vAlign w:val="bottom"/>
            <w:shd w:val="clear" w:color="auto" w:fill="CCEEFF"/>
          </w:tcPr>
          <w:p>
            <w:pPr>
              <w:jc w:val="right"/>
              <w:ind w:right="207"/>
              <w:spacing w:after="0"/>
              <w:rPr>
                <w:sz w:val="20"/>
                <w:szCs w:val="20"/>
                <w:color w:val="auto"/>
              </w:rPr>
            </w:pPr>
            <w:r>
              <w:rPr>
                <w:rFonts w:ascii="Arial" w:cs="Arial" w:eastAsia="Arial" w:hAnsi="Arial"/>
                <w:sz w:val="18"/>
                <w:szCs w:val="18"/>
                <w:color w:val="auto"/>
              </w:rPr>
              <w:t>(1,838.0)%</w:t>
            </w:r>
          </w:p>
        </w:tc>
        <w:tc>
          <w:tcPr>
            <w:tcW w:w="110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89"/>
              </w:rPr>
              <w:t>$  (15,160)</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3,920</w:t>
            </w:r>
          </w:p>
        </w:tc>
        <w:tc>
          <w:tcPr>
            <w:tcW w:w="3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(486.7)%</w:t>
            </w:r>
          </w:p>
        </w:tc>
        <w:tc>
          <w:tcPr>
            <w:tcW w:w="0" w:type="dxa"/>
            <w:vAlign w:val="bottom"/>
          </w:tcPr>
          <w:p>
            <w:pPr>
              <w:spacing w:after="0"/>
              <w:rPr>
                <w:sz w:val="1"/>
                <w:szCs w:val="1"/>
                <w:color w:val="auto"/>
              </w:rPr>
            </w:pPr>
          </w:p>
        </w:tc>
      </w:tr>
      <w:tr>
        <w:trPr>
          <w:trHeight w:val="222"/>
        </w:trPr>
        <w:tc>
          <w:tcPr>
            <w:tcW w:w="4780" w:type="dxa"/>
            <w:vAlign w:val="bottom"/>
          </w:tcPr>
          <w:p>
            <w:pPr>
              <w:spacing w:after="0"/>
              <w:rPr>
                <w:sz w:val="20"/>
                <w:szCs w:val="20"/>
                <w:color w:val="auto"/>
              </w:rPr>
            </w:pPr>
            <w:r>
              <w:rPr>
                <w:rFonts w:ascii="Arial" w:cs="Arial" w:eastAsia="Arial" w:hAnsi="Arial"/>
                <w:sz w:val="18"/>
                <w:szCs w:val="18"/>
                <w:color w:val="auto"/>
              </w:rPr>
              <w:t>% of net revenue</w:t>
            </w:r>
          </w:p>
        </w:tc>
        <w:tc>
          <w:tcPr>
            <w:tcW w:w="1100" w:type="dxa"/>
            <w:vAlign w:val="bottom"/>
          </w:tcPr>
          <w:p>
            <w:pPr>
              <w:jc w:val="right"/>
              <w:ind w:right="84"/>
              <w:spacing w:after="0"/>
              <w:rPr>
                <w:sz w:val="20"/>
                <w:szCs w:val="20"/>
                <w:color w:val="auto"/>
              </w:rPr>
            </w:pPr>
            <w:r>
              <w:rPr>
                <w:rFonts w:ascii="Arial" w:cs="Arial" w:eastAsia="Arial" w:hAnsi="Arial"/>
                <w:sz w:val="18"/>
                <w:szCs w:val="18"/>
                <w:color w:val="auto"/>
              </w:rPr>
              <w:t>(0.7)%</w:t>
            </w:r>
          </w:p>
        </w:tc>
        <w:tc>
          <w:tcPr>
            <w:tcW w:w="280" w:type="dxa"/>
            <w:vAlign w:val="bottom"/>
          </w:tcPr>
          <w:p>
            <w:pPr>
              <w:spacing w:after="0"/>
              <w:rPr>
                <w:sz w:val="19"/>
                <w:szCs w:val="19"/>
                <w:color w:val="auto"/>
              </w:rPr>
            </w:pP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0.0%</w:t>
            </w:r>
          </w:p>
        </w:tc>
        <w:tc>
          <w:tcPr>
            <w:tcW w:w="1360" w:type="dxa"/>
            <w:vAlign w:val="bottom"/>
          </w:tcPr>
          <w:p>
            <w:pPr>
              <w:spacing w:after="0"/>
              <w:rPr>
                <w:sz w:val="19"/>
                <w:szCs w:val="19"/>
                <w:color w:val="auto"/>
              </w:rPr>
            </w:pPr>
          </w:p>
        </w:tc>
        <w:tc>
          <w:tcPr>
            <w:tcW w:w="1100" w:type="dxa"/>
            <w:vAlign w:val="bottom"/>
          </w:tcPr>
          <w:p>
            <w:pPr>
              <w:jc w:val="right"/>
              <w:ind w:right="64"/>
              <w:spacing w:after="0"/>
              <w:rPr>
                <w:sz w:val="20"/>
                <w:szCs w:val="20"/>
                <w:color w:val="auto"/>
              </w:rPr>
            </w:pPr>
            <w:r>
              <w:rPr>
                <w:rFonts w:ascii="Arial" w:cs="Arial" w:eastAsia="Arial" w:hAnsi="Arial"/>
                <w:sz w:val="18"/>
                <w:szCs w:val="18"/>
                <w:color w:val="auto"/>
              </w:rPr>
              <w:t>(0.6)%</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0.2%</w:t>
            </w:r>
          </w:p>
        </w:tc>
        <w:tc>
          <w:tcPr>
            <w:tcW w:w="6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We had an income tax benefit in the three and nine months ended November 2, 2013, and our effective tax benefit was 6.6% and 7.5%, respectively. The income tax benefit for the three months ended November 2, 2013 included the current income tax liability of $4.3 million, which was offset by a net reduction in unrecognized tax benefits of $7.3 million, a $2.5 million tax benefit due to return-to-provision adjustments upon the filing of tax returns and a $0.9 million tax benefit from an increase in the deferred tax asset of a non-U.S. entity due to a change in its statutory tax rate. The net reduction in unrecognized tax benefits arose from the expiration of the statute of limitations, less an increase in current unrecognized tax benefit estimates.</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income tax benefit for the nine months ended November 2, 2013 included the current income tax liability of $11.3 million plus $0.7 million in settlements of audits in non-U.S. jurisdictions, which were offset by a net reduction in unrecognized tax benefits of $23.8 million, a $2.5 million tax benefit due to return-to-provision adjustments upon filing of tax returns in three months ended November 2, 2013 and a $0.9 million tax benefit from an increase in the deferred tax asset of a non-U.S. entity due to a change in its statutory tax rate in the three months ended November 2, 2013. The net reduction in unrecognized tax benefits primarily arose from the expiration of statute of limitations in non-U.S. jurisdictions and from the settlement of two audits in non-U.S. jurisdictions (one for $3.5 million and the other for $4.1 million), less an increase in current unrecognized tax estimates.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For the three and nine months ended October 27, 2012, our effective tax rate was 0.5% and 1.5%, respectively. The income tax provision for the three and nine months ended October 27, 2012 included the current income tax liability of $5.9 million and $14.5 million, respectively, which were primarily offset by net reductions in unrecognized tax benefits of $5.5 million in the three months ended October 27, 2012 and $11.5 million in the nine months ended October 27, 2012. These net reductions in unrecognized tax benefits primarily arose from the expiration of statute of limitations and from the settlement of audits in non-U.S. jurisdictions, less increases in current unrecognized tax benefit estimates.</w:t>
      </w:r>
    </w:p>
    <w:p>
      <w:pPr>
        <w:spacing w:after="0" w:line="116"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$20 million from the lapse of the statutes of limitation in various jurisdictions during the next 12 months.</w:t>
      </w:r>
    </w:p>
    <w:p>
      <w:pPr>
        <w:spacing w:after="0" w:line="107"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We operate under tax holidays in certain countries, which may be extended if certain additional requirements are satisfied. The tax holidays are conditional upon meeting certain employment and investment thresholds. The impact of these tax holidays decreased foreign taxes by $14.9 million for the nine months ended November 2, 2013. The benefit of the tax holidays on net income per share was less than $0.01 per share for the nine months ended November 2, 2013. A new corporate tax rate for Israel was officially published on August 5, 2013. The new rate of 26.5% is applicable beginning January 1, 2014 and includes corporations that are eligible for a beneficial tax regime.</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5"/>
          <w:szCs w:val="15"/>
          <w:color w:val="auto"/>
        </w:rPr>
        <w:t>Our principal source of liquidity as of November 2, 2013 consisted of approximately $1.8 billion of cash, cash equivalents and short-term investments. 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 Specifically, with respect to the CMU litigation, a jury has awarded past damages of $1.17 billion, and CMU has sought pre-judgment damages of up to $322 million, post-judgment interest, attorneys’ fees, and an injunction and/or ongoing royalties. Due to the finding of willfulness during post trial proceedings, the judge could enhance the damages by an amount up to triple the damages awarded by the jury at trial. We intend to appeal the final judgment and we would seek to stay any award of damages pending the appeal. We strongly believe that we do not infringe on the methods described in the CMU patents and that our products use our own internally developed patented read channel technology. See the section entitled “Off-Balance Sheet Arrangements” below for a discussion of the effects on liquidity from the CMU litigation.</w:t>
      </w:r>
    </w:p>
    <w:p>
      <w:pPr>
        <w:spacing w:after="0" w:line="116"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Net cash provided by operating activities was $347.6 million for the nine months ended November 2, 2013. The cash inflows from operations for the nine months ended November 2, 2013 were due to $450.5 million of net income adjusted for non-cash items, partially offset by a negative effect from changes in working capital of $102.9 million. The cash outflow from working capital for the nine months ended November 2, 2013 was primarily driven by an increase in accounts receivable from higher revenue levels and higher inventories due to the ramp up of new products. This negative impact on working capital was partially offset by an increase in accounts payable primarily due to higher levels of production during the third quarter of fiscal 2014.</w:t>
      </w:r>
    </w:p>
    <w:p>
      <w:pPr>
        <w:spacing w:after="0" w:line="116" w:lineRule="exact"/>
        <w:rPr>
          <w:sz w:val="20"/>
          <w:szCs w:val="20"/>
          <w:color w:val="auto"/>
        </w:rPr>
      </w:pPr>
    </w:p>
    <w:p>
      <w:pPr>
        <w:jc w:val="both"/>
        <w:ind w:right="220" w:firstLine="456"/>
        <w:spacing w:after="0" w:line="259" w:lineRule="auto"/>
        <w:rPr>
          <w:sz w:val="20"/>
          <w:szCs w:val="20"/>
          <w:color w:val="auto"/>
        </w:rPr>
      </w:pPr>
      <w:r>
        <w:rPr>
          <w:rFonts w:ascii="Arial" w:cs="Arial" w:eastAsia="Arial" w:hAnsi="Arial"/>
          <w:sz w:val="18"/>
          <w:szCs w:val="18"/>
          <w:color w:val="auto"/>
        </w:rPr>
        <w:t>Net cash provided by operating activities was $524.4 million for the nine months ended October 27, 2012. The cash inflows from operations for the nine months ended October 27, 2012 were primarily due to $458.8 million of net income adjusted for non-cash items and a positive effect from changes in working capital of $65.6 million.</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Investing Activities</w:t>
      </w:r>
    </w:p>
    <w:p>
      <w:pPr>
        <w:spacing w:after="0" w:line="90"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Net cash provided in investing activities was $82.1 million for the nine months ended November 2, 2013 compared to net cash provided by investing activities of $45.9 million for the nine months ended October 27, 2012. For the nine months ended November 2, 2013, net cash provided in investing activities was primarily generated from the sales and maturities of available-for-sale securities of $845.5 million less purchases of available-for-sale securities of $691.7 million. In addition, we paid $53.3 million for the purchase of property and equipment and $14.0 million for the purchase of technology licenses.</w:t>
      </w:r>
    </w:p>
    <w:p>
      <w:pPr>
        <w:spacing w:after="0" w:line="113" w:lineRule="exact"/>
        <w:rPr>
          <w:sz w:val="20"/>
          <w:szCs w:val="20"/>
          <w:color w:val="auto"/>
        </w:rPr>
      </w:pPr>
    </w:p>
    <w:p>
      <w:pPr>
        <w:ind w:right="380" w:firstLine="456"/>
        <w:spacing w:after="0" w:line="259" w:lineRule="auto"/>
        <w:rPr>
          <w:sz w:val="20"/>
          <w:szCs w:val="20"/>
          <w:color w:val="auto"/>
        </w:rPr>
      </w:pPr>
      <w:r>
        <w:rPr>
          <w:rFonts w:ascii="Arial" w:cs="Arial" w:eastAsia="Arial" w:hAnsi="Arial"/>
          <w:sz w:val="18"/>
          <w:szCs w:val="18"/>
          <w:color w:val="auto"/>
        </w:rPr>
        <w:t>Net cash provided by investing activities for the nine months ended October 27, 2012 was generated from the sales and maturities of available-for-sale securities of $1.3 billion less purchases of available-for-sale securities of $1.2 billion. In addition, we paid $49.1 million for the purchase of property and equipment and $10.7 million for the purchase of technology licenses.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Net cash used in financing activities was $385.2 million for the nine months ended November 2, 2013 compared to net cash used in financing activities of $687.0 million for the nine months ended October 27, 2012. For the nine months ended November 2, 2013, net cash used in financing activities was primarily attributable to repurchases under our share repurchase program. Adjusted for the change in the current quarter and prior year for repurchases made within the final three days of a quarter that were accrued but not yet paid due to the standard three-day settlement period, we paid $376.3 million to repurchase shares during the nine months ended November 2, 2013. We also made payments of our quarterly dividends of $89.6 million. The cash outflow was partially offset by net proceeds of $86.9 million from the issuance of our common shares under our share-based plans less the minimum tax withholding on behalf of employees for net share settlements.</w:t>
      </w:r>
    </w:p>
    <w:p>
      <w:pPr>
        <w:spacing w:after="0" w:line="147"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Net cash used in financing activities for the nine months ended October 27, 2012 was primarily attributable to repurchases under our share repurchase program of 57.3 million of our common shares in the open market for $676.5 million. The cash outflow was partially offset by net proceeds of $56.4 million from the issuance of our common shares under our share-based plans less the minimum tax withholding paid on behalf of employees for net share settlements.</w:t>
      </w:r>
    </w:p>
    <w:p>
      <w:pPr>
        <w:spacing w:after="0" w:line="2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plan to appeal the final judgment issued by the District Court in the CMU litigation, regardless of the dollar amount of the final judgment. We anticipate that we will need a surety bond in connection with our appeal of the judgment to the U.S. Court of Appeals for the Federal Circuit in Washington D.C., or possibly sooner while rulings on the remaining post-trial motions are pending. During October 2013, we entered into indemnity agreements with a consortium of insurers that would provide financial assurance that each of the insurers will be indemnified by us should a loss occur under a surety bond. We expect that under a surety bond, the surety companies would agree to guarantee to the District Court in Pittsburgh our payment of a specific amount, to be determined. Under a surety bond, cash, cash equivalents, and short term investments may need to be posted as collateral and classified as restricted cash in future filings. As of November 2, 2013 and as of the date of this filing, no surety bond has been issued. Therefore, these indemnity agreements have had no impact to our Condensed Consolidated Balance Sheets as of November 2, 2013.</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We presented our contractual obligations at February 2, 2013 in our Annual Report on Form 10-K for the fiscal year then ended. There have been no material changes outside the ordinary course of business in those obligations during the three months ended August 3, 2013, other than as noted under the section entitled “Off-Balance Sheet Arrangements” above.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November 2, 2013.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and corporate debt securities. These investments are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November 2, 2013, a hypothetical 100 basis point increase in interest rates across all maturities would result in a $14.3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16"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As of November 2, 2013, our investment portfolio included $19.2 million in par value of auction rate securities. Beginning in February 2008, liquidity issues in the global credit markets resulted in a failure of auction rate securities, as the amount of securities submitted for sale in those auctions exceeded the amount of bids. Since this time, many of the issuers have refinanced their debt and paid down the auction rate securities which have resulted in a smaller pool of outstanding securities. Although these securities have continued to pay interest and show an improvement in the underlying collateralization, there is currently limited trading volume.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 As of November 2, 2013, the fair value of auction rate securities in our investment portfolio was $3.0 million less than par value and the fair value was recorded in long-term investments.</w:t>
      </w:r>
    </w:p>
    <w:p>
      <w:pPr>
        <w:spacing w:after="0" w:line="118"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Based on our balance of approximately $1.8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income, a component of shareholders’ equity.</w:t>
      </w:r>
    </w:p>
    <w:p>
      <w:pPr>
        <w:spacing w:after="0" w:line="14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for these investments under the cost</w:t>
      </w:r>
      <w:r>
        <w:rPr>
          <w:rFonts w:ascii="Arial" w:cs="Arial" w:eastAsia="Arial" w:hAnsi="Arial"/>
          <w:sz w:val="18"/>
          <w:szCs w:val="18"/>
          <w:i w:val="1"/>
          <w:iCs w:val="1"/>
          <w:color w:val="auto"/>
        </w:rPr>
        <w:t xml:space="preserve"> </w:t>
      </w:r>
      <w:r>
        <w:rPr>
          <w:rFonts w:ascii="Arial" w:cs="Arial" w:eastAsia="Arial" w:hAnsi="Arial"/>
          <w:sz w:val="18"/>
          <w:szCs w:val="18"/>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$15.1 million at November 2, 2013,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20" w:firstLine="456"/>
        <w:spacing w:after="0" w:line="310" w:lineRule="auto"/>
        <w:rPr>
          <w:sz w:val="20"/>
          <w:szCs w:val="20"/>
          <w:color w:val="auto"/>
        </w:rPr>
      </w:pPr>
      <w:r>
        <w:rPr>
          <w:rFonts w:ascii="Arial" w:cs="Arial" w:eastAsia="Arial" w:hAnsi="Arial"/>
          <w:sz w:val="15"/>
          <w:szCs w:val="15"/>
          <w:color w:val="auto"/>
        </w:rPr>
        <w:t>We engage in hedging transactions to help mitigate some of the volatility to forecasted cash flows due to changes in foreign exchange rates, and in particular hedge a portion of the forecasted Israeli shekel expenses.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10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3.9%. We expect our hedges of foreign currency exposures to be highly effective and offset a significant portion of the short-term impact of changes in exchange rates.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00"/>
          </w:cols>
          <w:pgMar w:left="240" w:top="459" w:right="2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Interim Chief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(“SEC”) and that such information is accumulated and communicated to management, including the Chief Executive Officer and Interim Chief Financial Officer, as appropriate, to allow timely decisions regarding required disclosure. Based on this evaluation, our Chief Executive Officer and Interim Chief Financial Officer concluded that, as of November 2, 2013, our disclosure controls and procedures were effective to provide reasonable assurance.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November 2, 2013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February 2, 2013 and subsequent reports on Forms 10-Q and 8-K. Many of these risks and uncertainties are beyond our control, including business cycles and seasonal trends of the computing, semiconductor and related industries.</w:t>
      </w:r>
    </w:p>
    <w:p>
      <w:pPr>
        <w:spacing w:after="0" w:line="19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January 30, 2011 through November 2, 2013, our common shares have traded as low as $6.98 and as high as $20.42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this trend to platform integration.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8"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In addition, the semiconductor providers competing in the mobile and wireless communication markets have recently experienced consolidation. For example, Broadcom Corporation acquired NetLogic Microsystems in February 2011 and Texas Instruments Incorporated acquired National Semiconductor in September 2011.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w:t>
      </w:r>
    </w:p>
    <w:p>
      <w:pPr>
        <w:spacing w:after="0" w:line="14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HDDs. For example, products using alternative technologies, such as solid-state flash drives and other storage technologies could become a source of competition to manufacturers of HDDs. Although we offer SSD controllers, leveraging our technology in hard drives, we cannot ensure we will be able to maintain significant market share if demand for traditional HDDs decreases.</w:t>
      </w:r>
    </w:p>
    <w:p>
      <w:pPr>
        <w:spacing w:after="0" w:line="224"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are currently involved in a patent litigation action involving Carnegie Mellon University, and, if we do not prevail on our post trial motions or our appeal of the verdict, we could be liable for substantial damages.</w:t>
      </w:r>
    </w:p>
    <w:p>
      <w:pPr>
        <w:spacing w:after="0" w:line="51"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On March 6, 2009, Carnegie Mellon University (“CMU”) filed a complaint in the U.S. District Court for the Western District of Pennsylvania naming MSI and us as defendants and alleging patent infringement. CMU has asserted U.S. Patent Nos. 6,201,839 and 6,438,180 (collectively, the “CMU patents in suit”), which relate to read-channel integrated circuit devices and the HDD products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5" w:lineRule="auto"/>
        <w:rPr>
          <w:sz w:val="20"/>
          <w:szCs w:val="20"/>
          <w:color w:val="auto"/>
        </w:rPr>
      </w:pPr>
      <w:r>
        <w:rPr>
          <w:rFonts w:ascii="Arial" w:cs="Arial" w:eastAsia="Arial" w:hAnsi="Arial"/>
          <w:sz w:val="16"/>
          <w:szCs w:val="16"/>
          <w:color w:val="auto"/>
        </w:rPr>
        <w:t>incorporating such devices. A jury trial began on November 26, 2012. On December 26, 2012, a jury delivered a verdict that found the CMU patents in suit were literally and willfully infringed and valid, and awarded past damages in the amount of $1.17 billion. Due to the finding of willfulness during post trial proceedings, the judge could enhance the damages by an amount up to triple the damages awarded by the jury at trial. In addition, CMU has disclosed in its post trial motions that it is seeking pre-judgment interest up to $322 million, post-judgment interest, attorneys’ fees, and an injunction and/or ongoing royalties. Post trial motions were heard on May 1 and 2, 2013. On June 26, 2013, the District Court denied CMU’s post-trial motion for attorney fees without prejudice. On August 23, 2013, the District Court denied our motion for mistrial. On September 23, 2013, the District Court denied our motion for judgment as a matter of law or a new trial on non-infringement, invalidity and other non-damages issues as well as our motion for reduced damages. On the same day, the District Court granted-in-part CMU’s motion for a finding of willful infringement and enhanced damages, reserving its further rulings on the motion for a forthcoming opinion. On December 6, 2013, CMU filed a motion to permit registration of judgment and a motion for supplemental relief including a request to enjoin future share repurchases, any leveraged buyout or similar asset leveraging transaction, and dividends (including the dividend scheduled for December 23, 2013), in the absence of a court approved bond or other security. CMU requested expedited briefing but the District Court has not set a briefing schedule for CMU’s latest motions, and has yet to rule on the Company’s laches defense as well as CMU’s injunction motion. We believe that there are strong grounds for appeal and we intend to vigorously challenge the District Court’s judgment via an appeal to the U.S. Court of Appeals for the Federal Circuit in Washington, D.C., but there is no guarantee that we will be successful on appeal. Please see “Note 10 – Commitments and Contingencies” of our Notes to Unaudited Condensed Consolidated Financial Statements set forth in Part I, Item 1 of this Quarterly Report on Form 10-Q for a more detailed description of a number of litigation matters we are currently engaged in. Should the judge in the CMU case grant an injunction or if we are required to pay most or all of the damages awarded by the jury after all appeals have been exhausted, this could have a material adverse effect on our business, financial condition, results of operations and cash flows.</w:t>
      </w:r>
    </w:p>
    <w:p>
      <w:pPr>
        <w:spacing w:after="0" w:line="12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plan to appeal the final judgment issued by the District Court in the CMU litigation, regardless of the dollar amount of the final judgment. We anticipate that we will need a surety bond in connection with our appeal of the judgment to the U.S. Court of Appeals for the Federal Circuit in Washington D.C., or possibly sooner while rulings on the remaining post-trial motions are pending. During October 2013, we entered into indemnity agreements with a consortium of insurers that would provide financial assurance that each of the insurers will be indemnified by us should a loss occur under a surety bond. We expect that under a surety bond, the surety companies would agree to guarantee to the District Court in Pittsburgh our payment of a specific amount, to be determined. Under a surety bond, cash, cash equivalents, and short term investments may need to be posted as collateral and classified as restricted cash in future filings. As of November 2, 2013 and as of the date of this filing, no surety bond has been issued. Therefore, these indemnity agreements have had no impact to our Condensed Consolidated Balance Sheets as of November 2, 2013.</w:t>
      </w:r>
    </w:p>
    <w:p>
      <w:pPr>
        <w:spacing w:after="0" w:line="199" w:lineRule="exact"/>
        <w:rPr>
          <w:sz w:val="20"/>
          <w:szCs w:val="20"/>
          <w:color w:val="auto"/>
        </w:rPr>
      </w:pPr>
    </w:p>
    <w:p>
      <w:pPr>
        <w:ind w:right="2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a jury has awarded past damages in the amount of $1.17 billion in our litigation with CMU. If we receive a significant adverse judgment in any litigation matter that is ultimately upheld after all appeals, our results of operations, financial position and cash flows will be adversely affected.</w:t>
      </w:r>
    </w:p>
    <w:p>
      <w:pPr>
        <w:spacing w:after="0" w:line="143" w:lineRule="exact"/>
        <w:rPr>
          <w:sz w:val="20"/>
          <w:szCs w:val="20"/>
          <w:color w:val="auto"/>
        </w:rPr>
      </w:pPr>
    </w:p>
    <w:p>
      <w:pPr>
        <w:ind w:right="100" w:firstLine="456"/>
        <w:spacing w:after="0" w:line="25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notices that allege claims of infringement, misappropriation or misuse of the intellectual property rights of third parties. In addition to standards-based infringement claims, infringement claims have also been directed against us and our subsidiaries’ proprietary technologies, particularly those related to storage technology, microprocessors and other circuit components. We have also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66" w:lineRule="exact"/>
        <w:rPr>
          <w:sz w:val="20"/>
          <w:szCs w:val="20"/>
          <w:color w:val="auto"/>
        </w:rPr>
      </w:pPr>
    </w:p>
    <w:p>
      <w:pPr>
        <w:ind w:left="900" w:right="40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380"/>
          </w:cols>
          <w:pgMar w:left="240" w:top="459" w:right="27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 If we are required to make a significant payment under any of our indemnification obligations, our result of operations may be harmed.</w:t>
      </w:r>
    </w:p>
    <w:p>
      <w:pPr>
        <w:spacing w:after="0" w:line="194"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36% and 34% of our net revenue for the nine months ended November 2, 2013 and October 27, 2012,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0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develop their own solutions;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customers may be subject to severe business disruptions.</w:t>
      </w:r>
    </w:p>
    <w:p>
      <w:pPr>
        <w:spacing w:after="0" w:line="252"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Substantially all of our products are manufactured by third party foundries located in Taiwan. Our other sources for manufacturing are located in China and Singapore. In addition, substantially all of our third party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including earthquakes, tsunamis or typhoons, or by political changes.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and may be subject to additional earthquakes that could disrupt manufacturing operations.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0" w:lineRule="exact"/>
        <w:rPr>
          <w:sz w:val="20"/>
          <w:szCs w:val="20"/>
          <w:color w:val="auto"/>
        </w:rPr>
      </w:pPr>
    </w:p>
    <w:p>
      <w:pPr>
        <w:jc w:val="both"/>
        <w:ind w:right="260" w:firstLine="456"/>
        <w:spacing w:after="0" w:line="298" w:lineRule="auto"/>
        <w:rPr>
          <w:sz w:val="20"/>
          <w:szCs w:val="20"/>
          <w:color w:val="auto"/>
        </w:rPr>
      </w:pPr>
      <w:r>
        <w:rPr>
          <w:rFonts w:ascii="Arial" w:cs="Arial" w:eastAsia="Arial" w:hAnsi="Arial"/>
          <w:sz w:val="16"/>
          <w:szCs w:val="16"/>
          <w:color w:val="auto"/>
        </w:rPr>
        <w:t>Despite our strategy to move to a dual source,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13"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4" w:lineRule="exact"/>
        <w:rPr>
          <w:sz w:val="20"/>
          <w:szCs w:val="20"/>
          <w:color w:val="auto"/>
        </w:rPr>
      </w:pPr>
    </w:p>
    <w:p>
      <w:pPr>
        <w:ind w:right="20" w:firstLine="456"/>
        <w:spacing w:after="0" w:line="310" w:lineRule="auto"/>
        <w:rPr>
          <w:sz w:val="20"/>
          <w:szCs w:val="20"/>
          <w:color w:val="auto"/>
        </w:rPr>
      </w:pPr>
      <w:r>
        <w:rPr>
          <w:rFonts w:ascii="Arial" w:cs="Arial" w:eastAsia="Arial" w:hAnsi="Arial"/>
          <w:sz w:val="15"/>
          <w:szCs w:val="15"/>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 to time become restricted, or general market factors and conditions may affect pricing of such commodities. Over the past few years, the price of gold increased significantly and certain of our supply chain partners assessed surcharges to compensate for the resultant increase in manufacturing costs. As a result, our gross margins have been adversely affected by increases in the price of gold. We are currently restructuring certain manufacturing processes to use copper instead of gold in our products. In transitioning from gold to copper, because the capacity of either wafer producers or assemblers can be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18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2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80" w:firstLine="456"/>
        <w:spacing w:after="0" w:line="312" w:lineRule="auto"/>
        <w:rPr>
          <w:sz w:val="20"/>
          <w:szCs w:val="20"/>
          <w:color w:val="auto"/>
        </w:rPr>
      </w:pPr>
      <w:r>
        <w:rPr>
          <w:rFonts w:ascii="Arial" w:cs="Arial" w:eastAsia="Arial" w:hAnsi="Arial"/>
          <w:sz w:val="15"/>
          <w:szCs w:val="15"/>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w:t>
      </w:r>
    </w:p>
    <w:p>
      <w:pPr>
        <w:spacing w:after="0" w:line="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 in a timely manner. Even if new and enhanced products are introduced to the market, we and our customers may not be able to achieve market acceptance of them.</w:t>
      </w:r>
    </w:p>
    <w:p>
      <w:pPr>
        <w:spacing w:after="0" w:line="120"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22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In addition, these new markets may have lower standard gross margins than the traditional markets we have served.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can harm our financial results.</w:t>
      </w:r>
    </w:p>
    <w:p>
      <w:pPr>
        <w:spacing w:after="0" w:line="12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continue to have to reduce prices in the future.</w:t>
      </w:r>
    </w:p>
    <w:p>
      <w:pPr>
        <w:spacing w:after="0" w:line="224"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28"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5"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08"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3"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We had approximately $2.0 billion of goodwill and $61.1 million of acquired intangible assets, net on our balance sheet as of November 2, 2013. Under generally accepted accounting principles in the United States (“GAAP”), we are required to review our intangible assets including goodwill for impairment whenever events or changes in circumstances indicate that the carrying value of these assets may not be recoverable. We perform an assessment of goodwill for impairment annually or more frequently whenever events or changes in circumstances indicate that the carrying value of such assets may not be recoverable. We have only one reporting unit, and the fair value of the reporting unit is determined by taking our market capitalization as determined through quoted market prices and adjusted for a control premium and other relevant factors. If our fair value declines to below our carrying value, we could incur significant goodwill impairment charges.</w:t>
      </w:r>
    </w:p>
    <w:p>
      <w:pPr>
        <w:spacing w:after="0" w:line="147" w:lineRule="exact"/>
        <w:rPr>
          <w:sz w:val="20"/>
          <w:szCs w:val="20"/>
          <w:color w:val="auto"/>
        </w:rPr>
      </w:pPr>
    </w:p>
    <w:p>
      <w:pPr>
        <w:jc w:val="both"/>
        <w:ind w:right="80" w:firstLine="456"/>
        <w:spacing w:after="0" w:line="298" w:lineRule="auto"/>
        <w:rPr>
          <w:sz w:val="20"/>
          <w:szCs w:val="20"/>
          <w:color w:val="auto"/>
        </w:rPr>
      </w:pPr>
      <w:r>
        <w:rPr>
          <w:rFonts w:ascii="Arial" w:cs="Arial" w:eastAsia="Arial" w:hAnsi="Arial"/>
          <w:sz w:val="16"/>
          <w:szCs w:val="16"/>
          <w:color w:val="auto"/>
        </w:rPr>
        <w:t>During the year ended February 2, 2013, we experienced a continued decline in our stock price which caused a substantial reduction in the reporting unit’s excess fair value over its net book value. Although we determined the fair value of our company was in excess of our carrying value, and therefore there was no impairment of goodwill as of February 2, 2013, if at some point our stock price were to decline and erodes our total market capitalization, we may be required to record an impairment charge in the future that could be material to our operating results.</w:t>
      </w:r>
    </w:p>
    <w:p>
      <w:pPr>
        <w:spacing w:after="0" w:line="113"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jc w:val="both"/>
        <w:ind w:right="40" w:firstLine="456"/>
        <w:spacing w:after="0" w:line="306" w:lineRule="auto"/>
        <w:rPr>
          <w:sz w:val="20"/>
          <w:szCs w:val="20"/>
          <w:color w:val="auto"/>
        </w:rPr>
      </w:pPr>
      <w:r>
        <w:rPr>
          <w:rFonts w:ascii="Arial" w:cs="Arial" w:eastAsia="Arial" w:hAnsi="Arial"/>
          <w:sz w:val="16"/>
          <w:szCs w:val="16"/>
          <w:color w:val="auto"/>
        </w:rPr>
        <w:t>The competition for qualified technical personnel with significant experience in the design, development, manufacturing, marketing and sales of integrated circuits is intense.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88"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95% of our net revenue in the nine months ended November 2, 2013, 90% of our net revenue in fiscal 2013 and 88% of our net revenue in fiscal 2012.</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40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160" w:firstLine="456"/>
        <w:spacing w:after="0" w:line="289"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In prior years, we have entered into agreements in certain foreign jurisdictions that if certain criteria are met, the foreign jurisdiction will provide a more favorable tax rate than their current statutory rate.</w:t>
      </w:r>
    </w:p>
    <w:p>
      <w:pPr>
        <w:spacing w:after="0" w:line="132"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We have obtained an undertaking from the Minister of Finance of Bermuda in fiscal 2013 under the Exempt Undertakings Tax Protection Act 1966, as amended, that in the event Bermuda enacts legislation imposing tax computed on profits, income, or capital asset, gain or appreciation, then the imposition of any such taxes will not apply to us until March 31, 2035. We cannot assure that any future elected Government of Bermuda would not amend the Exempted Undertaking Tax Protection Act 1966 such that tax would be imposed in Bermuda.</w:t>
      </w:r>
    </w:p>
    <w:p>
      <w:pPr>
        <w:spacing w:after="0" w:line="143"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EDB initially granted a 10 year Pioneer Status in July 1999 to our subsidiary in Singapore if the Company meets several requirements as to investments, headcount and activities. In June 2006, the EDB agreed to extend the Pioneer status to 15 years to June 2014 rather than 10 years. We have begun early discussions with the EDB regarding incentives after June 2014.</w:t>
      </w:r>
    </w:p>
    <w:p>
      <w:pPr>
        <w:spacing w:after="0" w:line="140" w:lineRule="exact"/>
        <w:rPr>
          <w:sz w:val="20"/>
          <w:szCs w:val="20"/>
          <w:color w:val="auto"/>
        </w:rPr>
      </w:pPr>
    </w:p>
    <w:p>
      <w:pPr>
        <w:jc w:val="both"/>
        <w:ind w:right="40" w:firstLine="456"/>
        <w:spacing w:after="0" w:line="302" w:lineRule="auto"/>
        <w:rPr>
          <w:sz w:val="20"/>
          <w:szCs w:val="20"/>
          <w:color w:val="auto"/>
        </w:rPr>
      </w:pPr>
      <w:r>
        <w:rPr>
          <w:rFonts w:ascii="Arial" w:cs="Arial" w:eastAsia="Arial" w:hAnsi="Arial"/>
          <w:sz w:val="15"/>
          <w:szCs w:val="15"/>
          <w:color w:val="auto"/>
        </w:rPr>
        <w:t>Under the Israeli Encouragement law of “approved or benefited enterprise,” two branches of Marvell Israel (M.I.S.L.) Ltd. (“MISL”), the GTL branch and the cellular branch (formerly Marvell DSPC), are entitled to approved and benefited tax programs that include reduced tax rates and exemption of certain income. The first program was approved for MISL in fiscal 1996 and the most recent was started in fiscal 2013. The cellular branch has five approved programs and three benefited programs, with the first approved in fiscal 1991 and the most recent benefited enterprise started in fiscal 2011. The benefit period is generally 10 to</w:t>
      </w:r>
    </w:p>
    <w:p>
      <w:pPr>
        <w:spacing w:after="0" w:line="3" w:lineRule="exact"/>
        <w:rPr>
          <w:sz w:val="20"/>
          <w:szCs w:val="20"/>
          <w:color w:val="auto"/>
        </w:rPr>
      </w:pPr>
    </w:p>
    <w:p>
      <w:pPr>
        <w:jc w:val="both"/>
        <w:ind w:right="60"/>
        <w:spacing w:after="0" w:line="255" w:lineRule="auto"/>
        <w:rPr>
          <w:sz w:val="20"/>
          <w:szCs w:val="20"/>
          <w:color w:val="auto"/>
        </w:rPr>
      </w:pPr>
      <w:r>
        <w:rPr>
          <w:rFonts w:ascii="Arial" w:cs="Arial" w:eastAsia="Arial" w:hAnsi="Arial"/>
          <w:sz w:val="18"/>
          <w:szCs w:val="18"/>
          <w:color w:val="auto"/>
        </w:rPr>
        <w:t>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2008 through fiscal 2027.</w:t>
      </w:r>
    </w:p>
    <w:p>
      <w:pPr>
        <w:spacing w:after="0" w:line="144"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During fiscal 2007, each of the Swiss Federal Department of Economy and the Vaud Cantonal Tax Administration granted our subsidiary in Switzerland a 10 year tax holiday on revenues from research and design and wafer supply trading activities that will expire in 2016. In fiscal 2011, we met the requirements of the initial five year period and we will receive the ongoing tax holiday benefits provided that we continue to meet the ongoing requirements.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275"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225"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201"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5"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include telecommunications, the Internet, our corporate intranet, various computer hardware and software applications, network communications and e-mail. These information technology systems are subject to damage or interruption from a number of potential sources including natural disasters, viruses, destructive or inadequate code, malware, power failures, cyber attacks, and other events. To the extent that these information systems are under our control, we have implemented security procedures, such as virus protection software and emergency recovery processes, to address the outlined risks. We may incur significant costs in order to implement, maintain and/or update security systems that we feel are necessary to protect our information systems. A material breach in the security of our information systems could include the theft of our intellectual property or trade secrets, negatively impact our operations, or result in the compromise of personal and confidential information of our employees, customers or suppliers. While we believe that our information technology systems are appropriately controlled and that we have processes in place to adequately mitigate these risks, security procedures for information systems cannot be guaranteed to be failsafe. To the extent that any system failure, accident or security breach results in disruptions or interruptions to our operations or the theft, loss or disclosure of, or damage to our data or confidential information, our reputation, business, results of operations and/or financial condition could be materially adversely affected. In addition, a miscalculation of the level of investment needed to ensure our technology solutions are current and up-to-date as technology advances and evolves could result in disruptions in our business should the software, hardware or maintenance of such items become out-of-date or obsolete. Furthermore, when we implement new systems and/or upgrade existing systems, there is a risk that our business may be temporarily disrupted during the period of implementation.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10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2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30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right="20" w:firstLine="456"/>
        <w:spacing w:after="0" w:line="289"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see “Note 10 – Commitments and Contingencies” of our Notes to Unaudited Condensed Consolidated Financial Statements set forth in Part I, Item 1 of this Quarterly Report on Form 10-Q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In addition,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18"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2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There is also a regulation to improve the transparency and accountability concerning the supply of minerals coming from the conflict zones in and around the Democratic Republic of Congo. New U.S. legislation includes disclosure requirements regarding the use of conflict minerals mined from the Democratic Republic of Congo and adjoining countries and procedures regarding a manufacturer’s efforts to prevent the sourcing of such conflict minerals. The implementation of these requirements could affect the sourcing and availability of minerals used in the manufacture of semiconductor devices. As a result, there may only be a limited pool of suppliers who provide conflict-free metals, and we cannot assure you that we will be able to obtain products in sufficient quantities or at competitive prices.</w:t>
      </w:r>
    </w:p>
    <w:p>
      <w:pPr>
        <w:spacing w:after="0" w:line="144"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costs of complying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13"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May 2012, we announced the declaration of our first quarterly cash dividend. Future payment of a regular quarterly cash dividend on our common shares will be subject to, among other things, our results of operations, cash balances and future cash requirements, financial condition, statutory requirements of Bermuda law, on-going litigation with CMU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Our management is responsible for maintaining effective internal control over financial reporting and for assessing the effectiveness of internal control over financial reporting included in each Annual Report on Form 10-K.</w:t>
      </w:r>
    </w:p>
    <w:p>
      <w:pPr>
        <w:spacing w:after="0" w:line="98"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Our management, including our Chief Executive Officer and Interim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right="40"/>
        <w:spacing w:after="0" w:line="357" w:lineRule="auto"/>
        <w:rPr>
          <w:sz w:val="20"/>
          <w:szCs w:val="20"/>
          <w:color w:val="auto"/>
        </w:rPr>
      </w:pPr>
      <w:r>
        <w:rPr>
          <w:rFonts w:ascii="Arial" w:cs="Arial" w:eastAsia="Arial" w:hAnsi="Arial"/>
          <w:sz w:val="15"/>
          <w:szCs w:val="15"/>
          <w:b w:val="1"/>
          <w:bCs w:val="1"/>
          <w:i w:val="1"/>
          <w:iCs w:val="1"/>
          <w:color w:val="auto"/>
        </w:rPr>
        <w:t>Three of our officers own a large percentage of our voting stock and are related by blood or marriage. These factors may allow the officers and directors as a group or the three related employees to influence the election of directors and the approval or disapproval of significant corporate actions.</w:t>
      </w:r>
    </w:p>
    <w:p>
      <w:pPr>
        <w:ind w:right="60" w:firstLine="456"/>
        <w:spacing w:after="0" w:line="291" w:lineRule="auto"/>
        <w:rPr>
          <w:sz w:val="20"/>
          <w:szCs w:val="20"/>
          <w:color w:val="auto"/>
        </w:rPr>
      </w:pPr>
      <w:r>
        <w:rPr>
          <w:rFonts w:ascii="Arial" w:cs="Arial" w:eastAsia="Arial" w:hAnsi="Arial"/>
          <w:sz w:val="16"/>
          <w:szCs w:val="16"/>
          <w:color w:val="auto"/>
        </w:rPr>
        <w:t>Dr. Sehat Sutardja, our Chairman and Chief Executive Officer, and Weili Dai, who serves as our President, are husband and wife, and Dr. Sehat Sutardja and Dr. Pantas Sutardja, our Vice President, Chief Technology Officer and Chief Research and Development Officer, are brothers. Together, these three individuals held approximately 21% of our outstanding common shares as of November 2, 2013.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2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Derivative actions may be available in certain circumstances,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example, where an act requiring the approval of a greater percentage of the company’s shareholders than those who actually approved it.</w:t>
      </w:r>
    </w:p>
    <w:p>
      <w:pPr>
        <w:spacing w:after="0" w:line="12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380"/>
          </w:cols>
          <w:pgMar w:left="240" w:top="459" w:right="27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securities laws. This waiver will limit the rights of our shareholders to assert claims against our officers and directors unless the act complained of involves fraud or dishonesty. Therefore, so long as acts of business judgment do not involve fraud or dishonesty, they will not be subject to shareholder claims under Bermuda law. For example, shareholders will not have claims against officers and directors for a breach of trust, unless the breach rises to the level of fraud or dishonesty.</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459" w:right="2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900" w:hanging="325"/>
        <w:spacing w:after="0" w:line="332" w:lineRule="auto"/>
        <w:tabs>
          <w:tab w:leader="none" w:pos="90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 shareholder vote requiring the approval of two-thirds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jc w:val="center"/>
        <w:ind w:right="60"/>
        <w:spacing w:after="0" w:line="440" w:lineRule="auto"/>
        <w:rPr>
          <w:sz w:val="20"/>
          <w:szCs w:val="20"/>
          <w:color w:val="auto"/>
        </w:rPr>
      </w:pPr>
      <w:r>
        <w:rPr>
          <w:rFonts w:ascii="Arial" w:cs="Arial" w:eastAsia="Arial" w:hAnsi="Arial"/>
          <w:sz w:val="18"/>
          <w:szCs w:val="18"/>
          <w:color w:val="auto"/>
        </w:rPr>
        <w:t>These foregoing provisions could make it more difficult for a third party to acquire us, even if doing so would be a benefit to our shareholders. 48</w:t>
      </w:r>
    </w:p>
    <w:p>
      <w:pPr>
        <w:sectPr>
          <w:pgSz w:w="11900" w:h="16838" w:orient="portrait"/>
          <w:cols w:equalWidth="0" w:num="1">
            <w:col w:w="11000"/>
          </w:cols>
          <w:pgMar w:left="240" w:top="459" w:right="65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November 2, 2013.</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repurchases during the three months ended November 2, 2013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38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700" w:type="dxa"/>
            <w:vAlign w:val="bottom"/>
          </w:tcPr>
          <w:p>
            <w:pPr>
              <w:jc w:val="center"/>
              <w:spacing w:after="0"/>
              <w:rPr>
                <w:sz w:val="20"/>
                <w:szCs w:val="20"/>
                <w:color w:val="auto"/>
              </w:rPr>
            </w:pPr>
            <w:r>
              <w:rPr>
                <w:rFonts w:ascii="Arial" w:cs="Arial" w:eastAsia="Arial" w:hAnsi="Arial"/>
                <w:sz w:val="14"/>
                <w:szCs w:val="14"/>
                <w:b w:val="1"/>
                <w:bCs w:val="1"/>
                <w:color w:val="auto"/>
                <w:w w:val="87"/>
              </w:rPr>
              <w:t>Total Number of Shares</w:t>
            </w:r>
          </w:p>
        </w:tc>
        <w:tc>
          <w:tcPr>
            <w:tcW w:w="160" w:type="dxa"/>
            <w:vAlign w:val="bottom"/>
          </w:tcPr>
          <w:p>
            <w:pPr>
              <w:spacing w:after="0"/>
              <w:rPr>
                <w:sz w:val="14"/>
                <w:szCs w:val="14"/>
                <w:color w:val="auto"/>
              </w:rPr>
            </w:pPr>
          </w:p>
        </w:tc>
        <w:tc>
          <w:tcPr>
            <w:tcW w:w="1840" w:type="dxa"/>
            <w:vAlign w:val="bottom"/>
            <w:gridSpan w:val="3"/>
          </w:tcPr>
          <w:p>
            <w:pPr>
              <w:spacing w:after="0"/>
              <w:rPr>
                <w:sz w:val="20"/>
                <w:szCs w:val="20"/>
                <w:color w:val="auto"/>
              </w:rPr>
            </w:pPr>
            <w:r>
              <w:rPr>
                <w:rFonts w:ascii="Arial" w:cs="Arial" w:eastAsia="Arial" w:hAnsi="Arial"/>
                <w:sz w:val="14"/>
                <w:szCs w:val="14"/>
                <w:b w:val="1"/>
                <w:bCs w:val="1"/>
                <w:color w:val="auto"/>
                <w:w w:val="92"/>
              </w:rPr>
              <w:t>Approximated Dollar Value of</w:t>
            </w: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38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5"/>
              </w:rPr>
              <w:t>Purchased as Part of Publicly</w:t>
            </w:r>
          </w:p>
        </w:tc>
        <w:tc>
          <w:tcPr>
            <w:tcW w:w="1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Shares that May Yet Be</w:t>
            </w:r>
          </w:p>
        </w:tc>
        <w:tc>
          <w:tcPr>
            <w:tcW w:w="0" w:type="dxa"/>
            <w:vAlign w:val="bottom"/>
          </w:tcPr>
          <w:p>
            <w:pPr>
              <w:spacing w:after="0"/>
              <w:rPr>
                <w:sz w:val="1"/>
                <w:szCs w:val="1"/>
                <w:color w:val="auto"/>
              </w:rPr>
            </w:pPr>
          </w:p>
        </w:tc>
      </w:tr>
      <w:tr>
        <w:trPr>
          <w:trHeight w:val="149"/>
        </w:trPr>
        <w:tc>
          <w:tcPr>
            <w:tcW w:w="460" w:type="dxa"/>
            <w:vAlign w:val="bottom"/>
            <w:vMerge w:val="restart"/>
          </w:tcPr>
          <w:p>
            <w:pPr>
              <w:spacing w:after="0"/>
              <w:rPr>
                <w:sz w:val="12"/>
                <w:szCs w:val="12"/>
                <w:color w:val="auto"/>
              </w:rPr>
            </w:pPr>
          </w:p>
        </w:tc>
        <w:tc>
          <w:tcPr>
            <w:tcW w:w="400" w:type="dxa"/>
            <w:vAlign w:val="bottom"/>
            <w:vMerge w:val="restart"/>
          </w:tcPr>
          <w:p>
            <w:pPr>
              <w:spacing w:after="0"/>
              <w:rPr>
                <w:sz w:val="20"/>
                <w:szCs w:val="20"/>
                <w:color w:val="auto"/>
              </w:rPr>
            </w:pPr>
            <w:r>
              <w:rPr>
                <w:rFonts w:ascii="Arial" w:cs="Arial" w:eastAsia="Arial" w:hAnsi="Arial"/>
                <w:sz w:val="14"/>
                <w:szCs w:val="14"/>
                <w:b w:val="1"/>
                <w:bCs w:val="1"/>
                <w:color w:val="auto"/>
                <w:w w:val="87"/>
              </w:rPr>
              <w:t>Period</w:t>
            </w:r>
          </w:p>
        </w:tc>
        <w:tc>
          <w:tcPr>
            <w:tcW w:w="4180" w:type="dxa"/>
            <w:vAlign w:val="bottom"/>
            <w:gridSpan w:val="2"/>
            <w:vMerge w:val="restart"/>
          </w:tcPr>
          <w:p>
            <w:pPr>
              <w:spacing w:after="0"/>
              <w:rPr>
                <w:sz w:val="12"/>
                <w:szCs w:val="12"/>
                <w:color w:val="auto"/>
              </w:rPr>
            </w:pPr>
          </w:p>
        </w:tc>
        <w:tc>
          <w:tcPr>
            <w:tcW w:w="10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9"/>
              </w:rPr>
              <w:t>Total Number of</w:t>
            </w:r>
          </w:p>
        </w:tc>
        <w:tc>
          <w:tcPr>
            <w:tcW w:w="160" w:type="dxa"/>
            <w:vAlign w:val="bottom"/>
          </w:tcPr>
          <w:p>
            <w:pPr>
              <w:spacing w:after="0"/>
              <w:rPr>
                <w:sz w:val="12"/>
                <w:szCs w:val="12"/>
                <w:color w:val="auto"/>
              </w:rPr>
            </w:pPr>
          </w:p>
        </w:tc>
        <w:tc>
          <w:tcPr>
            <w:tcW w:w="10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Average Price</w:t>
            </w: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Announced Plans or</w:t>
            </w:r>
          </w:p>
        </w:tc>
        <w:tc>
          <w:tcPr>
            <w:tcW w:w="160" w:type="dxa"/>
            <w:vAlign w:val="bottom"/>
          </w:tcPr>
          <w:p>
            <w:pPr>
              <w:spacing w:after="0"/>
              <w:rPr>
                <w:sz w:val="12"/>
                <w:szCs w:val="12"/>
                <w:color w:val="auto"/>
              </w:rPr>
            </w:pPr>
          </w:p>
        </w:tc>
        <w:tc>
          <w:tcPr>
            <w:tcW w:w="18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1"/>
              </w:rPr>
              <w:t>Purchased Under the Plans or</w:t>
            </w:r>
          </w:p>
        </w:tc>
        <w:tc>
          <w:tcPr>
            <w:tcW w:w="0" w:type="dxa"/>
            <w:vAlign w:val="bottom"/>
          </w:tcPr>
          <w:p>
            <w:pPr>
              <w:spacing w:after="0"/>
              <w:rPr>
                <w:sz w:val="1"/>
                <w:szCs w:val="1"/>
                <w:color w:val="auto"/>
              </w:rPr>
            </w:pPr>
          </w:p>
        </w:tc>
      </w:tr>
      <w:tr>
        <w:trPr>
          <w:trHeight w:val="168"/>
        </w:trPr>
        <w:tc>
          <w:tcPr>
            <w:tcW w:w="460" w:type="dxa"/>
            <w:vAlign w:val="bottom"/>
            <w:vMerge w:val="continue"/>
          </w:tcPr>
          <w:p>
            <w:pPr>
              <w:spacing w:after="0"/>
              <w:rPr>
                <w:sz w:val="14"/>
                <w:szCs w:val="14"/>
                <w:color w:val="auto"/>
              </w:rPr>
            </w:pPr>
          </w:p>
        </w:tc>
        <w:tc>
          <w:tcPr>
            <w:tcW w:w="400" w:type="dxa"/>
            <w:vAlign w:val="bottom"/>
            <w:tcBorders>
              <w:bottom w:val="single" w:sz="8" w:color="auto"/>
            </w:tcBorders>
            <w:vMerge w:val="continue"/>
          </w:tcPr>
          <w:p>
            <w:pPr>
              <w:spacing w:after="0"/>
              <w:rPr>
                <w:sz w:val="14"/>
                <w:szCs w:val="14"/>
                <w:color w:val="auto"/>
              </w:rPr>
            </w:pPr>
          </w:p>
        </w:tc>
        <w:tc>
          <w:tcPr>
            <w:tcW w:w="4180" w:type="dxa"/>
            <w:vAlign w:val="bottom"/>
            <w:gridSpan w:val="2"/>
            <w:vMerge w:val="continue"/>
          </w:tcPr>
          <w:p>
            <w:pPr>
              <w:spacing w:after="0"/>
              <w:rPr>
                <w:sz w:val="14"/>
                <w:szCs w:val="14"/>
                <w:color w:val="auto"/>
              </w:rPr>
            </w:pPr>
          </w:p>
        </w:tc>
        <w:tc>
          <w:tcPr>
            <w:tcW w:w="104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1"/>
              </w:rPr>
              <w:t>Shares Purchased</w:t>
            </w:r>
          </w:p>
        </w:tc>
        <w:tc>
          <w:tcPr>
            <w:tcW w:w="160" w:type="dxa"/>
            <w:vAlign w:val="bottom"/>
          </w:tcPr>
          <w:p>
            <w:pPr>
              <w:spacing w:after="0"/>
              <w:rPr>
                <w:sz w:val="14"/>
                <w:szCs w:val="14"/>
                <w:color w:val="auto"/>
              </w:rPr>
            </w:pPr>
          </w:p>
        </w:tc>
        <w:tc>
          <w:tcPr>
            <w:tcW w:w="102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rPr>
              <w:t>Paid per Share</w:t>
            </w:r>
          </w:p>
        </w:tc>
        <w:tc>
          <w:tcPr>
            <w:tcW w:w="17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8"/>
              </w:rPr>
              <w:t>Programs</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00" w:type="dxa"/>
            <w:vAlign w:val="bottom"/>
            <w:gridSpan w:val="2"/>
          </w:tcPr>
          <w:p>
            <w:pPr>
              <w:jc w:val="center"/>
              <w:ind w:right="220"/>
              <w:spacing w:after="0" w:line="148" w:lineRule="exact"/>
              <w:rPr>
                <w:sz w:val="20"/>
                <w:szCs w:val="20"/>
                <w:color w:val="auto"/>
              </w:rPr>
            </w:pPr>
            <w:r>
              <w:rPr>
                <w:rFonts w:ascii="Arial" w:cs="Arial" w:eastAsia="Arial" w:hAnsi="Arial"/>
                <w:sz w:val="14"/>
                <w:szCs w:val="14"/>
                <w:b w:val="1"/>
                <w:bCs w:val="1"/>
                <w:color w:val="auto"/>
                <w:w w:val="87"/>
              </w:rPr>
              <w:t>Programs (1)</w:t>
            </w:r>
          </w:p>
        </w:tc>
        <w:tc>
          <w:tcPr>
            <w:tcW w:w="0" w:type="dxa"/>
            <w:vAlign w:val="bottom"/>
          </w:tcPr>
          <w:p>
            <w:pPr>
              <w:spacing w:after="0"/>
              <w:rPr>
                <w:sz w:val="1"/>
                <w:szCs w:val="1"/>
                <w:color w:val="auto"/>
              </w:rPr>
            </w:pPr>
          </w:p>
        </w:tc>
      </w:tr>
      <w:tr>
        <w:trPr>
          <w:trHeight w:val="203"/>
        </w:trPr>
        <w:tc>
          <w:tcPr>
            <w:tcW w:w="460" w:type="dxa"/>
            <w:vAlign w:val="bottom"/>
          </w:tcPr>
          <w:p>
            <w:pPr>
              <w:spacing w:after="0"/>
              <w:rPr>
                <w:sz w:val="17"/>
                <w:szCs w:val="17"/>
                <w:color w:val="auto"/>
              </w:rPr>
            </w:pPr>
          </w:p>
        </w:tc>
        <w:tc>
          <w:tcPr>
            <w:tcW w:w="458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August 4 – August 31, 2013</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1,825</w:t>
            </w:r>
          </w:p>
        </w:tc>
        <w:tc>
          <w:tcPr>
            <w:tcW w:w="16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11.85</w:t>
            </w:r>
          </w:p>
        </w:tc>
        <w:tc>
          <w:tcPr>
            <w:tcW w:w="160" w:type="dxa"/>
            <w:vAlign w:val="bottom"/>
            <w:tcBorders>
              <w:top w:val="single" w:sz="8" w:color="CCEEFF"/>
            </w:tcBorders>
            <w:shd w:val="clear" w:color="auto" w:fill="CCEEFF"/>
          </w:tcPr>
          <w:p>
            <w:pPr>
              <w:spacing w:after="0"/>
              <w:rPr>
                <w:sz w:val="17"/>
                <w:szCs w:val="17"/>
                <w:color w:val="auto"/>
              </w:rPr>
            </w:pPr>
          </w:p>
        </w:tc>
        <w:tc>
          <w:tcPr>
            <w:tcW w:w="17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1,825</w:t>
            </w:r>
          </w:p>
        </w:tc>
        <w:tc>
          <w:tcPr>
            <w:tcW w:w="1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16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308,133</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580" w:type="dxa"/>
            <w:vAlign w:val="bottom"/>
            <w:gridSpan w:val="3"/>
          </w:tcPr>
          <w:p>
            <w:pPr>
              <w:spacing w:after="0"/>
              <w:rPr>
                <w:sz w:val="20"/>
                <w:szCs w:val="20"/>
                <w:color w:val="auto"/>
              </w:rPr>
            </w:pPr>
            <w:r>
              <w:rPr>
                <w:rFonts w:ascii="Arial" w:cs="Arial" w:eastAsia="Arial" w:hAnsi="Arial"/>
                <w:sz w:val="18"/>
                <w:szCs w:val="18"/>
                <w:color w:val="auto"/>
              </w:rPr>
              <w:t>September 1 – September 28, 2013</w:t>
            </w:r>
          </w:p>
        </w:tc>
        <w:tc>
          <w:tcPr>
            <w:tcW w:w="1040" w:type="dxa"/>
            <w:vAlign w:val="bottom"/>
          </w:tcPr>
          <w:p>
            <w:pPr>
              <w:jc w:val="right"/>
              <w:spacing w:after="0"/>
              <w:rPr>
                <w:sz w:val="20"/>
                <w:szCs w:val="20"/>
                <w:color w:val="auto"/>
              </w:rPr>
            </w:pPr>
            <w:r>
              <w:rPr>
                <w:rFonts w:ascii="Arial" w:cs="Arial" w:eastAsia="Arial" w:hAnsi="Arial"/>
                <w:sz w:val="18"/>
                <w:szCs w:val="18"/>
                <w:color w:val="auto"/>
              </w:rPr>
              <w:t>2,125</w:t>
            </w:r>
          </w:p>
        </w:tc>
        <w:tc>
          <w:tcPr>
            <w:tcW w:w="44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11.94</w:t>
            </w:r>
          </w:p>
        </w:tc>
        <w:tc>
          <w:tcPr>
            <w:tcW w:w="1700" w:type="dxa"/>
            <w:vAlign w:val="bottom"/>
          </w:tcPr>
          <w:p>
            <w:pPr>
              <w:jc w:val="right"/>
              <w:spacing w:after="0"/>
              <w:rPr>
                <w:sz w:val="20"/>
                <w:szCs w:val="20"/>
                <w:color w:val="auto"/>
              </w:rPr>
            </w:pPr>
            <w:r>
              <w:rPr>
                <w:rFonts w:ascii="Arial" w:cs="Arial" w:eastAsia="Arial" w:hAnsi="Arial"/>
                <w:sz w:val="18"/>
                <w:szCs w:val="18"/>
                <w:color w:val="auto"/>
              </w:rPr>
              <w:t>2,125</w:t>
            </w:r>
          </w:p>
        </w:tc>
        <w:tc>
          <w:tcPr>
            <w:tcW w:w="30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282,762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5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September 29 – November 2, 2013</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2,148</w:t>
            </w:r>
          </w:p>
        </w:tc>
        <w:tc>
          <w:tcPr>
            <w:tcW w:w="4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11.33</w:t>
            </w:r>
          </w:p>
        </w:tc>
        <w:tc>
          <w:tcPr>
            <w:tcW w:w="1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2,148</w:t>
            </w:r>
          </w:p>
        </w:tc>
        <w:tc>
          <w:tcPr>
            <w:tcW w:w="3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258,419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040" w:type="dxa"/>
            <w:vAlign w:val="bottom"/>
            <w:gridSpan w:val="4"/>
          </w:tcPr>
          <w:p>
            <w:pPr>
              <w:ind w:left="460"/>
              <w:spacing w:after="0"/>
              <w:rPr>
                <w:sz w:val="20"/>
                <w:szCs w:val="20"/>
                <w:color w:val="auto"/>
              </w:rPr>
            </w:pPr>
            <w:r>
              <w:rPr>
                <w:rFonts w:ascii="Arial" w:cs="Arial" w:eastAsia="Arial" w:hAnsi="Arial"/>
                <w:sz w:val="18"/>
                <w:szCs w:val="18"/>
                <w:color w:val="auto"/>
              </w:rPr>
              <w:t>Total</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6,098</w:t>
            </w:r>
          </w:p>
        </w:tc>
        <w:tc>
          <w:tcPr>
            <w:tcW w:w="44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11.70</w:t>
            </w:r>
          </w:p>
        </w:tc>
        <w:tc>
          <w:tcPr>
            <w:tcW w:w="1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6,098</w:t>
            </w:r>
          </w:p>
        </w:tc>
        <w:tc>
          <w:tcPr>
            <w:tcW w:w="30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258,419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388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60" w:type="dxa"/>
            <w:vAlign w:val="bottom"/>
            <w:tcBorders>
              <w:bottom w:val="single" w:sz="8" w:color="auto"/>
            </w:tcBorders>
          </w:tcPr>
          <w:p>
            <w:pPr>
              <w:spacing w:after="0"/>
              <w:rPr>
                <w:sz w:val="8"/>
                <w:szCs w:val="8"/>
                <w:color w:val="auto"/>
              </w:rPr>
            </w:pPr>
          </w:p>
        </w:tc>
        <w:tc>
          <w:tcPr>
            <w:tcW w:w="400" w:type="dxa"/>
            <w:vAlign w:val="bottom"/>
            <w:tcBorders>
              <w:bottom w:val="single" w:sz="8" w:color="auto"/>
            </w:tcBorders>
          </w:tcPr>
          <w:p>
            <w:pPr>
              <w:spacing w:after="0"/>
              <w:rPr>
                <w:sz w:val="8"/>
                <w:szCs w:val="8"/>
                <w:color w:val="auto"/>
              </w:rPr>
            </w:pPr>
          </w:p>
        </w:tc>
        <w:tc>
          <w:tcPr>
            <w:tcW w:w="300" w:type="dxa"/>
            <w:vAlign w:val="bottom"/>
            <w:tcBorders>
              <w:bottom w:val="single" w:sz="8" w:color="auto"/>
            </w:tcBorders>
          </w:tcPr>
          <w:p>
            <w:pPr>
              <w:spacing w:after="0"/>
              <w:rPr>
                <w:sz w:val="8"/>
                <w:szCs w:val="8"/>
                <w:color w:val="auto"/>
              </w:rPr>
            </w:pPr>
          </w:p>
        </w:tc>
        <w:tc>
          <w:tcPr>
            <w:tcW w:w="388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70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60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hanging="452"/>
        <w:spacing w:after="0" w:line="289" w:lineRule="auto"/>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During fiscal 2012, our board of directors authorized an additional $1.5 billion to be used to repurchase our common shares under the share repurchase program. During fiscal 2013, our board of directors authorized an additional $1 billion to be used to repurchase our common shares under the share repurchase program. This increases the total available under the share repurchase program to $3.0 billion. We intend to effect the share repurchase program in accordance with the conditions of Rule 10b-18 under the Exchange Act. The share repurchase program will be subject to market conditions and other factors and does not obligate us to repurchase any dollar amount or number of our common shares and the repurchase program may be extended, modified, suspended or discontinued at any time. We may make repurchases in open market or privately negotiated transactions in order to effect our repurchases.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9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920" w:type="dxa"/>
            <w:vAlign w:val="bottom"/>
          </w:tcPr>
          <w:p>
            <w:pPr>
              <w:ind w:left="100"/>
              <w:spacing w:after="0"/>
              <w:rPr>
                <w:sz w:val="20"/>
                <w:szCs w:val="20"/>
                <w:color w:val="auto"/>
              </w:rPr>
            </w:pPr>
            <w:r>
              <w:rPr>
                <w:rFonts w:ascii="Arial" w:cs="Arial" w:eastAsia="Arial" w:hAnsi="Arial"/>
                <w:sz w:val="18"/>
                <w:szCs w:val="18"/>
                <w:color w:val="auto"/>
              </w:rPr>
              <w:t>10.1#</w:t>
            </w:r>
          </w:p>
        </w:tc>
        <w:tc>
          <w:tcPr>
            <w:tcW w:w="10460" w:type="dxa"/>
            <w:vAlign w:val="bottom"/>
          </w:tcPr>
          <w:p>
            <w:pPr>
              <w:ind w:left="240"/>
              <w:spacing w:after="0"/>
              <w:rPr>
                <w:sz w:val="20"/>
                <w:szCs w:val="20"/>
                <w:color w:val="auto"/>
              </w:rPr>
            </w:pPr>
            <w:r>
              <w:rPr>
                <w:rFonts w:ascii="Arial" w:cs="Arial" w:eastAsia="Arial" w:hAnsi="Arial"/>
                <w:sz w:val="18"/>
                <w:szCs w:val="18"/>
                <w:color w:val="auto"/>
                <w:w w:val="88"/>
              </w:rPr>
              <w:t>Amended and Restated 1995 Stock Option Plan, incorporated by reference to Exhibit 10.1 of the registrant’s Current Report on Form 8-K as filed</w:t>
            </w:r>
          </w:p>
        </w:tc>
      </w:tr>
      <w:tr>
        <w:trPr>
          <w:trHeight w:val="222"/>
        </w:trPr>
        <w:tc>
          <w:tcPr>
            <w:tcW w:w="920" w:type="dxa"/>
            <w:vAlign w:val="bottom"/>
          </w:tcPr>
          <w:p>
            <w:pPr>
              <w:spacing w:after="0"/>
              <w:rPr>
                <w:sz w:val="19"/>
                <w:szCs w:val="19"/>
                <w:color w:val="auto"/>
              </w:rPr>
            </w:pPr>
          </w:p>
        </w:tc>
        <w:tc>
          <w:tcPr>
            <w:tcW w:w="10460" w:type="dxa"/>
            <w:vAlign w:val="bottom"/>
          </w:tcPr>
          <w:p>
            <w:pPr>
              <w:ind w:left="240"/>
              <w:spacing w:after="0"/>
              <w:rPr>
                <w:sz w:val="20"/>
                <w:szCs w:val="20"/>
                <w:color w:val="auto"/>
              </w:rPr>
            </w:pPr>
            <w:r>
              <w:rPr>
                <w:rFonts w:ascii="Arial" w:cs="Arial" w:eastAsia="Arial" w:hAnsi="Arial"/>
                <w:sz w:val="18"/>
                <w:szCs w:val="18"/>
                <w:color w:val="auto"/>
              </w:rPr>
              <w:t>on September 26, 2013</w:t>
            </w:r>
          </w:p>
        </w:tc>
      </w:tr>
      <w:tr>
        <w:trPr>
          <w:trHeight w:val="318"/>
        </w:trPr>
        <w:tc>
          <w:tcPr>
            <w:tcW w:w="920" w:type="dxa"/>
            <w:vAlign w:val="bottom"/>
          </w:tcPr>
          <w:p>
            <w:pPr>
              <w:ind w:left="100"/>
              <w:spacing w:after="0"/>
              <w:rPr>
                <w:sz w:val="20"/>
                <w:szCs w:val="20"/>
                <w:color w:val="auto"/>
              </w:rPr>
            </w:pPr>
            <w:r>
              <w:rPr>
                <w:rFonts w:ascii="Arial" w:cs="Arial" w:eastAsia="Arial" w:hAnsi="Arial"/>
                <w:sz w:val="18"/>
                <w:szCs w:val="18"/>
                <w:color w:val="auto"/>
              </w:rPr>
              <w:t>10.2#</w:t>
            </w:r>
          </w:p>
        </w:tc>
        <w:tc>
          <w:tcPr>
            <w:tcW w:w="10460" w:type="dxa"/>
            <w:vAlign w:val="bottom"/>
          </w:tcPr>
          <w:p>
            <w:pPr>
              <w:ind w:left="240"/>
              <w:spacing w:after="0"/>
              <w:rPr>
                <w:sz w:val="20"/>
                <w:szCs w:val="20"/>
                <w:color w:val="auto"/>
              </w:rPr>
            </w:pPr>
            <w:r>
              <w:rPr>
                <w:rFonts w:ascii="Arial" w:cs="Arial" w:eastAsia="Arial" w:hAnsi="Arial"/>
                <w:sz w:val="18"/>
                <w:szCs w:val="18"/>
                <w:color w:val="auto"/>
                <w:w w:val="91"/>
              </w:rPr>
              <w:t>Form of Stock Option Agreement and Notice of Grant of Stock Options and Option Agreement for use with the Amended and Restated 1995</w:t>
            </w:r>
          </w:p>
        </w:tc>
      </w:tr>
      <w:tr>
        <w:trPr>
          <w:trHeight w:val="216"/>
        </w:trPr>
        <w:tc>
          <w:tcPr>
            <w:tcW w:w="920" w:type="dxa"/>
            <w:vAlign w:val="bottom"/>
          </w:tcPr>
          <w:p>
            <w:pPr>
              <w:spacing w:after="0"/>
              <w:rPr>
                <w:sz w:val="18"/>
                <w:szCs w:val="18"/>
                <w:color w:val="auto"/>
              </w:rPr>
            </w:pPr>
          </w:p>
        </w:tc>
        <w:tc>
          <w:tcPr>
            <w:tcW w:w="10460" w:type="dxa"/>
            <w:vAlign w:val="bottom"/>
          </w:tcPr>
          <w:p>
            <w:pPr>
              <w:ind w:left="240"/>
              <w:spacing w:after="0"/>
              <w:rPr>
                <w:sz w:val="20"/>
                <w:szCs w:val="20"/>
                <w:color w:val="auto"/>
              </w:rPr>
            </w:pPr>
            <w:r>
              <w:rPr>
                <w:rFonts w:ascii="Arial" w:cs="Arial" w:eastAsia="Arial" w:hAnsi="Arial"/>
                <w:sz w:val="18"/>
                <w:szCs w:val="18"/>
                <w:color w:val="auto"/>
                <w:w w:val="92"/>
              </w:rPr>
              <w:t>Stock Option Plan (for options granted on or after September 20, 2013), incorporated by reference to Exhibit 10.2 of the registrant’s Current</w:t>
            </w:r>
          </w:p>
        </w:tc>
      </w:tr>
      <w:tr>
        <w:trPr>
          <w:trHeight w:val="222"/>
        </w:trPr>
        <w:tc>
          <w:tcPr>
            <w:tcW w:w="920" w:type="dxa"/>
            <w:vAlign w:val="bottom"/>
          </w:tcPr>
          <w:p>
            <w:pPr>
              <w:spacing w:after="0"/>
              <w:rPr>
                <w:sz w:val="19"/>
                <w:szCs w:val="19"/>
                <w:color w:val="auto"/>
              </w:rPr>
            </w:pPr>
          </w:p>
        </w:tc>
        <w:tc>
          <w:tcPr>
            <w:tcW w:w="10460" w:type="dxa"/>
            <w:vAlign w:val="bottom"/>
          </w:tcPr>
          <w:p>
            <w:pPr>
              <w:ind w:left="240"/>
              <w:spacing w:after="0"/>
              <w:rPr>
                <w:sz w:val="20"/>
                <w:szCs w:val="20"/>
                <w:color w:val="auto"/>
              </w:rPr>
            </w:pPr>
            <w:r>
              <w:rPr>
                <w:rFonts w:ascii="Arial" w:cs="Arial" w:eastAsia="Arial" w:hAnsi="Arial"/>
                <w:sz w:val="18"/>
                <w:szCs w:val="18"/>
                <w:color w:val="auto"/>
              </w:rPr>
              <w:t>Report on Form 8-K as filed on September 26, 2013</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right="640" w:hanging="212"/>
        <w:spacing w:after="0" w:line="302" w:lineRule="auto"/>
        <w:tabs>
          <w:tab w:leader="none" w:pos="22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459" w:right="2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December 6, 2013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Brad D. Feller</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i w:val="1"/>
          <w:i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and Accounting Officer)</w:t>
      </w:r>
    </w:p>
    <w:p>
      <w:pPr>
        <w:spacing w:after="0" w:line="16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459" w:right="2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1046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412"/>
        </w:trPr>
        <w:tc>
          <w:tcPr>
            <w:tcW w:w="920" w:type="dxa"/>
            <w:vAlign w:val="bottom"/>
          </w:tcPr>
          <w:p>
            <w:pPr>
              <w:ind w:left="100"/>
              <w:spacing w:after="0"/>
              <w:rPr>
                <w:sz w:val="20"/>
                <w:szCs w:val="20"/>
                <w:color w:val="auto"/>
              </w:rPr>
            </w:pPr>
            <w:r>
              <w:rPr>
                <w:rFonts w:ascii="Arial" w:cs="Arial" w:eastAsia="Arial" w:hAnsi="Arial"/>
                <w:sz w:val="18"/>
                <w:szCs w:val="18"/>
                <w:color w:val="auto"/>
              </w:rPr>
              <w:t>10.1#</w:t>
            </w:r>
          </w:p>
        </w:tc>
        <w:tc>
          <w:tcPr>
            <w:tcW w:w="10460" w:type="dxa"/>
            <w:vAlign w:val="bottom"/>
          </w:tcPr>
          <w:p>
            <w:pPr>
              <w:ind w:left="240"/>
              <w:spacing w:after="0"/>
              <w:rPr>
                <w:sz w:val="20"/>
                <w:szCs w:val="20"/>
                <w:color w:val="auto"/>
              </w:rPr>
            </w:pPr>
            <w:r>
              <w:rPr>
                <w:rFonts w:ascii="Arial" w:cs="Arial" w:eastAsia="Arial" w:hAnsi="Arial"/>
                <w:sz w:val="18"/>
                <w:szCs w:val="18"/>
                <w:color w:val="auto"/>
                <w:w w:val="88"/>
              </w:rPr>
              <w:t>Amended and Restated 1995 Stock Option Plan, incorporated by reference to Exhibit 10.1 of the registrant’s Current Report on Form 8-K as filed</w:t>
            </w:r>
          </w:p>
        </w:tc>
      </w:tr>
      <w:tr>
        <w:trPr>
          <w:trHeight w:val="222"/>
        </w:trPr>
        <w:tc>
          <w:tcPr>
            <w:tcW w:w="920" w:type="dxa"/>
            <w:vAlign w:val="bottom"/>
          </w:tcPr>
          <w:p>
            <w:pPr>
              <w:spacing w:after="0"/>
              <w:rPr>
                <w:sz w:val="19"/>
                <w:szCs w:val="19"/>
                <w:color w:val="auto"/>
              </w:rPr>
            </w:pPr>
          </w:p>
        </w:tc>
        <w:tc>
          <w:tcPr>
            <w:tcW w:w="10460" w:type="dxa"/>
            <w:vAlign w:val="bottom"/>
          </w:tcPr>
          <w:p>
            <w:pPr>
              <w:ind w:left="240"/>
              <w:spacing w:after="0"/>
              <w:rPr>
                <w:sz w:val="20"/>
                <w:szCs w:val="20"/>
                <w:color w:val="auto"/>
              </w:rPr>
            </w:pPr>
            <w:r>
              <w:rPr>
                <w:rFonts w:ascii="Arial" w:cs="Arial" w:eastAsia="Arial" w:hAnsi="Arial"/>
                <w:sz w:val="18"/>
                <w:szCs w:val="18"/>
                <w:color w:val="auto"/>
              </w:rPr>
              <w:t>on September 26, 2013</w:t>
            </w:r>
          </w:p>
        </w:tc>
      </w:tr>
      <w:tr>
        <w:trPr>
          <w:trHeight w:val="318"/>
        </w:trPr>
        <w:tc>
          <w:tcPr>
            <w:tcW w:w="920" w:type="dxa"/>
            <w:vAlign w:val="bottom"/>
          </w:tcPr>
          <w:p>
            <w:pPr>
              <w:ind w:left="100"/>
              <w:spacing w:after="0"/>
              <w:rPr>
                <w:sz w:val="20"/>
                <w:szCs w:val="20"/>
                <w:color w:val="auto"/>
              </w:rPr>
            </w:pPr>
            <w:r>
              <w:rPr>
                <w:rFonts w:ascii="Arial" w:cs="Arial" w:eastAsia="Arial" w:hAnsi="Arial"/>
                <w:sz w:val="18"/>
                <w:szCs w:val="18"/>
                <w:color w:val="auto"/>
              </w:rPr>
              <w:t>10.2#</w:t>
            </w:r>
          </w:p>
        </w:tc>
        <w:tc>
          <w:tcPr>
            <w:tcW w:w="10460" w:type="dxa"/>
            <w:vAlign w:val="bottom"/>
          </w:tcPr>
          <w:p>
            <w:pPr>
              <w:ind w:left="240"/>
              <w:spacing w:after="0"/>
              <w:rPr>
                <w:sz w:val="20"/>
                <w:szCs w:val="20"/>
                <w:color w:val="auto"/>
              </w:rPr>
            </w:pPr>
            <w:r>
              <w:rPr>
                <w:rFonts w:ascii="Arial" w:cs="Arial" w:eastAsia="Arial" w:hAnsi="Arial"/>
                <w:sz w:val="18"/>
                <w:szCs w:val="18"/>
                <w:color w:val="auto"/>
                <w:w w:val="91"/>
              </w:rPr>
              <w:t>Form of Stock Option Agreement and Notice of Grant of Stock Options and Option Agreement for use with the Amended and Restated 1995</w:t>
            </w:r>
          </w:p>
        </w:tc>
      </w:tr>
      <w:tr>
        <w:trPr>
          <w:trHeight w:val="216"/>
        </w:trPr>
        <w:tc>
          <w:tcPr>
            <w:tcW w:w="920" w:type="dxa"/>
            <w:vAlign w:val="bottom"/>
          </w:tcPr>
          <w:p>
            <w:pPr>
              <w:spacing w:after="0"/>
              <w:rPr>
                <w:sz w:val="18"/>
                <w:szCs w:val="18"/>
                <w:color w:val="auto"/>
              </w:rPr>
            </w:pPr>
          </w:p>
        </w:tc>
        <w:tc>
          <w:tcPr>
            <w:tcW w:w="10460" w:type="dxa"/>
            <w:vAlign w:val="bottom"/>
          </w:tcPr>
          <w:p>
            <w:pPr>
              <w:ind w:left="240"/>
              <w:spacing w:after="0"/>
              <w:rPr>
                <w:sz w:val="20"/>
                <w:szCs w:val="20"/>
                <w:color w:val="auto"/>
              </w:rPr>
            </w:pPr>
            <w:r>
              <w:rPr>
                <w:rFonts w:ascii="Arial" w:cs="Arial" w:eastAsia="Arial" w:hAnsi="Arial"/>
                <w:sz w:val="18"/>
                <w:szCs w:val="18"/>
                <w:color w:val="auto"/>
                <w:w w:val="92"/>
              </w:rPr>
              <w:t>Stock Option Plan (for options granted on or after September 20, 2013), incorporated by reference to Exhibit 10.2 of the registrant’s Current</w:t>
            </w:r>
          </w:p>
        </w:tc>
      </w:tr>
      <w:tr>
        <w:trPr>
          <w:trHeight w:val="222"/>
        </w:trPr>
        <w:tc>
          <w:tcPr>
            <w:tcW w:w="920" w:type="dxa"/>
            <w:vAlign w:val="bottom"/>
          </w:tcPr>
          <w:p>
            <w:pPr>
              <w:spacing w:after="0"/>
              <w:rPr>
                <w:sz w:val="19"/>
                <w:szCs w:val="19"/>
                <w:color w:val="auto"/>
              </w:rPr>
            </w:pPr>
          </w:p>
        </w:tc>
        <w:tc>
          <w:tcPr>
            <w:tcW w:w="10460" w:type="dxa"/>
            <w:vAlign w:val="bottom"/>
          </w:tcPr>
          <w:p>
            <w:pPr>
              <w:ind w:left="240"/>
              <w:spacing w:after="0"/>
              <w:rPr>
                <w:sz w:val="20"/>
                <w:szCs w:val="20"/>
                <w:color w:val="auto"/>
              </w:rPr>
            </w:pPr>
            <w:r>
              <w:rPr>
                <w:rFonts w:ascii="Arial" w:cs="Arial" w:eastAsia="Arial" w:hAnsi="Arial"/>
                <w:sz w:val="18"/>
                <w:szCs w:val="18"/>
                <w:color w:val="auto"/>
              </w:rPr>
              <w:t>Report on Form 8-K as filed on September 26, 2013</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1046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1046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right="620" w:hanging="212"/>
        <w:spacing w:after="0" w:line="302" w:lineRule="auto"/>
        <w:tabs>
          <w:tab w:leader="none" w:pos="220"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380"/>
          </w:cols>
          <w:pgMar w:left="240" w:top="459" w:right="279" w:bottom="1440" w:gutter="0" w:footer="0" w:header="0"/>
        </w:sectPr>
      </w:pPr>
    </w:p>
    <w:bookmarkStart w:id="52" w:name="page53"/>
    <w:bookmarkEnd w:id="52"/>
    <w:p>
      <w:pPr>
        <w:jc w:val="right"/>
        <w:spacing w:after="0"/>
        <w:rPr>
          <w:sz w:val="20"/>
          <w:szCs w:val="20"/>
          <w:color w:val="auto"/>
        </w:rPr>
      </w:pPr>
      <w:r>
        <w:rPr>
          <w:rFonts w:ascii="Arial" w:cs="Arial" w:eastAsia="Arial" w:hAnsi="Arial"/>
          <w:sz w:val="18"/>
          <w:szCs w:val="18"/>
          <w:b w:val="1"/>
          <w:bCs w:val="1"/>
          <w:color w:val="auto"/>
        </w:rPr>
        <w:t>Exhibit 31.1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6"/>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December 6, 2013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Sehat Sutardja</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5" w:right="239" w:bottom="1440" w:gutter="0" w:footer="0" w:header="0"/>
        </w:sectPr>
      </w:pPr>
    </w:p>
    <w:bookmarkStart w:id="53" w:name="page54"/>
    <w:bookmarkEnd w:id="53"/>
    <w:p>
      <w:pPr>
        <w:jc w:val="right"/>
        <w:spacing w:after="0"/>
        <w:rPr>
          <w:sz w:val="20"/>
          <w:szCs w:val="20"/>
          <w:color w:val="auto"/>
        </w:rPr>
      </w:pPr>
      <w:r>
        <w:rPr>
          <w:rFonts w:ascii="Arial" w:cs="Arial" w:eastAsia="Arial" w:hAnsi="Arial"/>
          <w:sz w:val="18"/>
          <w:szCs w:val="18"/>
          <w:b w:val="1"/>
          <w:bCs w:val="1"/>
          <w:color w:val="auto"/>
        </w:rPr>
        <w:t>Exhibit 31.2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I, Brad D. Feller, certify that:</w:t>
      </w:r>
    </w:p>
    <w:p>
      <w:pPr>
        <w:spacing w:after="0" w:line="90" w:lineRule="exact"/>
        <w:rPr>
          <w:sz w:val="20"/>
          <w:szCs w:val="20"/>
          <w:color w:val="auto"/>
        </w:rPr>
      </w:pPr>
    </w:p>
    <w:p>
      <w:pPr>
        <w:ind w:left="460" w:hanging="452"/>
        <w:spacing w:after="0"/>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90" w:lineRule="exact"/>
        <w:rPr>
          <w:rFonts w:ascii="Arial" w:cs="Arial" w:eastAsia="Arial" w:hAnsi="Arial"/>
          <w:sz w:val="18"/>
          <w:szCs w:val="18"/>
          <w:color w:val="auto"/>
        </w:rPr>
      </w:pPr>
    </w:p>
    <w:p>
      <w:pPr>
        <w:ind w:left="460" w:right="260" w:hanging="452"/>
        <w:spacing w:after="0" w:line="357" w:lineRule="auto"/>
        <w:tabs>
          <w:tab w:leader="none" w:pos="460" w:val="left"/>
        </w:tabs>
        <w:numPr>
          <w:ilvl w:val="0"/>
          <w:numId w:val="17"/>
        </w:numPr>
        <w:rPr>
          <w:rFonts w:ascii="Arial" w:cs="Arial" w:eastAsia="Arial" w:hAnsi="Arial"/>
          <w:sz w:val="15"/>
          <w:szCs w:val="15"/>
          <w:color w:val="auto"/>
        </w:rPr>
      </w:pPr>
      <w:r>
        <w:rPr>
          <w:rFonts w:ascii="Arial" w:cs="Arial" w:eastAsia="Arial" w:hAnsi="Arial"/>
          <w:sz w:val="15"/>
          <w:szCs w:val="15"/>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ind w:left="460" w:right="60" w:hanging="452"/>
        <w:spacing w:after="0" w:line="268"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0" w:lineRule="exact"/>
        <w:rPr>
          <w:rFonts w:ascii="Arial" w:cs="Arial" w:eastAsia="Arial" w:hAnsi="Arial"/>
          <w:sz w:val="18"/>
          <w:szCs w:val="18"/>
          <w:color w:val="auto"/>
        </w:rPr>
      </w:pPr>
    </w:p>
    <w:p>
      <w:pPr>
        <w:ind w:left="460" w:right="200" w:hanging="452"/>
        <w:spacing w:after="0" w:line="259"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9" w:lineRule="exact"/>
        <w:rPr>
          <w:rFonts w:ascii="Arial" w:cs="Arial" w:eastAsia="Arial" w:hAnsi="Arial"/>
          <w:sz w:val="18"/>
          <w:szCs w:val="18"/>
          <w:color w:val="auto"/>
        </w:rPr>
      </w:pPr>
    </w:p>
    <w:p>
      <w:pPr>
        <w:ind w:left="900" w:right="60" w:hanging="446"/>
        <w:spacing w:after="0" w:line="259"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9" w:lineRule="exact"/>
        <w:rPr>
          <w:rFonts w:ascii="Arial" w:cs="Arial" w:eastAsia="Arial" w:hAnsi="Arial"/>
          <w:sz w:val="18"/>
          <w:szCs w:val="18"/>
          <w:color w:val="auto"/>
        </w:rPr>
      </w:pPr>
    </w:p>
    <w:p>
      <w:pPr>
        <w:ind w:left="900" w:right="40" w:hanging="446"/>
        <w:spacing w:after="0" w:line="259"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9" w:lineRule="exact"/>
        <w:rPr>
          <w:rFonts w:ascii="Arial" w:cs="Arial" w:eastAsia="Arial" w:hAnsi="Arial"/>
          <w:sz w:val="18"/>
          <w:szCs w:val="18"/>
          <w:color w:val="auto"/>
        </w:rPr>
      </w:pPr>
    </w:p>
    <w:p>
      <w:pPr>
        <w:ind w:left="900" w:right="100" w:hanging="446"/>
        <w:spacing w:after="0" w:line="332" w:lineRule="auto"/>
        <w:tabs>
          <w:tab w:leader="none" w:pos="900" w:val="left"/>
        </w:tabs>
        <w:numPr>
          <w:ilvl w:val="1"/>
          <w:numId w:val="1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4" w:lineRule="exact"/>
        <w:rPr>
          <w:rFonts w:ascii="Arial" w:cs="Arial" w:eastAsia="Arial" w:hAnsi="Arial"/>
          <w:sz w:val="16"/>
          <w:szCs w:val="16"/>
          <w:color w:val="auto"/>
        </w:rPr>
      </w:pPr>
    </w:p>
    <w:p>
      <w:pPr>
        <w:ind w:left="900" w:right="140" w:hanging="446"/>
        <w:spacing w:after="0" w:line="259"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9" w:lineRule="exact"/>
        <w:rPr>
          <w:rFonts w:ascii="Arial" w:cs="Arial" w:eastAsia="Arial" w:hAnsi="Arial"/>
          <w:sz w:val="18"/>
          <w:szCs w:val="18"/>
          <w:color w:val="auto"/>
        </w:rPr>
      </w:pPr>
    </w:p>
    <w:p>
      <w:pPr>
        <w:ind w:left="460" w:right="640" w:hanging="452"/>
        <w:spacing w:after="0" w:line="332" w:lineRule="auto"/>
        <w:tabs>
          <w:tab w:leader="none" w:pos="4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4" w:lineRule="exact"/>
        <w:rPr>
          <w:rFonts w:ascii="Arial" w:cs="Arial" w:eastAsia="Arial" w:hAnsi="Arial"/>
          <w:sz w:val="16"/>
          <w:szCs w:val="16"/>
          <w:color w:val="auto"/>
        </w:rPr>
      </w:pPr>
    </w:p>
    <w:p>
      <w:pPr>
        <w:ind w:left="900" w:right="20" w:hanging="446"/>
        <w:spacing w:after="0" w:line="268"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50" w:lineRule="exact"/>
        <w:rPr>
          <w:rFonts w:ascii="Arial" w:cs="Arial" w:eastAsia="Arial" w:hAnsi="Arial"/>
          <w:sz w:val="18"/>
          <w:szCs w:val="18"/>
          <w:color w:val="auto"/>
        </w:rPr>
      </w:pPr>
    </w:p>
    <w:p>
      <w:pPr>
        <w:ind w:left="900" w:right="60" w:hanging="446"/>
        <w:spacing w:after="0" w:line="268" w:lineRule="auto"/>
        <w:tabs>
          <w:tab w:leader="none" w:pos="900" w:val="left"/>
        </w:tabs>
        <w:numPr>
          <w:ilvl w:val="1"/>
          <w:numId w:val="1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2"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December 6, 2013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Brad D. Feller</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125" w:right="239" w:bottom="1440" w:gutter="0" w:footer="0" w:header="0"/>
        </w:sectPr>
      </w:pPr>
    </w:p>
    <w:bookmarkStart w:id="54" w:name="page55"/>
    <w:bookmarkEnd w:id="54"/>
    <w:p>
      <w:pPr>
        <w:jc w:val="right"/>
        <w:spacing w:after="0"/>
        <w:rPr>
          <w:sz w:val="20"/>
          <w:szCs w:val="20"/>
          <w:color w:val="auto"/>
        </w:rPr>
      </w:pPr>
      <w:r>
        <w:rPr>
          <w:rFonts w:ascii="Arial" w:cs="Arial" w:eastAsia="Arial" w:hAnsi="Arial"/>
          <w:sz w:val="18"/>
          <w:szCs w:val="18"/>
          <w:b w:val="1"/>
          <w:bCs w:val="1"/>
          <w:color w:val="auto"/>
        </w:rPr>
        <w:t>Exhibit 32.1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780" w:hanging="446"/>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November 2, 2013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December 6, 2013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Sehat Sutardja</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5" w:right="239" w:bottom="1440" w:gutter="0" w:footer="0" w:header="0"/>
        </w:sectPr>
      </w:pPr>
    </w:p>
    <w:bookmarkStart w:id="55" w:name="page56"/>
    <w:bookmarkEnd w:id="55"/>
    <w:p>
      <w:pPr>
        <w:jc w:val="right"/>
        <w:spacing w:after="0"/>
        <w:rPr>
          <w:sz w:val="20"/>
          <w:szCs w:val="20"/>
          <w:color w:val="auto"/>
        </w:rPr>
      </w:pPr>
      <w:r>
        <w:rPr>
          <w:rFonts w:ascii="Arial" w:cs="Arial" w:eastAsia="Arial" w:hAnsi="Arial"/>
          <w:sz w:val="18"/>
          <w:szCs w:val="18"/>
          <w:b w:val="1"/>
          <w:bCs w:val="1"/>
          <w:color w:val="auto"/>
        </w:rPr>
        <w:t>Exhibit 32.2</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177"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I, Brad D. Feller, the Interim Chief Financial Officer of Marvell Technology Group Ltd. (the “Company”), certify for the purposes of 18 U.S.C. Section 1350, as adopted pursuant to Section 906 of the Sarbanes-Oxley Act of 2002, that, to the best of my knowledge,</w:t>
      </w:r>
    </w:p>
    <w:p>
      <w:pPr>
        <w:spacing w:after="0" w:line="51" w:lineRule="exact"/>
        <w:rPr>
          <w:sz w:val="20"/>
          <w:szCs w:val="20"/>
          <w:color w:val="auto"/>
        </w:rPr>
      </w:pPr>
    </w:p>
    <w:p>
      <w:pPr>
        <w:ind w:left="900" w:right="780" w:hanging="446"/>
        <w:spacing w:after="0" w:line="268" w:lineRule="auto"/>
        <w:tabs>
          <w:tab w:leader="none" w:pos="90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November 2, 2013 (the “Report”), fully complies with the requirements of Section 13(a) or 15(d) of the Securities Exchange Act of 1934, as amended; and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3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December 6, 2013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Brad D. Feller</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DB127F8"/>
    <w:multiLevelType w:val="hybridMultilevel"/>
    <w:lvl w:ilvl="0">
      <w:lvlJc w:val="left"/>
      <w:lvlText w:val="☒"/>
      <w:numFmt w:val="bullet"/>
      <w:start w:val="1"/>
    </w:lvl>
  </w:abstractNum>
  <w:abstractNum w:abstractNumId="1">
    <w:nsid w:val="216231B"/>
    <w:multiLevelType w:val="hybridMultilevel"/>
    <w:lvl w:ilvl="0">
      <w:lvlJc w:val="left"/>
      <w:lvlText w:val="☐"/>
      <w:numFmt w:val="bullet"/>
      <w:start w:val="1"/>
    </w:lvl>
  </w:abstractNum>
  <w:abstractNum w:abstractNumId="2">
    <w:nsid w:val="1F16E9E8"/>
    <w:multiLevelType w:val="hybridMultilevel"/>
    <w:lvl w:ilvl="0">
      <w:lvlJc w:val="left"/>
      <w:lvlText w:val="*"/>
      <w:numFmt w:val="bullet"/>
      <w:start w:val="1"/>
    </w:lvl>
  </w:abstractNum>
  <w:abstractNum w:abstractNumId="3">
    <w:nsid w:val="1190CDE7"/>
    <w:multiLevelType w:val="hybridMultilevel"/>
    <w:lvl w:ilvl="0">
      <w:lvlJc w:val="left"/>
      <w:lvlText w:val="•"/>
      <w:numFmt w:val="bullet"/>
      <w:start w:val="1"/>
    </w:lvl>
  </w:abstractNum>
  <w:abstractNum w:abstractNumId="4">
    <w:nsid w:val="66EF438D"/>
    <w:multiLevelType w:val="hybridMultilevel"/>
    <w:lvl w:ilvl="0">
      <w:lvlJc w:val="left"/>
      <w:lvlText w:val="•"/>
      <w:numFmt w:val="bullet"/>
      <w:start w:val="1"/>
    </w:lvl>
  </w:abstractNum>
  <w:abstractNum w:abstractNumId="5">
    <w:nsid w:val="140E0F76"/>
    <w:multiLevelType w:val="hybridMultilevel"/>
    <w:lvl w:ilvl="0">
      <w:lvlJc w:val="left"/>
      <w:lvlText w:val="•"/>
      <w:numFmt w:val="bullet"/>
      <w:start w:val="1"/>
    </w:lvl>
  </w:abstractNum>
  <w:abstractNum w:abstractNumId="6">
    <w:nsid w:val="3352255A"/>
    <w:multiLevelType w:val="hybridMultilevel"/>
    <w:lvl w:ilvl="0">
      <w:lvlJc w:val="left"/>
      <w:lvlText w:val="•"/>
      <w:numFmt w:val="bullet"/>
      <w:start w:val="1"/>
    </w:lvl>
  </w:abstractNum>
  <w:abstractNum w:abstractNumId="7">
    <w:nsid w:val="109CF92E"/>
    <w:multiLevelType w:val="hybridMultilevel"/>
    <w:lvl w:ilvl="0">
      <w:lvlJc w:val="left"/>
      <w:lvlText w:val="•"/>
      <w:numFmt w:val="bullet"/>
      <w:start w:val="1"/>
    </w:lvl>
  </w:abstractNum>
  <w:abstractNum w:abstractNumId="8">
    <w:nsid w:val="DED7263"/>
    <w:multiLevelType w:val="hybridMultilevel"/>
    <w:lvl w:ilvl="0">
      <w:lvlJc w:val="left"/>
      <w:lvlText w:val="•"/>
      <w:numFmt w:val="bullet"/>
      <w:start w:val="1"/>
    </w:lvl>
  </w:abstractNum>
  <w:abstractNum w:abstractNumId="9">
    <w:nsid w:val="7FDCC233"/>
    <w:multiLevelType w:val="hybridMultilevel"/>
    <w:lvl w:ilvl="0">
      <w:lvlJc w:val="left"/>
      <w:lvlText w:val="•"/>
      <w:numFmt w:val="bullet"/>
      <w:start w:val="1"/>
    </w:lvl>
  </w:abstractNum>
  <w:abstractNum w:abstractNumId="10">
    <w:nsid w:val="1BEFD79F"/>
    <w:multiLevelType w:val="hybridMultilevel"/>
    <w:lvl w:ilvl="0">
      <w:lvlJc w:val="left"/>
      <w:lvlText w:val="•"/>
      <w:numFmt w:val="bullet"/>
      <w:start w:val="1"/>
    </w:lvl>
  </w:abstractNum>
  <w:abstractNum w:abstractNumId="11">
    <w:nsid w:val="41A7C4C9"/>
    <w:multiLevelType w:val="hybridMultilevel"/>
    <w:lvl w:ilvl="0">
      <w:lvlJc w:val="left"/>
      <w:lvlText w:val="•"/>
      <w:numFmt w:val="bullet"/>
      <w:start w:val="1"/>
    </w:lvl>
  </w:abstractNum>
  <w:abstractNum w:abstractNumId="12">
    <w:nsid w:val="6B68079A"/>
    <w:multiLevelType w:val="hybridMultilevel"/>
    <w:lvl w:ilvl="0">
      <w:lvlJc w:val="left"/>
      <w:lvlText w:val="(%1)"/>
      <w:numFmt w:val="decimal"/>
      <w:start w:val="1"/>
    </w:lvl>
  </w:abstractNum>
  <w:abstractNum w:abstractNumId="13">
    <w:nsid w:val="4E6AFB66"/>
    <w:multiLevelType w:val="hybridMultilevel"/>
    <w:lvl w:ilvl="0">
      <w:lvlJc w:val="left"/>
      <w:lvlText w:val="*"/>
      <w:numFmt w:val="bullet"/>
      <w:start w:val="1"/>
    </w:lvl>
  </w:abstractNum>
  <w:abstractNum w:abstractNumId="14">
    <w:nsid w:val="25E45D32"/>
    <w:multiLevelType w:val="hybridMultilevel"/>
    <w:lvl w:ilvl="0">
      <w:lvlJc w:val="left"/>
      <w:lvlText w:val="*"/>
      <w:numFmt w:val="bullet"/>
      <w:start w:val="1"/>
    </w:lvl>
  </w:abstractNum>
  <w:abstractNum w:abstractNumId="15">
    <w:nsid w:val="519B500D"/>
    <w:multiLevelType w:val="hybridMultilevel"/>
    <w:lvl w:ilvl="0">
      <w:lvlJc w:val="left"/>
      <w:lvlText w:val="%1."/>
      <w:numFmt w:val="decimal"/>
      <w:start w:val="1"/>
    </w:lvl>
    <w:lvl w:ilvl="1">
      <w:lvlJc w:val="left"/>
      <w:lvlText w:val="%2)"/>
      <w:numFmt w:val="lowerLetter"/>
      <w:start w:val="1"/>
    </w:lvl>
  </w:abstractNum>
  <w:abstractNum w:abstractNumId="16">
    <w:nsid w:val="431BD7B7"/>
    <w:multiLevelType w:val="hybridMultilevel"/>
    <w:lvl w:ilvl="0">
      <w:lvlJc w:val="left"/>
      <w:lvlText w:val="%1."/>
      <w:numFmt w:val="decimal"/>
      <w:start w:val="1"/>
    </w:lvl>
    <w:lvl w:ilvl="1">
      <w:lvlJc w:val="left"/>
      <w:lvlText w:val="%2)"/>
      <w:numFmt w:val="lowerLetter"/>
      <w:start w:val="1"/>
    </w:lvl>
  </w:abstractNum>
  <w:abstractNum w:abstractNumId="17">
    <w:nsid w:val="3F2DBA31"/>
    <w:multiLevelType w:val="hybridMultilevel"/>
    <w:lvl w:ilvl="0">
      <w:lvlJc w:val="left"/>
      <w:lvlText w:val="(%1)"/>
      <w:numFmt w:val="lowerRoman"/>
      <w:start w:val="1"/>
    </w:lvl>
  </w:abstractNum>
  <w:abstractNum w:abstractNumId="18">
    <w:nsid w:val="7C83E458"/>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2019-12-06T20:28:00Z</dcterms:created>
  <dcterms:modified xsi:type="dcterms:W3CDTF">2019-12-06T20:28:00Z</dcterms:modified>
</cp:coreProperties>
</file>