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183515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t>UNITED STATES</w:t>
      </w:r>
    </w:p>
    <w:p>
      <w:pPr>
        <w:spacing w:after="0" w:line="31"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1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184785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05" w:lineRule="exact"/>
        <w:rPr>
          <w:sz w:val="24"/>
          <w:szCs w:val="24"/>
          <w:color w:val="auto"/>
        </w:rPr>
      </w:pPr>
    </w:p>
    <w:p>
      <w:pPr>
        <w:jc w:val="center"/>
        <w:ind w:right="-319"/>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203835</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50"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19"/>
        <w:spacing w:after="0"/>
        <w:rPr>
          <w:sz w:val="20"/>
          <w:szCs w:val="20"/>
          <w:color w:val="auto"/>
        </w:rPr>
      </w:pPr>
      <w:r>
        <w:rPr>
          <w:rFonts w:ascii="Arial" w:cs="Arial" w:eastAsia="Arial" w:hAnsi="Arial"/>
          <w:sz w:val="22"/>
          <w:szCs w:val="22"/>
          <w:b w:val="1"/>
          <w:bCs w:val="1"/>
          <w:color w:val="auto"/>
        </w:rPr>
        <w:t>Pursuant to Section 13 or 15(d) of</w:t>
      </w:r>
    </w:p>
    <w:p>
      <w:pPr>
        <w:jc w:val="center"/>
        <w:ind w:right="-319"/>
        <w:spacing w:after="0"/>
        <w:rPr>
          <w:sz w:val="20"/>
          <w:szCs w:val="20"/>
          <w:color w:val="auto"/>
        </w:rPr>
      </w:pPr>
      <w:r>
        <w:rPr>
          <w:rFonts w:ascii="Arial" w:cs="Arial" w:eastAsia="Arial" w:hAnsi="Arial"/>
          <w:sz w:val="22"/>
          <w:szCs w:val="22"/>
          <w:b w:val="1"/>
          <w:bCs w:val="1"/>
          <w:color w:val="auto"/>
        </w:rPr>
        <w:t>the Securities Exchange Act of 1934</w:t>
      </w:r>
    </w:p>
    <w:p>
      <w:pPr>
        <w:spacing w:after="0" w:line="128" w:lineRule="exact"/>
        <w:rPr>
          <w:sz w:val="24"/>
          <w:szCs w:val="24"/>
          <w:color w:val="auto"/>
        </w:rPr>
      </w:pPr>
    </w:p>
    <w:p>
      <w:pPr>
        <w:ind w:left="2860"/>
        <w:spacing w:after="0"/>
        <w:rPr>
          <w:sz w:val="20"/>
          <w:szCs w:val="20"/>
          <w:color w:val="auto"/>
        </w:rPr>
      </w:pPr>
      <w:r>
        <w:rPr>
          <w:rFonts w:ascii="Arial" w:cs="Arial" w:eastAsia="Arial" w:hAnsi="Arial"/>
          <w:sz w:val="22"/>
          <w:szCs w:val="22"/>
          <w:b w:val="1"/>
          <w:bCs w:val="1"/>
          <w:color w:val="auto"/>
        </w:rPr>
        <w:t>Date of Report (Date of earliest event reported): July 14, 2013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191135</wp:posOffset>
            </wp:positionV>
            <wp:extent cx="151765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00" w:lineRule="exact"/>
        <w:rPr>
          <w:sz w:val="24"/>
          <w:szCs w:val="24"/>
          <w:color w:val="auto"/>
        </w:rPr>
      </w:pPr>
    </w:p>
    <w:p>
      <w:pPr>
        <w:spacing w:after="0" w:line="213" w:lineRule="exact"/>
        <w:rPr>
          <w:sz w:val="24"/>
          <w:szCs w:val="24"/>
          <w:color w:val="auto"/>
        </w:rPr>
      </w:pPr>
    </w:p>
    <w:p>
      <w:pPr>
        <w:jc w:val="center"/>
        <w:ind w:right="-319"/>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4"/>
          <w:szCs w:val="24"/>
          <w:color w:val="auto"/>
        </w:rPr>
      </w:pPr>
    </w:p>
    <w:p>
      <w:pPr>
        <w:jc w:val="center"/>
        <w:ind w:right="-31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191135</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sectPr>
      </w:pPr>
    </w:p>
    <w:p>
      <w:pPr>
        <w:spacing w:after="0" w:line="200" w:lineRule="exact"/>
        <w:rPr>
          <w:sz w:val="24"/>
          <w:szCs w:val="24"/>
          <w:color w:val="auto"/>
        </w:rPr>
      </w:pPr>
    </w:p>
    <w:p>
      <w:pPr>
        <w:spacing w:after="0" w:line="329" w:lineRule="exact"/>
        <w:rPr>
          <w:sz w:val="24"/>
          <w:szCs w:val="24"/>
          <w:color w:val="auto"/>
        </w:rPr>
      </w:pPr>
    </w:p>
    <w:p>
      <w:pPr>
        <w:ind w:left="160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09" w:lineRule="exact"/>
        <w:rPr>
          <w:sz w:val="24"/>
          <w:szCs w:val="24"/>
          <w:color w:val="auto"/>
        </w:rPr>
      </w:pPr>
    </w:p>
    <w:p>
      <w:pPr>
        <w:jc w:val="center"/>
        <w:ind w:right="232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09"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77-0481679</w:t>
      </w:r>
    </w:p>
    <w:p>
      <w:pPr>
        <w:spacing w:after="0" w:line="55" w:lineRule="exact"/>
        <w:rPr>
          <w:sz w:val="24"/>
          <w:szCs w:val="24"/>
          <w:color w:val="auto"/>
        </w:rPr>
      </w:pPr>
    </w:p>
    <w:p>
      <w:pPr>
        <w:sectPr>
          <w:pgSz w:w="11900" w:h="16838" w:orient="portrait"/>
          <w:cols w:equalWidth="0" w:num="3">
            <w:col w:w="4820" w:space="720"/>
            <w:col w:w="2920" w:space="720"/>
            <w:col w:w="1920"/>
          </w:cols>
          <w:pgMar w:left="240" w:top="314" w:right="559" w:bottom="1440" w:gutter="0" w:footer="0" w:header="0"/>
          <w:type w:val="continuous"/>
        </w:sectPr>
      </w:pPr>
    </w:p>
    <w:p>
      <w:pPr>
        <w:jc w:val="center"/>
        <w:ind w:right="840"/>
        <w:spacing w:after="0"/>
        <w:rPr>
          <w:sz w:val="20"/>
          <w:szCs w:val="20"/>
          <w:color w:val="auto"/>
        </w:rPr>
      </w:pPr>
      <w:r>
        <w:rPr>
          <w:rFonts w:ascii="Arial" w:cs="Arial" w:eastAsia="Arial" w:hAnsi="Arial"/>
          <w:sz w:val="12"/>
          <w:szCs w:val="12"/>
          <w:b w:val="1"/>
          <w:bCs w:val="1"/>
          <w:color w:val="auto"/>
        </w:rPr>
        <w:t>(State or other jurisdiction</w:t>
      </w:r>
    </w:p>
    <w:p>
      <w:pPr>
        <w:spacing w:after="0" w:line="13" w:lineRule="exact"/>
        <w:rPr>
          <w:sz w:val="24"/>
          <w:szCs w:val="24"/>
          <w:color w:val="auto"/>
        </w:rPr>
      </w:pPr>
    </w:p>
    <w:p>
      <w:pPr>
        <w:jc w:val="center"/>
        <w:ind w:right="840"/>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2"/>
          <w:szCs w:val="12"/>
          <w:b w:val="1"/>
          <w:bCs w:val="1"/>
          <w:color w:val="auto"/>
        </w:rPr>
        <w:t>(Commission</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File Number)</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2"/>
          <w:szCs w:val="12"/>
          <w:b w:val="1"/>
          <w:bCs w:val="1"/>
          <w:color w:val="auto"/>
        </w:rPr>
        <w:t>(I.R.S. Employer</w:t>
      </w:r>
    </w:p>
    <w:p>
      <w:pPr>
        <w:spacing w:after="0" w:line="14" w:lineRule="exact"/>
        <w:rPr>
          <w:sz w:val="24"/>
          <w:szCs w:val="24"/>
          <w:color w:val="auto"/>
        </w:rPr>
      </w:pPr>
    </w:p>
    <w:p>
      <w:pPr>
        <w:spacing w:after="0"/>
        <w:rPr>
          <w:sz w:val="20"/>
          <w:szCs w:val="20"/>
          <w:color w:val="auto"/>
        </w:rPr>
      </w:pPr>
      <w:r>
        <w:rPr>
          <w:rFonts w:ascii="Arial" w:cs="Arial" w:eastAsia="Arial" w:hAnsi="Arial"/>
          <w:sz w:val="12"/>
          <w:szCs w:val="12"/>
          <w:b w:val="1"/>
          <w:bCs w:val="1"/>
          <w:color w:val="auto"/>
        </w:rPr>
        <w:t>Identification No.)</w:t>
      </w:r>
    </w:p>
    <w:p>
      <w:pPr>
        <w:spacing w:after="0" w:line="170" w:lineRule="exact"/>
        <w:rPr>
          <w:sz w:val="24"/>
          <w:szCs w:val="24"/>
          <w:color w:val="auto"/>
        </w:rPr>
      </w:pPr>
    </w:p>
    <w:p>
      <w:pPr>
        <w:sectPr>
          <w:pgSz w:w="11900" w:h="16838" w:orient="portrait"/>
          <w:cols w:equalWidth="0" w:num="3">
            <w:col w:w="4740" w:space="720"/>
            <w:col w:w="2880" w:space="720"/>
            <w:col w:w="2040"/>
          </w:cols>
          <w:pgMar w:left="240" w:top="314" w:right="559" w:bottom="1440" w:gutter="0" w:footer="0" w:header="0"/>
          <w:type w:val="continuous"/>
        </w:sectPr>
      </w:pPr>
    </w:p>
    <w:p>
      <w:pPr>
        <w:jc w:val="center"/>
        <w:ind w:right="-339"/>
        <w:spacing w:after="0"/>
        <w:rPr>
          <w:sz w:val="20"/>
          <w:szCs w:val="20"/>
          <w:color w:val="auto"/>
        </w:rPr>
      </w:pPr>
      <w:r>
        <w:rPr>
          <w:rFonts w:ascii="Arial" w:cs="Arial" w:eastAsia="Arial" w:hAnsi="Arial"/>
          <w:sz w:val="18"/>
          <w:szCs w:val="18"/>
          <w:b w:val="1"/>
          <w:bCs w:val="1"/>
          <w:color w:val="auto"/>
        </w:rPr>
        <w:t>Canon’s Court</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(Address of principal executive offices)</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(441) 296-6395</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137" w:lineRule="exact"/>
        <w:rPr>
          <w:sz w:val="24"/>
          <w:szCs w:val="24"/>
          <w:color w:val="auto"/>
        </w:rPr>
      </w:pPr>
    </w:p>
    <w:p>
      <w:pPr>
        <w:jc w:val="center"/>
        <w:ind w:right="-339"/>
        <w:spacing w:after="0"/>
        <w:rPr>
          <w:sz w:val="20"/>
          <w:szCs w:val="20"/>
          <w:color w:val="auto"/>
        </w:rPr>
      </w:pPr>
      <w:r>
        <w:rPr>
          <w:rFonts w:ascii="Arial" w:cs="Arial" w:eastAsia="Arial" w:hAnsi="Arial"/>
          <w:sz w:val="18"/>
          <w:szCs w:val="18"/>
          <w:b w:val="1"/>
          <w:bCs w:val="1"/>
          <w:color w:val="auto"/>
        </w:rPr>
        <w:t>N/A</w:t>
      </w:r>
    </w:p>
    <w:p>
      <w:pPr>
        <w:spacing w:after="0" w:line="21" w:lineRule="exact"/>
        <w:rPr>
          <w:sz w:val="24"/>
          <w:szCs w:val="24"/>
          <w:color w:val="auto"/>
        </w:rPr>
      </w:pPr>
    </w:p>
    <w:p>
      <w:pPr>
        <w:jc w:val="center"/>
        <w:ind w:right="-339"/>
        <w:spacing w:after="0"/>
        <w:rPr>
          <w:sz w:val="20"/>
          <w:szCs w:val="20"/>
          <w:color w:val="auto"/>
        </w:rPr>
      </w:pPr>
      <w:r>
        <w:rPr>
          <w:rFonts w:ascii="Arial" w:cs="Arial" w:eastAsia="Arial" w:hAnsi="Arial"/>
          <w:sz w:val="12"/>
          <w:szCs w:val="12"/>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187960</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p>
      <w:pPr>
        <w:spacing w:after="0" w:line="200" w:lineRule="exact"/>
        <w:rPr>
          <w:sz w:val="24"/>
          <w:szCs w:val="24"/>
          <w:color w:val="auto"/>
        </w:rPr>
      </w:pPr>
    </w:p>
    <w:p>
      <w:pPr>
        <w:spacing w:after="0" w:line="263" w:lineRule="exact"/>
        <w:rPr>
          <w:sz w:val="24"/>
          <w:szCs w:val="24"/>
          <w:color w:val="auto"/>
        </w:rPr>
      </w:pPr>
    </w:p>
    <w:p>
      <w:pPr>
        <w:spacing w:after="0" w:line="268"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51" w:lineRule="exact"/>
        <w:rPr>
          <w:sz w:val="24"/>
          <w:szCs w:val="24"/>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460" w:hanging="452"/>
        <w:spacing w:after="0"/>
        <w:tabs>
          <w:tab w:leader="none" w:pos="460"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105410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131445</wp:posOffset>
            </wp:positionV>
            <wp:extent cx="724662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100"/>
          </w:cols>
          <w:pgMar w:left="240" w:top="314" w:right="559" w:bottom="1440" w:gutter="0" w:footer="0" w:header="0"/>
          <w:type w:val="continuous"/>
        </w:sectPr>
      </w:pPr>
    </w:p>
    <w:bookmarkStart w:id="1" w:name="page2"/>
    <w:bookmarkEnd w:id="1"/>
    <w:p>
      <w:pPr>
        <w:ind w:right="120"/>
        <w:spacing w:after="0" w:line="275"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5.02 Departure of Directors or Certain Officers; Election of Directors; Appointment of Certain Officers; Compensatory Arrangements of Certain Officers.</w:t>
      </w:r>
    </w:p>
    <w:p>
      <w:pPr>
        <w:spacing w:after="0" w:line="45" w:lineRule="exact"/>
        <w:rPr>
          <w:sz w:val="20"/>
          <w:szCs w:val="20"/>
          <w:color w:val="auto"/>
        </w:rPr>
      </w:pPr>
    </w:p>
    <w:p>
      <w:pPr>
        <w:ind w:left="460"/>
        <w:spacing w:after="0"/>
        <w:rPr>
          <w:sz w:val="20"/>
          <w:szCs w:val="20"/>
          <w:color w:val="auto"/>
        </w:rPr>
      </w:pPr>
      <w:r>
        <w:rPr>
          <w:rFonts w:ascii="Arial" w:cs="Arial" w:eastAsia="Arial" w:hAnsi="Arial"/>
          <w:sz w:val="16"/>
          <w:szCs w:val="16"/>
          <w:color w:val="auto"/>
        </w:rPr>
        <w:t>On July 14, 2013, Dr. Sehat Sutardja, the continuing Chief Executive Officer and Chairman of the Board of Directors of Marvell Technology Group Ltd.</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(the “Company”), relinquished his position as President of the Company.</w:t>
      </w:r>
    </w:p>
    <w:p>
      <w:pPr>
        <w:spacing w:after="0" w:line="165" w:lineRule="exact"/>
        <w:rPr>
          <w:sz w:val="20"/>
          <w:szCs w:val="20"/>
          <w:color w:val="auto"/>
        </w:rPr>
      </w:pPr>
    </w:p>
    <w:p>
      <w:pPr>
        <w:ind w:firstLine="456"/>
        <w:spacing w:after="0" w:line="290" w:lineRule="auto"/>
        <w:rPr>
          <w:sz w:val="20"/>
          <w:szCs w:val="20"/>
          <w:color w:val="auto"/>
        </w:rPr>
      </w:pPr>
      <w:r>
        <w:rPr>
          <w:rFonts w:ascii="Arial" w:cs="Arial" w:eastAsia="Arial" w:hAnsi="Arial"/>
          <w:sz w:val="16"/>
          <w:szCs w:val="16"/>
          <w:color w:val="auto"/>
        </w:rPr>
        <w:t>On July 14, 2013, the Company appointed Weili Dai, 51, as its President, effective as of July 14, 2013. Ms. Dai has held a number of significant positions within the Company since she co-founded the Company in 1995. Before her appointment as President of the Company, Ms. Dai served as a Vice President of Marvell Semiconductor, Inc. (“MSI”) since 2008, including as General Manager of the Communications &amp; Consumer Business of MSI since September 2011 and as General Manager of the Communications and Computing Business Unit of MSI from March 2009 to September 2011. Ms. Dai served as Chief Operating Officer and Executive Vice President of the Company prior to May 2007. From 1995 to May 2007, Ms. Dai also served as a Director of the Company. Prior to co-founding the Company, Ms. Dai was involved in software development and project management at Canon Research Center America, Inc. Ms. Dai holds a Bachelor of Science degree in Computer Science from the University of California at Berkeley.</w:t>
      </w:r>
    </w:p>
    <w:p>
      <w:pPr>
        <w:spacing w:after="0" w:line="118" w:lineRule="exact"/>
        <w:rPr>
          <w:sz w:val="20"/>
          <w:szCs w:val="20"/>
          <w:color w:val="auto"/>
        </w:rPr>
      </w:pPr>
    </w:p>
    <w:p>
      <w:pPr>
        <w:ind w:right="120" w:firstLine="456"/>
        <w:spacing w:after="0" w:line="254" w:lineRule="auto"/>
        <w:rPr>
          <w:sz w:val="20"/>
          <w:szCs w:val="20"/>
          <w:color w:val="auto"/>
        </w:rPr>
      </w:pPr>
      <w:r>
        <w:rPr>
          <w:rFonts w:ascii="Arial" w:cs="Arial" w:eastAsia="Arial" w:hAnsi="Arial"/>
          <w:sz w:val="18"/>
          <w:szCs w:val="18"/>
          <w:color w:val="auto"/>
        </w:rPr>
        <w:t>There are no arrangements or understandings between Ms. Dai and any other persons pursuant to which she was selected as President of the Company. Ms. Dai is the wife of Dr. S. Sutardja and the sister-in-law of Dr. Pantas Sutardja, the Company’s Vice President, Chief Technology Officer and Chief Research and Development Officer. The Company also intends to enter into its standard form indemnification agreement with Ms. Dai. For a complete description of related party transactions required to be disclosed by Item 404(a) of Regulation S-K, please see the section entitled “Related Party Transactions” (pages 49 – 50) of the Company’s definitive proxy statement dated May 14, 2013 as filed with the Securities and Exchange Commission, which is incorporated herein by reference.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7.01 Regulation FD Disclosure</w:t>
      </w:r>
    </w:p>
    <w:p>
      <w:pPr>
        <w:spacing w:after="0" w:line="96" w:lineRule="exact"/>
        <w:rPr>
          <w:sz w:val="20"/>
          <w:szCs w:val="20"/>
          <w:color w:val="auto"/>
        </w:rPr>
      </w:pPr>
    </w:p>
    <w:p>
      <w:pPr>
        <w:ind w:right="120" w:firstLine="456"/>
        <w:spacing w:after="0" w:line="268" w:lineRule="auto"/>
        <w:rPr>
          <w:sz w:val="20"/>
          <w:szCs w:val="20"/>
          <w:color w:val="auto"/>
        </w:rPr>
      </w:pPr>
      <w:r>
        <w:rPr>
          <w:rFonts w:ascii="Arial" w:cs="Arial" w:eastAsia="Arial" w:hAnsi="Arial"/>
          <w:sz w:val="18"/>
          <w:szCs w:val="18"/>
          <w:color w:val="auto"/>
        </w:rPr>
        <w:t>On July 15, 2013, the Company issued a press release announcing the matters described above. A copy of this press release is furnished as Exhibit 99.1 to this Current Report on Form 8-K.</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9.01 Financial Statements and Exhibits.</w:t>
      </w:r>
    </w:p>
    <w:p>
      <w:pPr>
        <w:spacing w:after="0" w:line="96" w:lineRule="exact"/>
        <w:rPr>
          <w:sz w:val="20"/>
          <w:szCs w:val="20"/>
          <w:color w:val="auto"/>
        </w:rPr>
      </w:pPr>
    </w:p>
    <w:p>
      <w:pPr>
        <w:ind w:left="900" w:hanging="446"/>
        <w:spacing w:after="0"/>
        <w:tabs>
          <w:tab w:leader="none" w:pos="900" w:val="left"/>
        </w:tabs>
        <w:numPr>
          <w:ilvl w:val="0"/>
          <w:numId w:val="2"/>
        </w:numPr>
        <w:rPr>
          <w:rFonts w:ascii="Arial" w:cs="Arial" w:eastAsia="Arial" w:hAnsi="Arial"/>
          <w:sz w:val="18"/>
          <w:szCs w:val="18"/>
          <w:color w:val="auto"/>
        </w:rPr>
      </w:pPr>
      <w:r>
        <w:rPr>
          <w:rFonts w:ascii="Arial" w:cs="Arial" w:eastAsia="Arial" w:hAnsi="Arial"/>
          <w:sz w:val="18"/>
          <w:szCs w:val="18"/>
          <w:color w:val="auto"/>
        </w:rPr>
        <w:t>Exhibits.</w:t>
      </w:r>
    </w:p>
    <w:p>
      <w:pPr>
        <w:spacing w:after="0" w:line="90" w:lineRule="exact"/>
        <w:rPr>
          <w:sz w:val="20"/>
          <w:szCs w:val="20"/>
          <w:color w:val="auto"/>
        </w:rPr>
      </w:pPr>
    </w:p>
    <w:p>
      <w:pPr>
        <w:ind w:left="920"/>
        <w:spacing w:after="0"/>
        <w:tabs>
          <w:tab w:leader="none" w:pos="198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color w:val="auto"/>
        </w:rPr>
        <w:t>Press Release dated July 15, 2013</w:t>
      </w:r>
    </w:p>
    <w:p>
      <w:pPr>
        <w:spacing w:after="0" w:line="15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400"/>
          </w:cols>
          <w:pgMar w:left="240" w:top="274" w:right="259" w:bottom="1440" w:gutter="0" w:footer="0" w:header="0"/>
        </w:sectPr>
      </w:pPr>
    </w:p>
    <w:bookmarkStart w:id="2" w:name="page3"/>
    <w:bookmarkEnd w:id="2"/>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w:t>
      </w:r>
    </w:p>
    <w:p>
      <w:pPr>
        <w:spacing w:after="0" w:line="177" w:lineRule="exact"/>
        <w:rPr>
          <w:sz w:val="20"/>
          <w:szCs w:val="20"/>
          <w:color w:val="auto"/>
        </w:rPr>
      </w:pPr>
    </w:p>
    <w:p>
      <w:pPr>
        <w:ind w:firstLine="456"/>
        <w:spacing w:after="0" w:line="268"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2" w:lineRule="exact"/>
        <w:rPr>
          <w:sz w:val="20"/>
          <w:szCs w:val="20"/>
          <w:color w:val="auto"/>
        </w:rPr>
      </w:pPr>
    </w:p>
    <w:p>
      <w:pPr>
        <w:ind w:left="460"/>
        <w:spacing w:after="0"/>
        <w:rPr>
          <w:sz w:val="20"/>
          <w:szCs w:val="20"/>
          <w:color w:val="auto"/>
        </w:rPr>
      </w:pPr>
      <w:r>
        <w:rPr>
          <w:rFonts w:ascii="Arial" w:cs="Arial" w:eastAsia="Arial" w:hAnsi="Arial"/>
          <w:sz w:val="18"/>
          <w:szCs w:val="18"/>
          <w:color w:val="auto"/>
        </w:rPr>
        <w:t>Dated: July 15, 2013</w:t>
      </w:r>
    </w:p>
    <w:p>
      <w:pPr>
        <w:spacing w:after="0" w:line="212"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ind w:left="6860"/>
        <w:spacing w:after="0"/>
        <w:rPr>
          <w:sz w:val="20"/>
          <w:szCs w:val="20"/>
          <w:color w:val="auto"/>
        </w:rPr>
      </w:pPr>
      <w:r>
        <w:rPr>
          <w:rFonts w:ascii="Arial" w:cs="Arial" w:eastAsia="Arial" w:hAnsi="Arial"/>
          <w:sz w:val="18"/>
          <w:szCs w:val="18"/>
          <w:color w:val="auto"/>
        </w:rPr>
        <w:t>By:  /s/ Brad D. Feller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4592955</wp:posOffset>
            </wp:positionH>
            <wp:positionV relativeFrom="paragraph">
              <wp:posOffset>10795</wp:posOffset>
            </wp:positionV>
            <wp:extent cx="265874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2658745" cy="8890"/>
                    </a:xfrm>
                    <a:prstGeom prst="rect">
                      <a:avLst/>
                    </a:prstGeom>
                    <a:noFill/>
                  </pic:spPr>
                </pic:pic>
              </a:graphicData>
            </a:graphic>
          </wp:anchor>
        </w:drawing>
      </w:r>
    </w:p>
    <w:p>
      <w:pPr>
        <w:spacing w:after="0" w:line="16" w:lineRule="exact"/>
        <w:rPr>
          <w:sz w:val="20"/>
          <w:szCs w:val="20"/>
          <w:color w:val="auto"/>
        </w:rPr>
      </w:pPr>
    </w:p>
    <w:p>
      <w:pPr>
        <w:ind w:left="7240"/>
        <w:spacing w:after="0"/>
        <w:rPr>
          <w:sz w:val="20"/>
          <w:szCs w:val="20"/>
          <w:color w:val="auto"/>
        </w:rPr>
      </w:pPr>
      <w:r>
        <w:rPr>
          <w:rFonts w:ascii="Arial" w:cs="Arial" w:eastAsia="Arial" w:hAnsi="Arial"/>
          <w:sz w:val="18"/>
          <w:szCs w:val="18"/>
          <w:color w:val="auto"/>
        </w:rPr>
        <w:t>Brad D. Feller</w:t>
      </w:r>
    </w:p>
    <w:p>
      <w:pPr>
        <w:spacing w:after="0" w:line="15" w:lineRule="exact"/>
        <w:rPr>
          <w:sz w:val="20"/>
          <w:szCs w:val="20"/>
          <w:color w:val="auto"/>
        </w:rPr>
      </w:pPr>
    </w:p>
    <w:p>
      <w:pPr>
        <w:ind w:left="7240"/>
        <w:spacing w:after="0"/>
        <w:rPr>
          <w:sz w:val="20"/>
          <w:szCs w:val="20"/>
          <w:color w:val="auto"/>
        </w:rPr>
      </w:pPr>
      <w:r>
        <w:rPr>
          <w:rFonts w:ascii="Arial" w:cs="Arial" w:eastAsia="Arial" w:hAnsi="Arial"/>
          <w:sz w:val="18"/>
          <w:szCs w:val="18"/>
          <w:i w:val="1"/>
          <w:iCs w:val="1"/>
          <w:color w:val="auto"/>
        </w:rPr>
        <w:t>Interim Chief Financial Officer</w:t>
      </w:r>
    </w:p>
    <w:p>
      <w:pPr>
        <w:spacing w:after="0" w:line="15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00"/>
          </w:cols>
          <w:pgMar w:left="240" w:top="274" w:right="259" w:bottom="1440" w:gutter="0" w:footer="0" w:header="0"/>
        </w:sectPr>
      </w:pPr>
    </w:p>
    <w:bookmarkStart w:id="3" w:name="page4"/>
    <w:bookmarkEnd w:id="3"/>
    <w:p>
      <w:pPr>
        <w:jc w:val="right"/>
        <w:ind w:right="38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t>EXHIBIT INDEX</w:t>
      </w:r>
    </w:p>
    <w:p>
      <w:pPr>
        <w:sectPr>
          <w:pgSz w:w="11900" w:h="16838" w:orient="portrait"/>
          <w:cols w:equalWidth="0" w:num="1">
            <w:col w:w="10219"/>
          </w:cols>
          <w:pgMar w:left="240" w:top="274" w:right="1440" w:bottom="1440" w:gutter="0" w:footer="0" w:header="0"/>
        </w:sectPr>
      </w:pPr>
    </w:p>
    <w:p>
      <w:pPr>
        <w:spacing w:after="0" w:line="215" w:lineRule="exact"/>
        <w:rPr>
          <w:sz w:val="20"/>
          <w:szCs w:val="20"/>
          <w:color w:val="auto"/>
        </w:rPr>
      </w:pPr>
    </w:p>
    <w:p>
      <w:pPr>
        <w:ind w:left="20"/>
        <w:spacing w:after="0"/>
        <w:rPr>
          <w:sz w:val="20"/>
          <w:szCs w:val="20"/>
          <w:color w:val="auto"/>
        </w:rPr>
      </w:pPr>
      <w:r>
        <w:rPr>
          <w:rFonts w:ascii="Arial" w:cs="Arial" w:eastAsia="Arial" w:hAnsi="Arial"/>
          <w:sz w:val="12"/>
          <w:szCs w:val="12"/>
          <w:color w:val="auto"/>
        </w:rPr>
        <w:t>Exhibit No.</w:t>
      </w:r>
    </w:p>
    <w:p>
      <w:pPr>
        <w:spacing w:after="0" w:line="20" w:lineRule="exact"/>
        <w:rPr>
          <w:sz w:val="20"/>
          <w:szCs w:val="20"/>
          <w:color w:val="auto"/>
        </w:rPr>
      </w:pPr>
      <w:r>
        <w:rPr>
          <w:sz w:val="20"/>
          <w:szCs w:val="20"/>
          <w:color w:val="auto"/>
        </w:rPr>
        <w:br w:type="column"/>
      </w:r>
    </w:p>
    <w:p>
      <w:pPr>
        <w:spacing w:after="0" w:line="195" w:lineRule="exact"/>
        <w:rPr>
          <w:sz w:val="20"/>
          <w:szCs w:val="20"/>
          <w:color w:val="auto"/>
        </w:rPr>
      </w:pPr>
    </w:p>
    <w:p>
      <w:pPr>
        <w:spacing w:after="0"/>
        <w:rPr>
          <w:sz w:val="20"/>
          <w:szCs w:val="20"/>
          <w:color w:val="auto"/>
        </w:rPr>
      </w:pPr>
      <w:r>
        <w:rPr>
          <w:rFonts w:ascii="Arial" w:cs="Arial" w:eastAsia="Arial" w:hAnsi="Arial"/>
          <w:sz w:val="12"/>
          <w:szCs w:val="12"/>
          <w:color w:val="auto"/>
        </w:rPr>
        <w:t>Description</w:t>
      </w:r>
    </w:p>
    <w:p>
      <w:pPr>
        <w:spacing w:after="0" w:line="121" w:lineRule="exact"/>
        <w:rPr>
          <w:sz w:val="20"/>
          <w:szCs w:val="20"/>
          <w:color w:val="auto"/>
        </w:rPr>
      </w:pPr>
    </w:p>
    <w:p>
      <w:pPr>
        <w:sectPr>
          <w:pgSz w:w="11900" w:h="16838" w:orient="portrait"/>
          <w:cols w:equalWidth="0" w:num="2">
            <w:col w:w="700" w:space="720"/>
            <w:col w:w="8799"/>
          </w:cols>
          <w:pgMar w:left="240" w:top="274" w:right="1440" w:bottom="1440" w:gutter="0" w:footer="0" w:header="0"/>
          <w:type w:val="continuous"/>
        </w:sectPr>
      </w:pPr>
    </w:p>
    <w:p>
      <w:pPr>
        <w:spacing w:after="0"/>
        <w:rPr>
          <w:sz w:val="20"/>
          <w:szCs w:val="20"/>
          <w:color w:val="auto"/>
        </w:rPr>
      </w:pPr>
      <w:r>
        <w:rPr>
          <w:rFonts w:ascii="Arial" w:cs="Arial" w:eastAsia="Arial" w:hAnsi="Arial"/>
          <w:sz w:val="16"/>
          <w:szCs w:val="16"/>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Press Release dated July 15, 2013</w:t>
      </w:r>
    </w:p>
    <w:p>
      <w:pPr>
        <w:sectPr>
          <w:pgSz w:w="11900" w:h="16838" w:orient="portrait"/>
          <w:cols w:equalWidth="0" w:num="2">
            <w:col w:w="700" w:space="720"/>
            <w:col w:w="8799"/>
          </w:cols>
          <w:pgMar w:left="240" w:top="274" w:right="1440" w:bottom="1440" w:gutter="0" w:footer="0" w:header="0"/>
          <w:type w:val="continuous"/>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5536565</wp:posOffset>
            </wp:positionH>
            <wp:positionV relativeFrom="paragraph">
              <wp:posOffset>143510</wp:posOffset>
            </wp:positionV>
            <wp:extent cx="1715135" cy="12890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715135" cy="128905"/>
                    </a:xfrm>
                    <a:prstGeom prst="rect">
                      <a:avLst/>
                    </a:prstGeom>
                    <a:noFill/>
                  </pic:spPr>
                </pic:pic>
              </a:graphicData>
            </a:graphic>
          </wp:anchor>
        </w:drawing>
      </w:r>
    </w:p>
    <w:p>
      <w:pPr>
        <w:spacing w:after="0" w:line="200" w:lineRule="exact"/>
        <w:rPr>
          <w:sz w:val="20"/>
          <w:szCs w:val="20"/>
          <w:color w:val="auto"/>
        </w:rPr>
      </w:pPr>
    </w:p>
    <w:p>
      <w:pPr>
        <w:spacing w:after="0" w:line="356"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2920" w:type="dxa"/>
            <w:vAlign w:val="bottom"/>
            <w:gridSpan w:val="2"/>
          </w:tcPr>
          <w:p>
            <w:pPr>
              <w:spacing w:after="0"/>
              <w:rPr>
                <w:sz w:val="20"/>
                <w:szCs w:val="20"/>
                <w:color w:val="auto"/>
              </w:rPr>
            </w:pPr>
            <w:r>
              <w:rPr>
                <w:rFonts w:ascii="Arial" w:cs="Arial" w:eastAsia="Arial" w:hAnsi="Arial"/>
                <w:sz w:val="18"/>
                <w:szCs w:val="18"/>
                <w:b w:val="1"/>
                <w:bCs w:val="1"/>
                <w:color w:val="auto"/>
              </w:rPr>
              <w:t>For further information, contact:</w:t>
            </w:r>
          </w:p>
        </w:tc>
        <w:tc>
          <w:tcPr>
            <w:tcW w:w="314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620" w:type="dxa"/>
            <w:vAlign w:val="bottom"/>
          </w:tcPr>
          <w:p>
            <w:pPr>
              <w:spacing w:after="0"/>
              <w:rPr>
                <w:sz w:val="19"/>
                <w:szCs w:val="19"/>
                <w:color w:val="auto"/>
              </w:rPr>
            </w:pPr>
          </w:p>
        </w:tc>
      </w:tr>
      <w:tr>
        <w:trPr>
          <w:trHeight w:val="216"/>
        </w:trPr>
        <w:tc>
          <w:tcPr>
            <w:tcW w:w="2920" w:type="dxa"/>
            <w:vAlign w:val="bottom"/>
            <w:gridSpan w:val="2"/>
          </w:tcPr>
          <w:p>
            <w:pPr>
              <w:spacing w:after="0"/>
              <w:rPr>
                <w:sz w:val="20"/>
                <w:szCs w:val="20"/>
                <w:color w:val="auto"/>
              </w:rPr>
            </w:pPr>
            <w:r>
              <w:rPr>
                <w:rFonts w:ascii="Arial" w:cs="Arial" w:eastAsia="Arial" w:hAnsi="Arial"/>
                <w:sz w:val="18"/>
                <w:szCs w:val="18"/>
                <w:color w:val="auto"/>
              </w:rPr>
              <w:t>Holly Zheng</w:t>
            </w:r>
          </w:p>
        </w:tc>
        <w:tc>
          <w:tcPr>
            <w:tcW w:w="3140" w:type="dxa"/>
            <w:vAlign w:val="bottom"/>
          </w:tcPr>
          <w:p>
            <w:pPr>
              <w:spacing w:after="0"/>
              <w:rPr>
                <w:sz w:val="18"/>
                <w:szCs w:val="18"/>
                <w:color w:val="auto"/>
              </w:rPr>
            </w:pPr>
          </w:p>
        </w:tc>
        <w:tc>
          <w:tcPr>
            <w:tcW w:w="2040" w:type="dxa"/>
            <w:vAlign w:val="bottom"/>
            <w:gridSpan w:val="2"/>
          </w:tcPr>
          <w:p>
            <w:pPr>
              <w:spacing w:after="0"/>
              <w:rPr>
                <w:sz w:val="20"/>
                <w:szCs w:val="20"/>
                <w:color w:val="auto"/>
              </w:rPr>
            </w:pPr>
            <w:r>
              <w:rPr>
                <w:rFonts w:ascii="Arial" w:cs="Arial" w:eastAsia="Arial" w:hAnsi="Arial"/>
                <w:sz w:val="18"/>
                <w:szCs w:val="18"/>
                <w:color w:val="auto"/>
              </w:rPr>
              <w:t>Sukhi Nagesh</w:t>
            </w:r>
          </w:p>
        </w:tc>
      </w:tr>
      <w:tr>
        <w:trPr>
          <w:trHeight w:val="216"/>
        </w:trPr>
        <w:tc>
          <w:tcPr>
            <w:tcW w:w="2920" w:type="dxa"/>
            <w:vAlign w:val="bottom"/>
            <w:gridSpan w:val="2"/>
          </w:tcPr>
          <w:p>
            <w:pPr>
              <w:spacing w:after="0"/>
              <w:rPr>
                <w:sz w:val="20"/>
                <w:szCs w:val="20"/>
                <w:color w:val="auto"/>
              </w:rPr>
            </w:pPr>
            <w:r>
              <w:rPr>
                <w:rFonts w:ascii="Arial" w:cs="Arial" w:eastAsia="Arial" w:hAnsi="Arial"/>
                <w:sz w:val="18"/>
                <w:szCs w:val="18"/>
                <w:color w:val="auto"/>
              </w:rPr>
              <w:t>Media Relations</w:t>
            </w:r>
          </w:p>
        </w:tc>
        <w:tc>
          <w:tcPr>
            <w:tcW w:w="3140" w:type="dxa"/>
            <w:vAlign w:val="bottom"/>
          </w:tcPr>
          <w:p>
            <w:pPr>
              <w:spacing w:after="0"/>
              <w:rPr>
                <w:sz w:val="18"/>
                <w:szCs w:val="18"/>
                <w:color w:val="auto"/>
              </w:rPr>
            </w:pPr>
          </w:p>
        </w:tc>
        <w:tc>
          <w:tcPr>
            <w:tcW w:w="2040" w:type="dxa"/>
            <w:vAlign w:val="bottom"/>
            <w:gridSpan w:val="2"/>
          </w:tcPr>
          <w:p>
            <w:pPr>
              <w:spacing w:after="0"/>
              <w:rPr>
                <w:sz w:val="20"/>
                <w:szCs w:val="20"/>
                <w:color w:val="auto"/>
              </w:rPr>
            </w:pPr>
            <w:r>
              <w:rPr>
                <w:rFonts w:ascii="Arial" w:cs="Arial" w:eastAsia="Arial" w:hAnsi="Arial"/>
                <w:sz w:val="18"/>
                <w:szCs w:val="18"/>
                <w:color w:val="auto"/>
              </w:rPr>
              <w:t>Investor Relations</w:t>
            </w:r>
          </w:p>
        </w:tc>
      </w:tr>
      <w:tr>
        <w:trPr>
          <w:trHeight w:val="216"/>
        </w:trPr>
        <w:tc>
          <w:tcPr>
            <w:tcW w:w="1500" w:type="dxa"/>
            <w:vAlign w:val="bottom"/>
          </w:tcPr>
          <w:p>
            <w:pPr>
              <w:spacing w:after="0"/>
              <w:rPr>
                <w:sz w:val="20"/>
                <w:szCs w:val="20"/>
                <w:color w:val="auto"/>
              </w:rPr>
            </w:pPr>
            <w:r>
              <w:rPr>
                <w:rFonts w:ascii="Arial" w:cs="Arial" w:eastAsia="Arial" w:hAnsi="Arial"/>
                <w:sz w:val="18"/>
                <w:szCs w:val="18"/>
                <w:color w:val="auto"/>
              </w:rPr>
              <w:t>408-222-9202</w:t>
            </w:r>
          </w:p>
        </w:tc>
        <w:tc>
          <w:tcPr>
            <w:tcW w:w="1420" w:type="dxa"/>
            <w:vAlign w:val="bottom"/>
          </w:tcPr>
          <w:p>
            <w:pPr>
              <w:spacing w:after="0"/>
              <w:rPr>
                <w:sz w:val="18"/>
                <w:szCs w:val="18"/>
                <w:color w:val="auto"/>
              </w:rPr>
            </w:pPr>
          </w:p>
        </w:tc>
        <w:tc>
          <w:tcPr>
            <w:tcW w:w="4560" w:type="dxa"/>
            <w:vAlign w:val="bottom"/>
            <w:gridSpan w:val="2"/>
          </w:tcPr>
          <w:p>
            <w:pPr>
              <w:ind w:left="3140"/>
              <w:spacing w:after="0"/>
              <w:rPr>
                <w:sz w:val="20"/>
                <w:szCs w:val="20"/>
                <w:color w:val="auto"/>
              </w:rPr>
            </w:pPr>
            <w:r>
              <w:rPr>
                <w:rFonts w:ascii="Arial" w:cs="Arial" w:eastAsia="Arial" w:hAnsi="Arial"/>
                <w:sz w:val="18"/>
                <w:szCs w:val="18"/>
                <w:color w:val="auto"/>
              </w:rPr>
              <w:t>408-222-8373</w:t>
            </w:r>
          </w:p>
        </w:tc>
        <w:tc>
          <w:tcPr>
            <w:tcW w:w="620" w:type="dxa"/>
            <w:vAlign w:val="bottom"/>
          </w:tcPr>
          <w:p>
            <w:pPr>
              <w:spacing w:after="0"/>
              <w:rPr>
                <w:sz w:val="18"/>
                <w:szCs w:val="18"/>
                <w:color w:val="auto"/>
              </w:rPr>
            </w:pPr>
          </w:p>
        </w:tc>
      </w:tr>
      <w:tr>
        <w:trPr>
          <w:trHeight w:val="184"/>
        </w:trPr>
        <w:tc>
          <w:tcPr>
            <w:tcW w:w="1500" w:type="dxa"/>
            <w:vAlign w:val="bottom"/>
          </w:tcPr>
          <w:p>
            <w:pPr>
              <w:spacing w:after="0" w:line="184" w:lineRule="exact"/>
              <w:rPr>
                <w:sz w:val="20"/>
                <w:szCs w:val="20"/>
                <w:color w:val="auto"/>
              </w:rPr>
            </w:pPr>
            <w:r>
              <w:rPr>
                <w:rFonts w:ascii="Arial" w:cs="Arial" w:eastAsia="Arial" w:hAnsi="Arial"/>
                <w:sz w:val="18"/>
                <w:szCs w:val="18"/>
                <w:color w:val="auto"/>
                <w:w w:val="91"/>
              </w:rPr>
              <w:t>hollyz@marvell.com</w:t>
            </w:r>
          </w:p>
        </w:tc>
        <w:tc>
          <w:tcPr>
            <w:tcW w:w="1420" w:type="dxa"/>
            <w:vAlign w:val="bottom"/>
          </w:tcPr>
          <w:p>
            <w:pPr>
              <w:spacing w:after="0"/>
              <w:rPr>
                <w:sz w:val="15"/>
                <w:szCs w:val="15"/>
                <w:color w:val="auto"/>
              </w:rPr>
            </w:pPr>
          </w:p>
        </w:tc>
        <w:tc>
          <w:tcPr>
            <w:tcW w:w="3140" w:type="dxa"/>
            <w:vAlign w:val="bottom"/>
          </w:tcPr>
          <w:p>
            <w:pPr>
              <w:spacing w:after="0"/>
              <w:rPr>
                <w:sz w:val="15"/>
                <w:szCs w:val="15"/>
                <w:color w:val="auto"/>
              </w:rPr>
            </w:pPr>
          </w:p>
        </w:tc>
        <w:tc>
          <w:tcPr>
            <w:tcW w:w="2040" w:type="dxa"/>
            <w:vAlign w:val="bottom"/>
            <w:gridSpan w:val="2"/>
          </w:tcPr>
          <w:p>
            <w:pPr>
              <w:spacing w:after="0" w:line="184" w:lineRule="exact"/>
              <w:rPr>
                <w:sz w:val="20"/>
                <w:szCs w:val="20"/>
                <w:color w:val="auto"/>
              </w:rPr>
            </w:pPr>
            <w:r>
              <w:rPr>
                <w:rFonts w:ascii="Arial" w:cs="Arial" w:eastAsia="Arial" w:hAnsi="Arial"/>
                <w:sz w:val="18"/>
                <w:szCs w:val="18"/>
                <w:color w:val="auto"/>
              </w:rPr>
              <w:t>sukhi@marvell.com</w:t>
            </w:r>
          </w:p>
        </w:tc>
      </w:tr>
      <w:tr>
        <w:trPr>
          <w:trHeight w:val="20"/>
        </w:trPr>
        <w:tc>
          <w:tcPr>
            <w:tcW w:w="1500" w:type="dxa"/>
            <w:vAlign w:val="bottom"/>
            <w:shd w:val="clear" w:color="auto" w:fill="000000"/>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3140" w:type="dxa"/>
            <w:vAlign w:val="bottom"/>
          </w:tcPr>
          <w:p>
            <w:pPr>
              <w:spacing w:after="0" w:line="20" w:lineRule="exact"/>
              <w:rPr>
                <w:sz w:val="1"/>
                <w:szCs w:val="1"/>
                <w:color w:val="auto"/>
              </w:rPr>
            </w:pPr>
          </w:p>
        </w:tc>
        <w:tc>
          <w:tcPr>
            <w:tcW w:w="142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r>
      <w:tr>
        <w:trPr>
          <w:trHeight w:val="410"/>
        </w:trPr>
        <w:tc>
          <w:tcPr>
            <w:tcW w:w="150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5180" w:type="dxa"/>
            <w:vAlign w:val="bottom"/>
            <w:gridSpan w:val="3"/>
          </w:tcPr>
          <w:p>
            <w:pPr>
              <w:ind w:left="420"/>
              <w:spacing w:after="0"/>
              <w:rPr>
                <w:sz w:val="20"/>
                <w:szCs w:val="20"/>
                <w:color w:val="auto"/>
              </w:rPr>
            </w:pPr>
            <w:r>
              <w:rPr>
                <w:rFonts w:ascii="Arial" w:cs="Arial" w:eastAsia="Arial" w:hAnsi="Arial"/>
                <w:sz w:val="18"/>
                <w:szCs w:val="18"/>
                <w:b w:val="1"/>
                <w:bCs w:val="1"/>
                <w:color w:val="auto"/>
                <w:w w:val="89"/>
              </w:rPr>
              <w:t>Marvell Appoints Company Co-Founder Weili Dai as President</w:t>
            </w:r>
          </w:p>
        </w:tc>
      </w:tr>
    </w:tbl>
    <w:p>
      <w:pPr>
        <w:spacing w:after="0" w:line="150" w:lineRule="exact"/>
        <w:rPr>
          <w:sz w:val="20"/>
          <w:szCs w:val="20"/>
          <w:color w:val="auto"/>
        </w:rPr>
      </w:pPr>
    </w:p>
    <w:p>
      <w:pPr>
        <w:ind w:right="560"/>
        <w:spacing w:after="0" w:line="275" w:lineRule="auto"/>
        <w:rPr>
          <w:sz w:val="20"/>
          <w:szCs w:val="20"/>
          <w:color w:val="auto"/>
        </w:rPr>
      </w:pPr>
      <w:r>
        <w:rPr>
          <w:rFonts w:ascii="Arial" w:cs="Arial" w:eastAsia="Arial" w:hAnsi="Arial"/>
          <w:sz w:val="18"/>
          <w:szCs w:val="18"/>
          <w:b w:val="1"/>
          <w:bCs w:val="1"/>
          <w:color w:val="auto"/>
        </w:rPr>
        <w:t xml:space="preserve">SANTA CLARA, Calif. (July 15, 2013) – </w:t>
      </w:r>
      <w:r>
        <w:rPr>
          <w:rFonts w:ascii="Arial" w:cs="Arial" w:eastAsia="Arial" w:hAnsi="Arial"/>
          <w:sz w:val="18"/>
          <w:szCs w:val="18"/>
          <w:color w:val="auto"/>
        </w:rPr>
        <w:t>Marvell (Nasdaq: MRVL), a leading global fabless semiconductor company, today announced that its Board of</w:t>
      </w:r>
      <w:r>
        <w:rPr>
          <w:rFonts w:ascii="Arial" w:cs="Arial" w:eastAsia="Arial" w:hAnsi="Arial"/>
          <w:sz w:val="18"/>
          <w:szCs w:val="18"/>
          <w:b w:val="1"/>
          <w:bCs w:val="1"/>
          <w:color w:val="auto"/>
        </w:rPr>
        <w:t xml:space="preserve"> </w:t>
      </w:r>
      <w:r>
        <w:rPr>
          <w:rFonts w:ascii="Arial" w:cs="Arial" w:eastAsia="Arial" w:hAnsi="Arial"/>
          <w:sz w:val="18"/>
          <w:szCs w:val="18"/>
          <w:color w:val="auto"/>
        </w:rPr>
        <w:t>Directors has appointed Weili Dai as president of the company, effective July 14, 2013.</w:t>
      </w:r>
    </w:p>
    <w:p>
      <w:pPr>
        <w:spacing w:after="0" w:line="126" w:lineRule="exact"/>
        <w:rPr>
          <w:sz w:val="20"/>
          <w:szCs w:val="20"/>
          <w:color w:val="auto"/>
        </w:rPr>
      </w:pPr>
    </w:p>
    <w:p>
      <w:pPr>
        <w:ind w:right="80"/>
        <w:spacing w:after="0" w:line="298" w:lineRule="auto"/>
        <w:rPr>
          <w:sz w:val="20"/>
          <w:szCs w:val="20"/>
          <w:color w:val="auto"/>
        </w:rPr>
      </w:pPr>
      <w:r>
        <w:rPr>
          <w:rFonts w:ascii="Arial" w:cs="Arial" w:eastAsia="Arial" w:hAnsi="Arial"/>
          <w:sz w:val="16"/>
          <w:szCs w:val="16"/>
          <w:color w:val="auto"/>
        </w:rPr>
        <w:t>“Since Weili Dai co-founded Marvell, she has been a driving force for the company’s success. Her dedication to our customers, partners and stakeholders is widely recognized by the industry. Weili brings to the leadership role a long-term vision, integrity, strong principles, unrelenting drive, customer focus and passion for Marvell,” said Dr. Sehat Sutardja, Chairman and CEO of Marvell. “We are very thankful for Weili’s contributions to the tremendous success of Marvell since its inception. Furthermore, we now look forward to her continued leadership and increased role through our next stage of growth as our president.”</w:t>
      </w:r>
    </w:p>
    <w:p>
      <w:pPr>
        <w:spacing w:after="0" w:line="113" w:lineRule="exact"/>
        <w:rPr>
          <w:sz w:val="20"/>
          <w:szCs w:val="20"/>
          <w:color w:val="auto"/>
        </w:rPr>
      </w:pPr>
    </w:p>
    <w:p>
      <w:pPr>
        <w:ind w:right="80"/>
        <w:spacing w:after="0" w:line="291" w:lineRule="auto"/>
        <w:rPr>
          <w:sz w:val="20"/>
          <w:szCs w:val="20"/>
          <w:color w:val="auto"/>
        </w:rPr>
      </w:pPr>
      <w:r>
        <w:rPr>
          <w:rFonts w:ascii="Arial" w:cs="Arial" w:eastAsia="Arial" w:hAnsi="Arial"/>
          <w:sz w:val="16"/>
          <w:szCs w:val="16"/>
          <w:color w:val="auto"/>
        </w:rPr>
        <w:t>Weili Dai is one of the most successful women entrepreneurs in the world today. Widely considered a technology visionary, she is the only woman co-founder of a global semiconductor company. Since co-founding Marvell in 1995, Ms. Dai’s business acumen, strategic thinking, endless passion and personal network have led to Marvell’s ascent to one of the top semiconductor companies in the world. Her close relationship with customers, built on a foundation of trust, has earned her a tremendous reputation for professionalism and integrity throughout the technology industry. Ms. Dai has served a pivotal role in creating some of Marvell’s most important strategic partnerships. Under her leadership, Marvell’s technology has become an integral component of the world’s most important products in enterprise, communications, mobile computing, consumer and emerging markets.</w:t>
      </w:r>
    </w:p>
    <w:p>
      <w:pPr>
        <w:spacing w:after="0" w:line="120" w:lineRule="exact"/>
        <w:rPr>
          <w:sz w:val="20"/>
          <w:szCs w:val="20"/>
          <w:color w:val="auto"/>
        </w:rPr>
      </w:pPr>
    </w:p>
    <w:p>
      <w:pPr>
        <w:spacing w:after="0"/>
        <w:rPr>
          <w:sz w:val="20"/>
          <w:szCs w:val="20"/>
          <w:color w:val="auto"/>
        </w:rPr>
      </w:pPr>
      <w:r>
        <w:rPr>
          <w:rFonts w:ascii="Arial" w:cs="Arial" w:eastAsia="Arial" w:hAnsi="Arial"/>
          <w:sz w:val="18"/>
          <w:szCs w:val="18"/>
          <w:color w:val="auto"/>
        </w:rPr>
        <w:t xml:space="preserve">For a full biography: </w:t>
      </w:r>
      <w:r>
        <w:rPr>
          <w:rFonts w:ascii="Arial" w:cs="Arial" w:eastAsia="Arial" w:hAnsi="Arial"/>
          <w:sz w:val="18"/>
          <w:szCs w:val="18"/>
          <w:u w:val="single" w:color="auto"/>
          <w:color w:val="auto"/>
        </w:rPr>
        <w:t>http://investor.marvell.com/phoenix.zhtml?c=120802&amp;p=irol-govBio&amp;ID=192138</w:t>
      </w:r>
    </w:p>
    <w:p>
      <w:pPr>
        <w:sectPr>
          <w:pgSz w:w="11900" w:h="16838" w:orient="portrait"/>
          <w:cols w:equalWidth="0" w:num="1">
            <w:col w:w="11420"/>
          </w:cols>
          <w:pgMar w:left="240" w:top="125" w:right="2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About Marvell</w:t>
      </w:r>
    </w:p>
    <w:p>
      <w:pPr>
        <w:spacing w:after="0" w:line="96" w:lineRule="exact"/>
        <w:rPr>
          <w:sz w:val="20"/>
          <w:szCs w:val="20"/>
          <w:color w:val="auto"/>
        </w:rPr>
      </w:pPr>
    </w:p>
    <w:p>
      <w:pPr>
        <w:spacing w:after="0" w:line="294" w:lineRule="auto"/>
        <w:rPr>
          <w:sz w:val="20"/>
          <w:szCs w:val="20"/>
          <w:color w:val="auto"/>
        </w:rPr>
      </w:pPr>
      <w:r>
        <w:rPr>
          <w:rFonts w:ascii="Arial" w:cs="Arial" w:eastAsia="Arial" w:hAnsi="Arial"/>
          <w:sz w:val="16"/>
          <w:szCs w:val="16"/>
          <w:color w:val="auto"/>
        </w:rPr>
        <w:t>Marvell (NASDAQ: MRVL) is a global leader in providing complete silicon solutions enabling the digital connected lifestyle. From mobile communications to storage, cloud infrastructure, digital entertainment and in-home content delivery, Marvell’s diverse product portfolio aligns complete platform designs with industry-leading performance, security, reliability and efficiency. At the core of the world’s most powerful consumer, network and enterprise systems, Marvell empowers partners and their customers to always stand at the forefront of innovation, performance and mass appeal. By providing people around the world with mobility and ease of access to services adding value to their social, private and work lives, Marvell is committed to enhancing the human experience.</w:t>
      </w:r>
    </w:p>
    <w:p>
      <w:pPr>
        <w:spacing w:after="0" w:line="116" w:lineRule="exact"/>
        <w:rPr>
          <w:sz w:val="20"/>
          <w:szCs w:val="20"/>
          <w:color w:val="auto"/>
        </w:rPr>
      </w:pPr>
    </w:p>
    <w:p>
      <w:pPr>
        <w:jc w:val="center"/>
        <w:ind w:right="80"/>
        <w:spacing w:after="0"/>
        <w:rPr>
          <w:sz w:val="20"/>
          <w:szCs w:val="20"/>
          <w:color w:val="auto"/>
        </w:rPr>
      </w:pPr>
      <w:r>
        <w:rPr>
          <w:rFonts w:ascii="Arial" w:cs="Arial" w:eastAsia="Arial" w:hAnsi="Arial"/>
          <w:sz w:val="16"/>
          <w:szCs w:val="16"/>
          <w:color w:val="auto"/>
        </w:rPr>
        <w:t xml:space="preserve">As used in this release, the term “Marvell” refers to Marvell Technology Group Ltd. and its subsidiaries. For more information, please visit </w:t>
      </w:r>
      <w:r>
        <w:rPr>
          <w:rFonts w:ascii="Arial" w:cs="Arial" w:eastAsia="Arial" w:hAnsi="Arial"/>
          <w:sz w:val="16"/>
          <w:szCs w:val="16"/>
          <w:u w:val="single" w:color="auto"/>
          <w:color w:val="auto"/>
        </w:rPr>
        <w:t>www.Marvell.com</w:t>
      </w:r>
      <w:r>
        <w:rPr>
          <w:rFonts w:ascii="Arial" w:cs="Arial" w:eastAsia="Arial" w:hAnsi="Arial"/>
          <w:sz w:val="16"/>
          <w:szCs w:val="16"/>
          <w:color w:val="auto"/>
        </w:rPr>
        <w:t>.</w:t>
      </w:r>
    </w:p>
    <w:p>
      <w:pPr>
        <w:spacing w:after="0" w:line="194"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w:t>
      </w:r>
    </w:p>
    <w:p>
      <w:pPr>
        <w:spacing w:after="0" w:line="171" w:lineRule="exact"/>
        <w:rPr>
          <w:sz w:val="20"/>
          <w:szCs w:val="20"/>
          <w:color w:val="auto"/>
        </w:rPr>
      </w:pPr>
    </w:p>
    <w:p>
      <w:pPr>
        <w:jc w:val="center"/>
        <w:ind w:right="-159"/>
        <w:spacing w:after="0"/>
        <w:rPr>
          <w:sz w:val="20"/>
          <w:szCs w:val="20"/>
          <w:color w:val="auto"/>
        </w:rPr>
      </w:pPr>
      <w:r>
        <w:rPr>
          <w:rFonts w:ascii="Arial" w:cs="Arial" w:eastAsia="Arial" w:hAnsi="Arial"/>
          <w:sz w:val="16"/>
          <w:szCs w:val="16"/>
          <w:color w:val="auto"/>
        </w:rPr>
        <w:t>Marvell and the M logo are registered trademarks of Marvell and/or its affiliates. Other names and brands may be claimed as the property of others.</w:t>
      </w:r>
    </w:p>
    <w:p>
      <w:pPr>
        <w:spacing w:after="0" w:line="18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2</w:t>
      </w:r>
    </w:p>
    <w:sectPr>
      <w:pgSz w:w="11900" w:h="16838" w:orient="portrait"/>
      <w:cols w:equalWidth="0" w:num="1">
        <w:col w:w="11260"/>
      </w:cols>
      <w:pgMar w:left="240" w:top="274" w:right="3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lowerLetter"/>
      <w:start w:val="4"/>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jpeg"/><Relationship Id="rId22" Type="http://schemas.openxmlformats.org/officeDocument/2006/relationships/image" Target="media/image1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2019-12-06T20:07:35Z</dcterms:created>
  <dcterms:modified xsi:type="dcterms:W3CDTF">2019-12-06T20:07:35Z</dcterms:modified>
</cp:coreProperties>
</file>