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9"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26670</wp:posOffset>
            </wp:positionH>
            <wp:positionV relativeFrom="paragraph">
              <wp:posOffset>-10795</wp:posOffset>
            </wp:positionV>
            <wp:extent cx="145415" cy="1968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5415" cy="196850"/>
                    </a:xfrm>
                    <a:prstGeom prst="rect">
                      <a:avLst/>
                    </a:prstGeom>
                    <a:noFill/>
                  </pic:spPr>
                </pic:pic>
              </a:graphicData>
            </a:graphic>
          </wp:anchor>
        </w:drawing>
      </w:r>
    </w:p>
    <w:p>
      <w:pPr>
        <w:jc w:val="both"/>
        <w:ind w:left="360" w:right="360" w:hanging="271"/>
        <w:spacing w:after="0" w:line="188"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71088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710882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40" w:space="28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EINHORN DAVID</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140 EAST 45TH STREET</w:t>
      </w:r>
    </w:p>
    <w:p>
      <w:pPr>
        <w:spacing w:after="0" w:line="63"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FLOOR 24</w:t>
      </w:r>
    </w:p>
    <w:p>
      <w:pPr>
        <w:spacing w:after="0" w:line="300"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00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NEW YORK</w:t>
            </w:r>
          </w:p>
        </w:tc>
        <w:tc>
          <w:tcPr>
            <w:tcW w:w="1000" w:type="dxa"/>
            <w:vAlign w:val="bottom"/>
          </w:tcPr>
          <w:p>
            <w:pPr>
              <w:ind w:left="160"/>
              <w:spacing w:after="0"/>
              <w:rPr>
                <w:sz w:val="20"/>
                <w:szCs w:val="20"/>
                <w:color w:val="auto"/>
              </w:rPr>
            </w:pPr>
            <w:r>
              <w:rPr>
                <w:rFonts w:ascii="Arial" w:cs="Arial" w:eastAsia="Arial" w:hAnsi="Arial"/>
                <w:sz w:val="18"/>
                <w:szCs w:val="18"/>
                <w:color w:val="0000FF"/>
              </w:rPr>
              <w:t>NY</w:t>
            </w:r>
          </w:p>
        </w:tc>
        <w:tc>
          <w:tcPr>
            <w:tcW w:w="1680" w:type="dxa"/>
            <w:vAlign w:val="bottom"/>
          </w:tcPr>
          <w:p>
            <w:pPr>
              <w:ind w:left="420"/>
              <w:spacing w:after="0"/>
              <w:rPr>
                <w:sz w:val="20"/>
                <w:szCs w:val="20"/>
                <w:color w:val="auto"/>
              </w:rPr>
            </w:pPr>
            <w:r>
              <w:rPr>
                <w:rFonts w:ascii="Arial" w:cs="Arial" w:eastAsia="Arial" w:hAnsi="Arial"/>
                <w:sz w:val="18"/>
                <w:szCs w:val="18"/>
                <w:color w:val="0000FF"/>
              </w:rPr>
              <w:t>10017</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00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000" w:type="dxa"/>
            <w:vAlign w:val="bottom"/>
          </w:tcPr>
          <w:p>
            <w:pPr>
              <w:ind w:left="16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2"/>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1760" w:type="dxa"/>
            <w:vAlign w:val="bottom"/>
            <w:vMerge w:val="restart"/>
          </w:tcPr>
          <w:p>
            <w:pPr>
              <w:ind w:left="6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760" w:type="dxa"/>
            <w:vAlign w:val="bottom"/>
          </w:tcPr>
          <w:p>
            <w:pPr>
              <w:ind w:left="620"/>
              <w:spacing w:after="0"/>
              <w:rPr>
                <w:sz w:val="20"/>
                <w:szCs w:val="20"/>
                <w:color w:val="auto"/>
              </w:rPr>
            </w:pPr>
            <w:r>
              <w:rPr>
                <w:rFonts w:ascii="Arial" w:cs="Arial" w:eastAsia="Arial" w:hAnsi="Arial"/>
                <w:sz w:val="14"/>
                <w:szCs w:val="14"/>
                <w:color w:val="auto"/>
              </w:rPr>
              <w:t>Officer (give title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6"/>
        </w:trPr>
        <w:tc>
          <w:tcPr>
            <w:tcW w:w="80" w:type="dxa"/>
            <w:vAlign w:val="bottom"/>
            <w:tcBorders>
              <w:bottom w:val="single" w:sz="8" w:color="2C2C2C"/>
            </w:tcBorders>
          </w:tcPr>
          <w:p>
            <w:pPr>
              <w:spacing w:after="0"/>
              <w:rPr>
                <w:sz w:val="10"/>
                <w:szCs w:val="10"/>
                <w:color w:val="auto"/>
              </w:rPr>
            </w:pPr>
          </w:p>
        </w:tc>
        <w:tc>
          <w:tcPr>
            <w:tcW w:w="380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760" w:type="dxa"/>
            <w:vAlign w:val="bottom"/>
          </w:tcPr>
          <w:p>
            <w:pPr>
              <w:ind w:left="620"/>
              <w:spacing w:after="0" w:line="102" w:lineRule="exact"/>
              <w:rPr>
                <w:sz w:val="20"/>
                <w:szCs w:val="20"/>
                <w:color w:val="auto"/>
              </w:rPr>
            </w:pPr>
            <w:r>
              <w:rPr>
                <w:rFonts w:ascii="Arial" w:cs="Arial" w:eastAsia="Arial" w:hAnsi="Arial"/>
                <w:sz w:val="11"/>
                <w:szCs w:val="11"/>
                <w:color w:val="auto"/>
              </w:rPr>
              <w:t>below)</w:t>
            </w:r>
          </w:p>
        </w:tc>
        <w:tc>
          <w:tcPr>
            <w:tcW w:w="380" w:type="dxa"/>
            <w:vAlign w:val="bottom"/>
            <w:vMerge w:val="continue"/>
          </w:tcPr>
          <w:p>
            <w:pPr>
              <w:spacing w:after="0"/>
              <w:rPr>
                <w:sz w:val="10"/>
                <w:szCs w:val="10"/>
                <w:color w:val="auto"/>
              </w:rPr>
            </w:pPr>
          </w:p>
        </w:tc>
        <w:tc>
          <w:tcPr>
            <w:tcW w:w="1280" w:type="dxa"/>
            <w:vAlign w:val="bottom"/>
          </w:tcPr>
          <w:p>
            <w:pPr>
              <w:ind w:left="120"/>
              <w:spacing w:after="0" w:line="102" w:lineRule="exact"/>
              <w:rPr>
                <w:sz w:val="20"/>
                <w:szCs w:val="20"/>
                <w:color w:val="auto"/>
              </w:rPr>
            </w:pPr>
            <w:r>
              <w:rPr>
                <w:rFonts w:ascii="Arial" w:cs="Arial" w:eastAsia="Arial" w:hAnsi="Arial"/>
                <w:sz w:val="11"/>
                <w:szCs w:val="11"/>
                <w:color w:val="auto"/>
              </w:rPr>
              <w:t>below)</w:t>
            </w:r>
          </w:p>
        </w:tc>
        <w:tc>
          <w:tcPr>
            <w:tcW w:w="0" w:type="dxa"/>
            <w:vAlign w:val="bottom"/>
          </w:tcPr>
          <w:p>
            <w:pPr>
              <w:spacing w:after="0"/>
              <w:rPr>
                <w:sz w:val="1"/>
                <w:szCs w:val="1"/>
                <w:color w:val="auto"/>
              </w:rPr>
            </w:pPr>
          </w:p>
        </w:tc>
      </w:tr>
      <w:tr>
        <w:trPr>
          <w:trHeight w:val="230"/>
        </w:trPr>
        <w:tc>
          <w:tcPr>
            <w:tcW w:w="80" w:type="dxa"/>
            <w:vAlign w:val="bottom"/>
          </w:tcPr>
          <w:p>
            <w:pPr>
              <w:spacing w:after="0"/>
              <w:rPr>
                <w:sz w:val="19"/>
                <w:szCs w:val="19"/>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3. Date of Earliest Transaction (Month/Day/Year)</w:t>
            </w:r>
          </w:p>
        </w:tc>
        <w:tc>
          <w:tcPr>
            <w:tcW w:w="3420" w:type="dxa"/>
            <w:vAlign w:val="bottom"/>
            <w:gridSpan w:val="3"/>
          </w:tcPr>
          <w:p>
            <w:pPr>
              <w:ind w:left="920"/>
              <w:spacing w:after="0"/>
              <w:rPr>
                <w:sz w:val="20"/>
                <w:szCs w:val="20"/>
                <w:color w:val="auto"/>
              </w:rPr>
            </w:pPr>
            <w:r>
              <w:rPr>
                <w:rFonts w:ascii="Arial" w:cs="Arial" w:eastAsia="Arial" w:hAnsi="Arial"/>
                <w:sz w:val="18"/>
                <w:szCs w:val="18"/>
                <w:color w:val="0000FF"/>
              </w:rPr>
              <w:t>See Footnotes (1)-(10)</w:t>
            </w:r>
          </w:p>
        </w:tc>
        <w:tc>
          <w:tcPr>
            <w:tcW w:w="0" w:type="dxa"/>
            <w:vAlign w:val="bottom"/>
          </w:tcPr>
          <w:p>
            <w:pPr>
              <w:spacing w:after="0"/>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04/05/2013</w:t>
            </w:r>
          </w:p>
        </w:tc>
        <w:tc>
          <w:tcPr>
            <w:tcW w:w="10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63"/>
        </w:trPr>
        <w:tc>
          <w:tcPr>
            <w:tcW w:w="80" w:type="dxa"/>
            <w:vAlign w:val="bottom"/>
            <w:tcBorders>
              <w:bottom w:val="single" w:sz="8" w:color="2C2C2C"/>
            </w:tcBorders>
          </w:tcPr>
          <w:p>
            <w:pPr>
              <w:spacing w:after="0"/>
              <w:rPr>
                <w:sz w:val="14"/>
                <w:szCs w:val="14"/>
                <w:color w:val="auto"/>
              </w:rPr>
            </w:pPr>
          </w:p>
        </w:tc>
        <w:tc>
          <w:tcPr>
            <w:tcW w:w="380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3420" w:type="dxa"/>
            <w:vAlign w:val="bottom"/>
            <w:tcBorders>
              <w:bottom w:val="single" w:sz="8" w:color="2C2C2C"/>
            </w:tcBorders>
            <w:gridSpan w:val="3"/>
          </w:tcPr>
          <w:p>
            <w:pPr>
              <w:spacing w:after="0"/>
              <w:rPr>
                <w:sz w:val="14"/>
                <w:szCs w:val="14"/>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61"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140" w:type="dxa"/>
            <w:vAlign w:val="bottom"/>
          </w:tcPr>
          <w:p>
            <w:pPr>
              <w:ind w:left="320"/>
              <w:spacing w:after="0"/>
              <w:rPr>
                <w:sz w:val="20"/>
                <w:szCs w:val="20"/>
                <w:color w:val="auto"/>
              </w:rPr>
            </w:pPr>
            <w:r>
              <w:rPr>
                <w:rFonts w:ascii="Arial" w:cs="Arial" w:eastAsia="Arial" w:hAnsi="Arial"/>
                <w:sz w:val="12"/>
                <w:szCs w:val="12"/>
                <w:b w:val="1"/>
                <w:bCs w:val="1"/>
                <w:color w:val="auto"/>
                <w:w w:val="98"/>
              </w:rPr>
              <w:t>2. Transaction</w:t>
            </w:r>
          </w:p>
        </w:tc>
        <w:tc>
          <w:tcPr>
            <w:tcW w:w="1300" w:type="dxa"/>
            <w:vAlign w:val="bottom"/>
            <w:gridSpan w:val="2"/>
          </w:tcPr>
          <w:p>
            <w:pPr>
              <w:ind w:left="300"/>
              <w:spacing w:after="0"/>
              <w:rPr>
                <w:sz w:val="20"/>
                <w:szCs w:val="20"/>
                <w:color w:val="auto"/>
              </w:rPr>
            </w:pPr>
            <w:r>
              <w:rPr>
                <w:rFonts w:ascii="Arial" w:cs="Arial" w:eastAsia="Arial" w:hAnsi="Arial"/>
                <w:sz w:val="12"/>
                <w:szCs w:val="12"/>
                <w:b w:val="1"/>
                <w:bCs w:val="1"/>
                <w:color w:val="auto"/>
              </w:rPr>
              <w:t>2A. Deemed</w:t>
            </w:r>
          </w:p>
        </w:tc>
        <w:tc>
          <w:tcPr>
            <w:tcW w:w="38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500" w:type="dxa"/>
            <w:vAlign w:val="bottom"/>
          </w:tcPr>
          <w:p>
            <w:pPr>
              <w:spacing w:after="0"/>
              <w:rPr>
                <w:sz w:val="14"/>
                <w:szCs w:val="14"/>
                <w:color w:val="auto"/>
              </w:rPr>
            </w:pPr>
          </w:p>
        </w:tc>
        <w:tc>
          <w:tcPr>
            <w:tcW w:w="2160" w:type="dxa"/>
            <w:vAlign w:val="bottom"/>
            <w:gridSpan w:val="5"/>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320"/>
              <w:spacing w:after="0" w:line="133" w:lineRule="exact"/>
              <w:rPr>
                <w:sz w:val="20"/>
                <w:szCs w:val="20"/>
                <w:color w:val="auto"/>
              </w:rPr>
            </w:pPr>
            <w:r>
              <w:rPr>
                <w:rFonts w:ascii="Arial" w:cs="Arial" w:eastAsia="Arial" w:hAnsi="Arial"/>
                <w:sz w:val="12"/>
                <w:szCs w:val="12"/>
                <w:b w:val="1"/>
                <w:bCs w:val="1"/>
                <w:color w:val="auto"/>
              </w:rPr>
              <w:t>Date</w:t>
            </w:r>
          </w:p>
        </w:tc>
        <w:tc>
          <w:tcPr>
            <w:tcW w:w="1300" w:type="dxa"/>
            <w:vAlign w:val="bottom"/>
            <w:gridSpan w:val="2"/>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80" w:type="dxa"/>
            <w:vAlign w:val="bottom"/>
          </w:tcPr>
          <w:p>
            <w:pPr>
              <w:spacing w:after="0"/>
              <w:rPr>
                <w:sz w:val="11"/>
                <w:szCs w:val="11"/>
                <w:color w:val="auto"/>
              </w:rPr>
            </w:pP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6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spacing w:after="0"/>
              <w:rPr>
                <w:sz w:val="11"/>
                <w:szCs w:val="11"/>
                <w:color w:val="auto"/>
              </w:rPr>
            </w:pPr>
          </w:p>
        </w:tc>
        <w:tc>
          <w:tcPr>
            <w:tcW w:w="96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980" w:type="dxa"/>
            <w:vAlign w:val="bottom"/>
            <w:gridSpan w:val="2"/>
          </w:tcPr>
          <w:p>
            <w:pPr>
              <w:ind w:left="320"/>
              <w:spacing w:after="0" w:line="135" w:lineRule="exact"/>
              <w:rPr>
                <w:sz w:val="20"/>
                <w:szCs w:val="20"/>
                <w:color w:val="auto"/>
              </w:rPr>
            </w:pPr>
            <w:r>
              <w:rPr>
                <w:rFonts w:ascii="Arial" w:cs="Arial" w:eastAsia="Arial" w:hAnsi="Arial"/>
                <w:sz w:val="12"/>
                <w:szCs w:val="12"/>
                <w:b w:val="1"/>
                <w:bCs w:val="1"/>
                <w:color w:val="auto"/>
              </w:rPr>
              <w:t>(Month/Day/Year)  if any</w:t>
            </w: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 Owned</w:t>
            </w:r>
          </w:p>
        </w:tc>
        <w:tc>
          <w:tcPr>
            <w:tcW w:w="9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300" w:type="dxa"/>
            <w:vAlign w:val="bottom"/>
            <w:gridSpan w:val="2"/>
          </w:tcPr>
          <w:p>
            <w:pPr>
              <w:ind w:left="30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38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8)</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Following Reported</w:t>
            </w:r>
          </w:p>
        </w:tc>
        <w:tc>
          <w:tcPr>
            <w:tcW w:w="9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40" w:type="dxa"/>
            <w:vAlign w:val="bottom"/>
          </w:tcPr>
          <w:p>
            <w:pPr>
              <w:spacing w:after="0"/>
              <w:rPr>
                <w:sz w:val="6"/>
                <w:szCs w:val="6"/>
                <w:color w:val="auto"/>
              </w:rPr>
            </w:pPr>
          </w:p>
        </w:tc>
        <w:tc>
          <w:tcPr>
            <w:tcW w:w="460" w:type="dxa"/>
            <w:vAlign w:val="bottom"/>
          </w:tcPr>
          <w:p>
            <w:pPr>
              <w:spacing w:after="0"/>
              <w:rPr>
                <w:sz w:val="6"/>
                <w:szCs w:val="6"/>
                <w:color w:val="auto"/>
              </w:rPr>
            </w:pPr>
          </w:p>
        </w:tc>
        <w:tc>
          <w:tcPr>
            <w:tcW w:w="80" w:type="dxa"/>
            <w:vAlign w:val="bottom"/>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3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4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 w:type="dxa"/>
            <w:vAlign w:val="bottom"/>
          </w:tcPr>
          <w:p>
            <w:pPr>
              <w:spacing w:after="0"/>
              <w:rPr>
                <w:sz w:val="3"/>
                <w:szCs w:val="3"/>
                <w:color w:val="auto"/>
              </w:rPr>
            </w:pPr>
          </w:p>
        </w:tc>
        <w:tc>
          <w:tcPr>
            <w:tcW w:w="300" w:type="dxa"/>
            <w:vAlign w:val="bottom"/>
          </w:tcPr>
          <w:p>
            <w:pPr>
              <w:spacing w:after="0"/>
              <w:rPr>
                <w:sz w:val="3"/>
                <w:szCs w:val="3"/>
                <w:color w:val="auto"/>
              </w:rPr>
            </w:pPr>
          </w:p>
        </w:tc>
        <w:tc>
          <w:tcPr>
            <w:tcW w:w="5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 w:type="dxa"/>
            <w:vAlign w:val="bottom"/>
          </w:tcPr>
          <w:p>
            <w:pPr>
              <w:spacing w:after="0"/>
              <w:rPr>
                <w:sz w:val="3"/>
                <w:szCs w:val="3"/>
                <w:color w:val="auto"/>
              </w:rPr>
            </w:pPr>
          </w:p>
        </w:tc>
        <w:tc>
          <w:tcPr>
            <w:tcW w:w="400" w:type="dxa"/>
            <w:vAlign w:val="bottom"/>
          </w:tcPr>
          <w:p>
            <w:pPr>
              <w:spacing w:after="0"/>
              <w:rPr>
                <w:sz w:val="3"/>
                <w:szCs w:val="3"/>
                <w:color w:val="auto"/>
              </w:rPr>
            </w:pPr>
          </w:p>
        </w:tc>
        <w:tc>
          <w:tcPr>
            <w:tcW w:w="740" w:type="dxa"/>
            <w:vAlign w:val="bottom"/>
          </w:tcPr>
          <w:p>
            <w:pPr>
              <w:spacing w:after="0"/>
              <w:rPr>
                <w:sz w:val="3"/>
                <w:szCs w:val="3"/>
                <w:color w:val="auto"/>
              </w:rPr>
            </w:pPr>
          </w:p>
        </w:tc>
        <w:tc>
          <w:tcPr>
            <w:tcW w:w="40" w:type="dxa"/>
            <w:vAlign w:val="bottom"/>
          </w:tcPr>
          <w:p>
            <w:pPr>
              <w:spacing w:after="0"/>
              <w:rPr>
                <w:sz w:val="3"/>
                <w:szCs w:val="3"/>
                <w:color w:val="auto"/>
              </w:rPr>
            </w:pPr>
          </w:p>
        </w:tc>
        <w:tc>
          <w:tcPr>
            <w:tcW w:w="1360" w:type="dxa"/>
            <w:vAlign w:val="bottom"/>
            <w:gridSpan w:val="2"/>
            <w:vMerge w:val="continue"/>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4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 or</w:t>
            </w:r>
          </w:p>
        </w:tc>
        <w:tc>
          <w:tcPr>
            <w:tcW w:w="7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3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8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4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vMerge w:val="continue"/>
          </w:tcPr>
          <w:p>
            <w:pPr>
              <w:spacing w:after="0"/>
              <w:rPr>
                <w:sz w:val="8"/>
                <w:szCs w:val="8"/>
                <w:color w:val="auto"/>
              </w:rPr>
            </w:pPr>
          </w:p>
        </w:tc>
        <w:tc>
          <w:tcPr>
            <w:tcW w:w="72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8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Pr>
          <w:p>
            <w:pPr>
              <w:spacing w:after="0"/>
              <w:rPr>
                <w:sz w:val="5"/>
                <w:szCs w:val="5"/>
                <w:color w:val="auto"/>
              </w:rPr>
            </w:pPr>
          </w:p>
        </w:tc>
        <w:tc>
          <w:tcPr>
            <w:tcW w:w="900" w:type="dxa"/>
            <w:vAlign w:val="bottom"/>
          </w:tcPr>
          <w:p>
            <w:pPr>
              <w:spacing w:after="0"/>
              <w:rPr>
                <w:sz w:val="5"/>
                <w:szCs w:val="5"/>
                <w:color w:val="auto"/>
              </w:rPr>
            </w:pPr>
          </w:p>
        </w:tc>
        <w:tc>
          <w:tcPr>
            <w:tcW w:w="480" w:type="dxa"/>
            <w:vAlign w:val="bottom"/>
            <w:gridSpan w:val="2"/>
            <w:vMerge w:val="continue"/>
          </w:tcPr>
          <w:p>
            <w:pPr>
              <w:spacing w:after="0"/>
              <w:rPr>
                <w:sz w:val="5"/>
                <w:szCs w:val="5"/>
                <w:color w:val="auto"/>
              </w:rPr>
            </w:pPr>
          </w:p>
        </w:tc>
        <w:tc>
          <w:tcPr>
            <w:tcW w:w="740" w:type="dxa"/>
            <w:vAlign w:val="bottom"/>
          </w:tcPr>
          <w:p>
            <w:pPr>
              <w:spacing w:after="0"/>
              <w:rPr>
                <w:sz w:val="5"/>
                <w:szCs w:val="5"/>
                <w:color w:val="auto"/>
              </w:rPr>
            </w:pPr>
          </w:p>
        </w:tc>
        <w:tc>
          <w:tcPr>
            <w:tcW w:w="40" w:type="dxa"/>
            <w:vAlign w:val="bottom"/>
          </w:tcPr>
          <w:p>
            <w:pPr>
              <w:spacing w:after="0"/>
              <w:rPr>
                <w:sz w:val="5"/>
                <w:szCs w:val="5"/>
                <w:color w:val="auto"/>
              </w:rPr>
            </w:pPr>
          </w:p>
        </w:tc>
        <w:tc>
          <w:tcPr>
            <w:tcW w:w="720" w:type="dxa"/>
            <w:vAlign w:val="bottom"/>
          </w:tcPr>
          <w:p>
            <w:pPr>
              <w:spacing w:after="0"/>
              <w:rPr>
                <w:sz w:val="5"/>
                <w:szCs w:val="5"/>
                <w:color w:val="auto"/>
              </w:rPr>
            </w:pPr>
          </w:p>
        </w:tc>
        <w:tc>
          <w:tcPr>
            <w:tcW w:w="6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8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04/05/2013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12,700</w:t>
            </w:r>
          </w:p>
        </w:tc>
        <w:tc>
          <w:tcPr>
            <w:tcW w:w="80" w:type="dxa"/>
            <w:vAlign w:val="bottom"/>
          </w:tcPr>
          <w:p>
            <w:pPr>
              <w:spacing w:after="0"/>
              <w:rPr>
                <w:sz w:val="22"/>
                <w:szCs w:val="22"/>
                <w:color w:val="auto"/>
              </w:rPr>
            </w:pPr>
          </w:p>
        </w:tc>
        <w:tc>
          <w:tcPr>
            <w:tcW w:w="400" w:type="dxa"/>
            <w:vAlign w:val="bottom"/>
            <w:vMerge w:val="restart"/>
          </w:tcPr>
          <w:p>
            <w:pPr>
              <w:ind w:left="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10.1594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1,931,397</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(4)</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04/05/2013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9"/>
              </w:rPr>
              <w:t>127,400</w:t>
            </w:r>
          </w:p>
        </w:tc>
        <w:tc>
          <w:tcPr>
            <w:tcW w:w="80" w:type="dxa"/>
            <w:vAlign w:val="bottom"/>
          </w:tcPr>
          <w:p>
            <w:pPr>
              <w:spacing w:after="0"/>
              <w:rPr>
                <w:sz w:val="22"/>
                <w:szCs w:val="22"/>
                <w:color w:val="auto"/>
              </w:rPr>
            </w:pPr>
          </w:p>
        </w:tc>
        <w:tc>
          <w:tcPr>
            <w:tcW w:w="400" w:type="dxa"/>
            <w:vAlign w:val="bottom"/>
            <w:vMerge w:val="restart"/>
          </w:tcPr>
          <w:p>
            <w:pPr>
              <w:ind w:left="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10.1594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10,825,405</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(5)</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04/05/2013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93,300</w:t>
            </w:r>
          </w:p>
        </w:tc>
        <w:tc>
          <w:tcPr>
            <w:tcW w:w="80" w:type="dxa"/>
            <w:vAlign w:val="bottom"/>
          </w:tcPr>
          <w:p>
            <w:pPr>
              <w:spacing w:after="0"/>
              <w:rPr>
                <w:sz w:val="22"/>
                <w:szCs w:val="22"/>
                <w:color w:val="auto"/>
              </w:rPr>
            </w:pPr>
          </w:p>
        </w:tc>
        <w:tc>
          <w:tcPr>
            <w:tcW w:w="400" w:type="dxa"/>
            <w:vAlign w:val="bottom"/>
            <w:vMerge w:val="restart"/>
          </w:tcPr>
          <w:p>
            <w:pPr>
              <w:ind w:left="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10.1594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18,840,059</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(6)</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04/05/2013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71,800</w:t>
            </w:r>
          </w:p>
        </w:tc>
        <w:tc>
          <w:tcPr>
            <w:tcW w:w="80" w:type="dxa"/>
            <w:vAlign w:val="bottom"/>
          </w:tcPr>
          <w:p>
            <w:pPr>
              <w:spacing w:after="0"/>
              <w:rPr>
                <w:sz w:val="22"/>
                <w:szCs w:val="22"/>
                <w:color w:val="auto"/>
              </w:rPr>
            </w:pPr>
          </w:p>
        </w:tc>
        <w:tc>
          <w:tcPr>
            <w:tcW w:w="400" w:type="dxa"/>
            <w:vAlign w:val="bottom"/>
            <w:vMerge w:val="restart"/>
          </w:tcPr>
          <w:p>
            <w:pPr>
              <w:ind w:left="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10.1594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6,847,100</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(7)</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04/05/2013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63,100</w:t>
            </w:r>
          </w:p>
        </w:tc>
        <w:tc>
          <w:tcPr>
            <w:tcW w:w="80" w:type="dxa"/>
            <w:vAlign w:val="bottom"/>
          </w:tcPr>
          <w:p>
            <w:pPr>
              <w:spacing w:after="0"/>
              <w:rPr>
                <w:sz w:val="22"/>
                <w:szCs w:val="22"/>
                <w:color w:val="auto"/>
              </w:rPr>
            </w:pPr>
          </w:p>
        </w:tc>
        <w:tc>
          <w:tcPr>
            <w:tcW w:w="400" w:type="dxa"/>
            <w:vAlign w:val="bottom"/>
            <w:vMerge w:val="restart"/>
          </w:tcPr>
          <w:p>
            <w:pPr>
              <w:ind w:left="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10.1594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5,728,187</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(8)</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04/05/2013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59,100</w:t>
            </w:r>
          </w:p>
        </w:tc>
        <w:tc>
          <w:tcPr>
            <w:tcW w:w="80" w:type="dxa"/>
            <w:vAlign w:val="bottom"/>
          </w:tcPr>
          <w:p>
            <w:pPr>
              <w:spacing w:after="0"/>
              <w:rPr>
                <w:sz w:val="22"/>
                <w:szCs w:val="22"/>
                <w:color w:val="auto"/>
              </w:rPr>
            </w:pPr>
          </w:p>
        </w:tc>
        <w:tc>
          <w:tcPr>
            <w:tcW w:w="400" w:type="dxa"/>
            <w:vAlign w:val="bottom"/>
            <w:vMerge w:val="restart"/>
          </w:tcPr>
          <w:p>
            <w:pPr>
              <w:ind w:left="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10.1594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5,621,695</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(9)</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04/05/2013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4"/>
              </w:rPr>
              <w:t>2,600</w:t>
            </w:r>
          </w:p>
        </w:tc>
        <w:tc>
          <w:tcPr>
            <w:tcW w:w="80" w:type="dxa"/>
            <w:vAlign w:val="bottom"/>
          </w:tcPr>
          <w:p>
            <w:pPr>
              <w:spacing w:after="0"/>
              <w:rPr>
                <w:sz w:val="22"/>
                <w:szCs w:val="22"/>
                <w:color w:val="auto"/>
              </w:rPr>
            </w:pPr>
          </w:p>
        </w:tc>
        <w:tc>
          <w:tcPr>
            <w:tcW w:w="400" w:type="dxa"/>
            <w:vAlign w:val="bottom"/>
            <w:vMerge w:val="restart"/>
          </w:tcPr>
          <w:p>
            <w:pPr>
              <w:ind w:left="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10.1594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3"/>
              </w:rPr>
              <w:t>308,600</w:t>
            </w:r>
            <w:r>
              <w:rPr>
                <w:rFonts w:ascii="Arial" w:cs="Arial" w:eastAsia="Arial" w:hAnsi="Arial"/>
                <w:sz w:val="22"/>
                <w:szCs w:val="22"/>
                <w:color w:val="008000"/>
                <w:w w:val="83"/>
                <w:vertAlign w:val="superscript"/>
              </w:rPr>
              <w:t>(2)(3)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900" w:type="dxa"/>
            <w:vAlign w:val="bottom"/>
            <w:gridSpan w:val="2"/>
            <w:vMerge w:val="restart"/>
          </w:tcPr>
          <w:p>
            <w:pPr>
              <w:spacing w:after="0"/>
              <w:rPr>
                <w:sz w:val="20"/>
                <w:szCs w:val="20"/>
                <w:color w:val="auto"/>
              </w:rPr>
            </w:pPr>
            <w:r>
              <w:rPr>
                <w:rFonts w:ascii="Arial" w:cs="Arial" w:eastAsia="Arial" w:hAnsi="Arial"/>
                <w:sz w:val="18"/>
                <w:szCs w:val="18"/>
                <w:color w:val="0000FF"/>
                <w:w w:val="90"/>
              </w:rPr>
              <w:t>Footnote</w:t>
            </w:r>
            <w:r>
              <w:rPr>
                <w:rFonts w:ascii="Arial" w:cs="Arial" w:eastAsia="Arial" w:hAnsi="Arial"/>
                <w:sz w:val="22"/>
                <w:szCs w:val="22"/>
                <w:color w:val="008000"/>
                <w:w w:val="90"/>
                <w:vertAlign w:val="superscript"/>
              </w:rPr>
              <w:t>(10)</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90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9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1"/>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7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14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40" w:type="dxa"/>
            <w:vAlign w:val="bottom"/>
            <w:gridSpan w:val="3"/>
          </w:tcPr>
          <w:p>
            <w:pPr>
              <w:ind w:left="80"/>
              <w:spacing w:after="0"/>
              <w:rPr>
                <w:sz w:val="20"/>
                <w:szCs w:val="20"/>
                <w:color w:val="auto"/>
              </w:rPr>
            </w:pPr>
            <w:r>
              <w:rPr>
                <w:rFonts w:ascii="Arial" w:cs="Arial" w:eastAsia="Arial" w:hAnsi="Arial"/>
                <w:sz w:val="12"/>
                <w:szCs w:val="12"/>
                <w:b w:val="1"/>
                <w:bCs w:val="1"/>
                <w:color w:val="auto"/>
              </w:rPr>
              <w:t>5. Number</w:t>
            </w:r>
          </w:p>
        </w:tc>
        <w:tc>
          <w:tcPr>
            <w:tcW w:w="140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80" w:type="dxa"/>
            <w:vAlign w:val="bottom"/>
          </w:tcPr>
          <w:p>
            <w:pPr>
              <w:spacing w:after="0"/>
              <w:rPr>
                <w:sz w:val="15"/>
                <w:szCs w:val="15"/>
                <w:color w:val="auto"/>
              </w:rPr>
            </w:pPr>
          </w:p>
        </w:tc>
        <w:tc>
          <w:tcPr>
            <w:tcW w:w="1180" w:type="dxa"/>
            <w:vAlign w:val="bottom"/>
            <w:gridSpan w:val="3"/>
          </w:tcPr>
          <w:p>
            <w:pPr>
              <w:ind w:left="100"/>
              <w:spacing w:after="0"/>
              <w:rPr>
                <w:sz w:val="20"/>
                <w:szCs w:val="20"/>
                <w:color w:val="auto"/>
              </w:rPr>
            </w:pPr>
            <w:r>
              <w:rPr>
                <w:rFonts w:ascii="Arial" w:cs="Arial" w:eastAsia="Arial" w:hAnsi="Arial"/>
                <w:sz w:val="12"/>
                <w:szCs w:val="12"/>
                <w:b w:val="1"/>
                <w:bCs w:val="1"/>
                <w:color w:val="auto"/>
              </w:rPr>
              <w:t>7. Title and</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8. Price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900" w:type="dxa"/>
            <w:vAlign w:val="bottom"/>
            <w:gridSpan w:val="2"/>
          </w:tcPr>
          <w:p>
            <w:pPr>
              <w:ind w:left="1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4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Amount of</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6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4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Underlying</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or Indirect</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Security (Instr. 3</w:t>
            </w: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156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and 4)</w:t>
            </w: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4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720" w:type="dxa"/>
            <w:vAlign w:val="bottom"/>
          </w:tcPr>
          <w:p>
            <w:pPr>
              <w:spacing w:after="0"/>
              <w:rPr>
                <w:sz w:val="4"/>
                <w:szCs w:val="4"/>
                <w:color w:val="auto"/>
              </w:rPr>
            </w:pPr>
          </w:p>
        </w:tc>
        <w:tc>
          <w:tcPr>
            <w:tcW w:w="6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80" w:type="dxa"/>
            <w:vAlign w:val="bottom"/>
            <w:gridSpan w:val="2"/>
          </w:tcPr>
          <w:p>
            <w:pPr>
              <w:ind w:left="16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980" w:type="dxa"/>
            <w:vAlign w:val="bottom"/>
            <w:gridSpan w:val="2"/>
          </w:tcPr>
          <w:p>
            <w:pPr>
              <w:ind w:left="340"/>
              <w:spacing w:after="0" w:line="135" w:lineRule="exact"/>
              <w:rPr>
                <w:sz w:val="20"/>
                <w:szCs w:val="20"/>
                <w:color w:val="auto"/>
              </w:rPr>
            </w:pPr>
            <w:r>
              <w:rPr>
                <w:rFonts w:ascii="Arial" w:cs="Arial" w:eastAsia="Arial" w:hAnsi="Arial"/>
                <w:sz w:val="12"/>
                <w:szCs w:val="12"/>
                <w:b w:val="1"/>
                <w:bCs w:val="1"/>
                <w:color w:val="auto"/>
              </w:rPr>
              <w:t>Expiration</w:t>
            </w:r>
          </w:p>
        </w:tc>
        <w:tc>
          <w:tcPr>
            <w:tcW w:w="400" w:type="dxa"/>
            <w:vAlign w:val="bottom"/>
          </w:tcPr>
          <w:p>
            <w:pPr>
              <w:spacing w:after="0"/>
              <w:rPr>
                <w:sz w:val="11"/>
                <w:szCs w:val="11"/>
                <w:color w:val="auto"/>
              </w:rPr>
            </w:pPr>
          </w:p>
        </w:tc>
        <w:tc>
          <w:tcPr>
            <w:tcW w:w="78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4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80" w:type="dxa"/>
            <w:vAlign w:val="bottom"/>
            <w:gridSpan w:val="2"/>
          </w:tcPr>
          <w:p>
            <w:pPr>
              <w:spacing w:after="0"/>
              <w:rPr>
                <w:sz w:val="20"/>
                <w:szCs w:val="20"/>
                <w:color w:val="auto"/>
              </w:rPr>
            </w:pPr>
            <w:r>
              <w:rPr>
                <w:rFonts w:ascii="Arial" w:cs="Arial" w:eastAsia="Arial" w:hAnsi="Arial"/>
                <w:sz w:val="12"/>
                <w:szCs w:val="12"/>
                <w:b w:val="1"/>
                <w:bCs w:val="1"/>
                <w:color w:val="auto"/>
              </w:rPr>
              <w:t>(D)</w:t>
            </w:r>
          </w:p>
        </w:tc>
        <w:tc>
          <w:tcPr>
            <w:tcW w:w="14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  Date</w:t>
            </w:r>
          </w:p>
        </w:tc>
        <w:tc>
          <w:tcPr>
            <w:tcW w:w="80" w:type="dxa"/>
            <w:vAlign w:val="bottom"/>
          </w:tcPr>
          <w:p>
            <w:pPr>
              <w:spacing w:after="0"/>
              <w:rPr>
                <w:sz w:val="13"/>
                <w:szCs w:val="13"/>
                <w:color w:val="auto"/>
              </w:rPr>
            </w:pPr>
          </w:p>
        </w:tc>
        <w:tc>
          <w:tcPr>
            <w:tcW w:w="400" w:type="dxa"/>
            <w:vAlign w:val="bottom"/>
          </w:tcPr>
          <w:p>
            <w:pPr>
              <w:ind w:left="100"/>
              <w:spacing w:after="0"/>
              <w:rPr>
                <w:sz w:val="20"/>
                <w:szCs w:val="20"/>
                <w:color w:val="auto"/>
              </w:rPr>
            </w:pPr>
            <w:r>
              <w:rPr>
                <w:rFonts w:ascii="Arial" w:cs="Arial" w:eastAsia="Arial" w:hAnsi="Arial"/>
                <w:sz w:val="12"/>
                <w:szCs w:val="12"/>
                <w:b w:val="1"/>
                <w:bCs w:val="1"/>
                <w:color w:val="auto"/>
              </w:rPr>
              <w:t>Title</w:t>
            </w:r>
          </w:p>
        </w:tc>
        <w:tc>
          <w:tcPr>
            <w:tcW w:w="780" w:type="dxa"/>
            <w:vAlign w:val="bottom"/>
            <w:gridSpan w:val="2"/>
          </w:tcPr>
          <w:p>
            <w:pPr>
              <w:ind w:left="160"/>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00" w:firstLine="9"/>
        <w:spacing w:after="0" w:line="305" w:lineRule="auto"/>
        <w:tabs>
          <w:tab w:leader="none" w:pos="17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David Einhorn is the senior managing member of Greenlight Capital, L.L.C. ("Greenlight LLC"), DME Advisors GP, LLC ("DME GP") and DME Management GP, LLC ("DME Management GP"), and the president of Greenlight Capital, Inc. ("Greenlight Inc."). DME GP is the general partner of DME Advisors, LP ("DME") and DME Capital Management, LP ("DME CM").</w:t>
      </w:r>
    </w:p>
    <w:p>
      <w:pPr>
        <w:ind w:left="40" w:right="60" w:firstLine="9"/>
        <w:spacing w:after="0" w:line="273" w:lineRule="auto"/>
        <w:tabs>
          <w:tab w:leader="none" w:pos="17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One or more of the foregoing entities control the disposition and voting of common shares, par value $0.002 per share (the "Common Shares"), of Marvell Technology Group Ltd. ("Issuer"), owned by one or more of the following entities: Greenlight Capital, L.P. ("Greenlight Fund"), Greenlight Capital Qualified, L.P. ("Greenlight Qualified"), Greenlight Capital Offshore Partners ("Greenlight Offshore"), Greenlight Capital (Gold), LP ("Greenlight Gold"), Greenlight Capital Offshore Master (Gold), Ltd. ("Greenlight Gold Offshore"), Greenlight Masters Partners ("Greenlight Masters") and an account managed by DME (the "Managed Account," and, together with Greenlight Fund, Greenlight Qualified, Greenlight Offshore, Greenlight Gold, Greenlight Gold Offshore, Greenlight Masters, Greenlight LLC, Greenlight Inc., DME GP, DME, DME Management GP and DME CM, the "Greenlight Parties"), in the respective capacities and quantities further described in the footnotes below.</w:t>
      </w:r>
    </w:p>
    <w:p>
      <w:pPr>
        <w:spacing w:after="0" w:line="11" w:lineRule="exact"/>
        <w:rPr>
          <w:rFonts w:ascii="Arial" w:cs="Arial" w:eastAsia="Arial" w:hAnsi="Arial"/>
          <w:sz w:val="12"/>
          <w:szCs w:val="12"/>
          <w:color w:val="008000"/>
        </w:rPr>
      </w:pPr>
    </w:p>
    <w:p>
      <w:pPr>
        <w:jc w:val="both"/>
        <w:ind w:left="40" w:right="80" w:firstLine="9"/>
        <w:spacing w:after="0" w:line="230" w:lineRule="auto"/>
        <w:tabs>
          <w:tab w:leader="none" w:pos="17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Pursuant to Rule 16a-1 under the Securities Exchange Act of 1934, as amended (the "Act"), Mr. Einhorn and the Greenlight Parties disclaim beneficial ownership of the Common Shares except to the extent of their respective pecuniary interests therein. The filing of this Form 4 shall not be construed as an admission that David Einhorn or any of the Greenlight Parties is or was for the purposes of Section 16(a) of the Act, or otherwise, the beneficial owner of any of the Common Shares owned by Greenlight Fund, Greenlight Qualified, Greenlight Offshore, Greenlight Gold, Greenlight Gold Offshore, Greenlight Masters or the Managed Account.</w:t>
      </w:r>
    </w:p>
    <w:p>
      <w:pPr>
        <w:spacing w:after="0" w:line="31" w:lineRule="exact"/>
        <w:rPr>
          <w:rFonts w:ascii="Arial" w:cs="Arial" w:eastAsia="Arial" w:hAnsi="Arial"/>
          <w:sz w:val="14"/>
          <w:szCs w:val="14"/>
          <w:color w:val="008000"/>
        </w:rPr>
      </w:pPr>
    </w:p>
    <w:p>
      <w:pPr>
        <w:ind w:left="40" w:right="80" w:firstLine="9"/>
        <w:spacing w:after="0" w:line="239" w:lineRule="auto"/>
        <w:tabs>
          <w:tab w:leader="none" w:pos="17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As of the close of trading on April 5, 2013, Greenlight LLC controls the voting and disposition of 1,931,397 Common Shares through the account of Greenlight Fund, of which Greenlight LLC is the general partner. As the senior managing member of Greenlight LLC, Mr. Einhorn may be deemed to beneficially own the securities held by Greenlight Fund.</w:t>
      </w:r>
    </w:p>
    <w:p>
      <w:pPr>
        <w:spacing w:after="0" w:line="30" w:lineRule="exact"/>
        <w:rPr>
          <w:rFonts w:ascii="Arial" w:cs="Arial" w:eastAsia="Arial" w:hAnsi="Arial"/>
          <w:sz w:val="14"/>
          <w:szCs w:val="14"/>
          <w:color w:val="008000"/>
        </w:rPr>
      </w:pPr>
    </w:p>
    <w:p>
      <w:pPr>
        <w:ind w:left="40" w:right="220" w:firstLine="9"/>
        <w:spacing w:after="0" w:line="305" w:lineRule="auto"/>
        <w:tabs>
          <w:tab w:leader="none" w:pos="17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As of the close of trading on April 5, 2013, Greenlight LLC controls the voting and disposition of 10,825,405 Common Shares through the account of Greenlight Qualified, of which Greenlight LLC is the general partner. As the senior managing member of Greenlight LLC, Mr. Einhorn may be deemed to beneficially own the securities held by Greenlight Qualified.</w:t>
      </w:r>
    </w:p>
    <w:p>
      <w:pPr>
        <w:ind w:left="40" w:right="220" w:firstLine="9"/>
        <w:spacing w:after="0" w:line="305" w:lineRule="auto"/>
        <w:tabs>
          <w:tab w:leader="none" w:pos="17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As of the close of trading on April 5, 2013, Greenlight Inc. controls the voting and disposition of 18,840,059 Common Shares through the account of Greenlight Offshore. Greenlight Inc. is the investment manager of Greenlight Offshore. As the president of Greenlight Inc., Mr. Einhorn may be deemed to beneficially own the shares held by Greenlight Offshore.</w:t>
      </w:r>
    </w:p>
    <w:p>
      <w:pPr>
        <w:ind w:left="40" w:right="160" w:firstLine="9"/>
        <w:spacing w:after="0" w:line="318" w:lineRule="auto"/>
        <w:tabs>
          <w:tab w:leader="none" w:pos="17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As of the close of trading on April 5, 2013, DME controls the voting and disposition of 6,847,100 Common Shares through the Managed Account, for which DME serves as the investment manager. As the senior managing member of DME GP, which is the general partner of DME, Mr. Einhorn may be deemed to beneficially own the shares held by the Managed Account.</w:t>
      </w:r>
    </w:p>
    <w:p>
      <w:pPr>
        <w:sectPr>
          <w:pgSz w:w="11900" w:h="16838" w:orient="portrait"/>
          <w:cols w:equalWidth="0" w:num="1">
            <w:col w:w="11420"/>
          </w:cols>
          <w:pgMar w:left="240" w:top="226" w:right="239" w:bottom="0" w:gutter="0" w:footer="0" w:header="0"/>
          <w:type w:val="continuous"/>
        </w:sectPr>
      </w:pPr>
    </w:p>
    <w:bookmarkStart w:id="1" w:name="page2"/>
    <w:bookmarkEnd w:id="1"/>
    <w:p>
      <w:pPr>
        <w:ind w:right="20" w:firstLine="9"/>
        <w:spacing w:after="0" w:line="305" w:lineRule="auto"/>
        <w:tabs>
          <w:tab w:leader="none" w:pos="135"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As of the close of trading on April 5, 2013, DME Management GP controls the voting and disposition of 5,728,187 Common Shares through the account of Greenlight Gold, of which DME Management GP is the general partner. As the senior managing member of DME Management GP, Mr. Einhorn may be deemed to beneficially own the securities held by Greenlight Gold.</w:t>
      </w:r>
    </w:p>
    <w:p>
      <w:pPr>
        <w:ind w:right="300" w:firstLine="9"/>
        <w:spacing w:after="0" w:line="305" w:lineRule="auto"/>
        <w:tabs>
          <w:tab w:leader="none" w:pos="135"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As of the close of trading on April 5, 2013, DME CM controls the voting and disposition of 5,621,695 Common Shares through the account of Greenlight Gold Offshore, of which DME CM is the investment manager. As the senior managing member of DME GP, which is the general partner of DME CM, Mr. Einhorn may be deemed to beneficially own the shares held by Greenlight Gold Offshore.</w:t>
      </w:r>
    </w:p>
    <w:p>
      <w:pPr>
        <w:ind w:firstLine="9"/>
        <w:spacing w:after="0" w:line="298" w:lineRule="auto"/>
        <w:tabs>
          <w:tab w:leader="none" w:pos="203"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As of the close of trading on April 5, 2013, Mr. Einhorn indirectly controls the voting and disposition of 308,600 Common Shares through the account of Greenlight Masters. Mr. Einhorn may be deemed to have indirect investment and/or voting power over Greenlight Masters through its general partners and/or investment manager.</w:t>
      </w:r>
    </w:p>
    <w:p>
      <w:pPr>
        <w:spacing w:after="0"/>
        <w:rPr>
          <w:sz w:val="20"/>
          <w:szCs w:val="20"/>
          <w:color w:val="auto"/>
        </w:rPr>
      </w:pPr>
      <w:r>
        <w:rPr>
          <w:rFonts w:ascii="Arial" w:cs="Arial" w:eastAsia="Arial" w:hAnsi="Arial"/>
          <w:sz w:val="18"/>
          <w:szCs w:val="18"/>
          <w:b w:val="1"/>
          <w:bCs w:val="1"/>
          <w:color w:val="auto"/>
        </w:rPr>
        <w:t>Remarks:</w:t>
      </w:r>
    </w:p>
    <w:p>
      <w:pPr>
        <w:spacing w:after="0" w:line="58" w:lineRule="exact"/>
        <w:rPr>
          <w:sz w:val="20"/>
          <w:szCs w:val="20"/>
          <w:color w:val="auto"/>
        </w:rPr>
      </w:pPr>
    </w:p>
    <w:p>
      <w:pPr>
        <w:ind w:right="240" w:firstLine="9"/>
        <w:spacing w:after="0" w:line="318" w:lineRule="auto"/>
        <w:tabs>
          <w:tab w:leader="none" w:pos="101" w:val="left"/>
        </w:tabs>
        <w:numPr>
          <w:ilvl w:val="0"/>
          <w:numId w:val="4"/>
        </w:numPr>
        <w:rPr>
          <w:rFonts w:ascii="Arial" w:cs="Arial" w:eastAsia="Arial" w:hAnsi="Arial"/>
          <w:sz w:val="12"/>
          <w:szCs w:val="12"/>
          <w:color w:val="008000"/>
        </w:rPr>
      </w:pPr>
      <w:r>
        <w:rPr>
          <w:rFonts w:ascii="Arial" w:cs="Arial" w:eastAsia="Arial" w:hAnsi="Arial"/>
          <w:sz w:val="12"/>
          <w:szCs w:val="12"/>
          <w:color w:val="008000"/>
        </w:rPr>
        <w:t>The Power of Attorney executed by David Einhorn, authorizing the signatory to sign and file this Form 4 on David Einhorn's behalf, filed as Exhibit 99.2 to the Schedule 13G filed with the Securities and Exchange Commission on May 24, 2010 by the reporting persons with respect to the common stock of NCR Corporation, is hereby incorporated by reference.</w:t>
      </w:r>
    </w:p>
    <w:p>
      <w:pPr>
        <w:sectPr>
          <w:pgSz w:w="11900" w:h="16838" w:orient="portrait"/>
          <w:cols w:equalWidth="0" w:num="1">
            <w:col w:w="11320"/>
          </w:cols>
          <w:pgMar w:left="280" w:top="129" w:right="299" w:bottom="1440" w:gutter="0" w:footer="0" w:header="0"/>
        </w:sectPr>
      </w:pPr>
    </w:p>
    <w:p>
      <w:pPr>
        <w:spacing w:after="0" w:line="15" w:lineRule="exact"/>
        <w:rPr>
          <w:sz w:val="20"/>
          <w:szCs w:val="20"/>
          <w:color w:val="auto"/>
        </w:rPr>
      </w:pPr>
    </w:p>
    <w:p>
      <w:pPr>
        <w:ind w:left="6820"/>
        <w:spacing w:after="0"/>
        <w:rPr>
          <w:sz w:val="20"/>
          <w:szCs w:val="20"/>
          <w:color w:val="auto"/>
        </w:rPr>
      </w:pPr>
      <w:r>
        <w:rPr>
          <w:rFonts w:ascii="Arial" w:cs="Arial" w:eastAsia="Arial" w:hAnsi="Arial"/>
          <w:sz w:val="16"/>
          <w:szCs w:val="16"/>
          <w:color w:val="0000FF"/>
        </w:rPr>
        <w:t>/s/ Daniel Roitman *, on behalf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4336415</wp:posOffset>
            </wp:positionH>
            <wp:positionV relativeFrom="paragraph">
              <wp:posOffset>0</wp:posOffset>
            </wp:positionV>
            <wp:extent cx="139954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99540" cy="8890"/>
                    </a:xfrm>
                    <a:prstGeom prst="rect">
                      <a:avLst/>
                    </a:prstGeom>
                    <a:noFill/>
                  </pic:spPr>
                </pic:pic>
              </a:graphicData>
            </a:graphic>
          </wp:anchor>
        </w:drawing>
      </w:r>
    </w:p>
    <w:p>
      <w:pPr>
        <w:spacing w:after="0" w:line="18" w:lineRule="exact"/>
        <w:rPr>
          <w:sz w:val="20"/>
          <w:szCs w:val="20"/>
          <w:color w:val="auto"/>
        </w:rPr>
      </w:pPr>
    </w:p>
    <w:p>
      <w:pPr>
        <w:ind w:left="6820"/>
        <w:spacing w:after="0"/>
        <w:rPr>
          <w:sz w:val="20"/>
          <w:szCs w:val="20"/>
          <w:color w:val="auto"/>
        </w:rPr>
      </w:pPr>
      <w:r>
        <w:rPr>
          <w:rFonts w:ascii="Arial" w:cs="Arial" w:eastAsia="Arial" w:hAnsi="Arial"/>
          <w:sz w:val="18"/>
          <w:szCs w:val="18"/>
          <w:color w:val="0000FF"/>
        </w:rPr>
        <w:t>of David Einhorn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4336415</wp:posOffset>
            </wp:positionH>
            <wp:positionV relativeFrom="paragraph">
              <wp:posOffset>-17780</wp:posOffset>
            </wp:positionV>
            <wp:extent cx="7804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spacing w:after="0" w:line="44" w:lineRule="exact"/>
        <w:rPr>
          <w:sz w:val="20"/>
          <w:szCs w:val="20"/>
          <w:color w:val="auto"/>
        </w:rPr>
      </w:pPr>
    </w:p>
    <w:p>
      <w:pPr>
        <w:ind w:left="6820"/>
        <w:spacing w:after="0"/>
        <w:rPr>
          <w:sz w:val="20"/>
          <w:szCs w:val="20"/>
          <w:color w:val="auto"/>
        </w:rPr>
      </w:pPr>
      <w:r>
        <w:rPr>
          <w:rFonts w:ascii="Arial" w:cs="Arial" w:eastAsia="Arial" w:hAnsi="Arial"/>
          <w:sz w:val="14"/>
          <w:szCs w:val="14"/>
          <w:color w:val="auto"/>
        </w:rPr>
        <w:t>** Signature of Reporting Person</w:t>
      </w:r>
    </w:p>
    <w:p>
      <w:pPr>
        <w:spacing w:after="0" w:line="42"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1240" w:firstLine="9"/>
        <w:spacing w:after="0" w:line="350" w:lineRule="auto"/>
        <w:tabs>
          <w:tab w:leader="none" w:pos="143" w:val="left"/>
        </w:tabs>
        <w:numPr>
          <w:ilvl w:val="0"/>
          <w:numId w:val="5"/>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0"/>
          <w:szCs w:val="20"/>
          <w:color w:val="auto"/>
        </w:rPr>
      </w:pPr>
      <w:r>
        <w:rPr>
          <w:sz w:val="20"/>
          <w:szCs w:val="20"/>
          <w:color w:val="auto"/>
        </w:rPr>
        <w:br w:type="column"/>
      </w:r>
    </w:p>
    <w:p>
      <w:pPr>
        <w:spacing w:after="0" w:line="103" w:lineRule="exact"/>
        <w:rPr>
          <w:sz w:val="20"/>
          <w:szCs w:val="20"/>
          <w:color w:val="auto"/>
        </w:rPr>
      </w:pPr>
    </w:p>
    <w:p>
      <w:pPr>
        <w:spacing w:after="0"/>
        <w:rPr>
          <w:sz w:val="20"/>
          <w:szCs w:val="20"/>
          <w:color w:val="auto"/>
        </w:rPr>
      </w:pPr>
      <w:r>
        <w:rPr>
          <w:rFonts w:ascii="Arial" w:cs="Arial" w:eastAsia="Arial" w:hAnsi="Arial"/>
          <w:sz w:val="15"/>
          <w:szCs w:val="15"/>
          <w:color w:val="0000FF"/>
        </w:rPr>
        <w:t>04/05/2013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color w:val="auto"/>
        </w:rPr>
        <w:t>Date</w:t>
      </w:r>
    </w:p>
    <w:p>
      <w:pPr>
        <w:spacing w:after="0" w:line="836" w:lineRule="exact"/>
        <w:rPr>
          <w:sz w:val="20"/>
          <w:szCs w:val="20"/>
          <w:color w:val="auto"/>
        </w:rPr>
      </w:pPr>
    </w:p>
    <w:p>
      <w:pPr>
        <w:sectPr>
          <w:pgSz w:w="11900" w:h="16838" w:orient="portrait"/>
          <w:cols w:equalWidth="0" w:num="2">
            <w:col w:w="9040" w:space="80"/>
            <w:col w:w="2200"/>
          </w:cols>
          <w:pgMar w:left="280" w:top="129" w:right="299" w:bottom="1440" w:gutter="0" w:footer="0" w:header="0"/>
          <w:type w:val="continuous"/>
        </w:sect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80" w:top="129" w:right="29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X"/>
      <w:numFmt w:val="bullet"/>
      <w:start w:val="1"/>
    </w:lvl>
  </w:abstractNum>
  <w:abstractNum w:abstractNumId="1">
    <w:nsid w:val="2AE8944A"/>
    <w:multiLevelType w:val="hybridMultilevel"/>
    <w:lvl w:ilvl="0">
      <w:lvlJc w:val="left"/>
      <w:lvlText w:val="%1."/>
      <w:numFmt w:val="decimal"/>
      <w:start w:val="1"/>
    </w:lvl>
  </w:abstractNum>
  <w:abstractNum w:abstractNumId="2">
    <w:nsid w:val="625558EC"/>
    <w:multiLevelType w:val="hybridMultilevel"/>
    <w:lvl w:ilvl="0">
      <w:lvlJc w:val="left"/>
      <w:lvlText w:val="%1."/>
      <w:numFmt w:val="decimal"/>
      <w:start w:val="8"/>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24045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2019-12-17T16:21:39Z</dcterms:created>
  <dcterms:modified xsi:type="dcterms:W3CDTF">2019-12-17T16:21:39Z</dcterms:modified>
</cp:coreProperties>
</file>