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1161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116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Sutardja,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3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7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VP, 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04/30/2013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7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10.76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04/30/2013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150,000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04/30/2023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20,000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04/30/2013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11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20,000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04/01/2014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right"/>
              <w:ind w:right="2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8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1"/>
              </w:rPr>
              <w:t>1. Option vests at the rate of 1/3rd of the shares annually beginning on the second anniversary of April 1, 2013, the vesting commencement date.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Each restricted stock unit represents a contingent right to receive one Marvell common share.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3. Restricted stock units vest in full on April 1, 2014.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Pantas Sutardja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05/02/2013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2019-12-17T16:55:09Z</dcterms:created>
  <dcterms:modified xsi:type="dcterms:W3CDTF">2019-12-17T16:55:09Z</dcterms:modified>
</cp:coreProperties>
</file>