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9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28" w:lineRule="exact"/>
        <w:rPr>
          <w:sz w:val="24"/>
          <w:szCs w:val="24"/>
          <w:color w:val="auto"/>
        </w:rPr>
      </w:pPr>
    </w:p>
    <w:p>
      <w:pPr>
        <w:ind w:left="2840"/>
        <w:spacing w:after="0"/>
        <w:rPr>
          <w:sz w:val="20"/>
          <w:szCs w:val="20"/>
          <w:color w:val="auto"/>
        </w:rPr>
      </w:pPr>
      <w:r>
        <w:rPr>
          <w:rFonts w:ascii="Arial" w:cs="Arial" w:eastAsia="Arial" w:hAnsi="Arial"/>
          <w:sz w:val="22"/>
          <w:szCs w:val="22"/>
          <w:b w:val="1"/>
          <w:bCs w:val="1"/>
          <w:color w:val="auto"/>
        </w:rPr>
        <w:t>Date of Report (Date of earliest event reported): June 26,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840"/>
          </w:cols>
          <w:pgMar w:left="240" w:top="314" w:right="6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960"/>
          </w:cols>
          <w:pgMar w:left="240" w:top="314" w:right="639" w:bottom="1440" w:gutter="0" w:footer="0" w:header="0"/>
          <w:type w:val="continuous"/>
        </w:sectPr>
      </w:pPr>
    </w:p>
    <w:p>
      <w:pPr>
        <w:jc w:val="center"/>
        <w:ind w:right="-4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4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4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020"/>
          </w:cols>
          <w:pgMar w:left="240" w:top="314" w:right="6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5"/>
          <w:szCs w:val="15"/>
          <w:b w:val="1"/>
          <w:bCs w:val="1"/>
          <w:color w:val="auto"/>
        </w:rPr>
        <w:t>Submission of Matters to a Vote of Security Holders.</w:t>
      </w:r>
    </w:p>
    <w:p>
      <w:pPr>
        <w:spacing w:after="0" w:line="96" w:lineRule="exact"/>
        <w:rPr>
          <w:sz w:val="20"/>
          <w:szCs w:val="20"/>
          <w:color w:val="auto"/>
        </w:rPr>
      </w:pPr>
    </w:p>
    <w:p>
      <w:pPr>
        <w:ind w:right="860"/>
        <w:spacing w:after="0" w:line="330" w:lineRule="auto"/>
        <w:rPr>
          <w:sz w:val="20"/>
          <w:szCs w:val="20"/>
          <w:color w:val="auto"/>
        </w:rPr>
      </w:pPr>
      <w:r>
        <w:rPr>
          <w:rFonts w:ascii="Arial" w:cs="Arial" w:eastAsia="Arial" w:hAnsi="Arial"/>
          <w:sz w:val="16"/>
          <w:szCs w:val="16"/>
          <w:color w:val="auto"/>
        </w:rPr>
        <w:t>At the Annual General Meeting of Shareholders held on June 26, 2013 (the “Annual Meeting”) for Marvell Technology Group Ltd. (the “Company”), shareholders voted on the matters as set forth below. Each issued common share was entitled to one vote on the proposals voted on at the meeting.</w:t>
      </w:r>
    </w:p>
    <w:p>
      <w:pPr>
        <w:spacing w:after="0" w:line="1" w:lineRule="exact"/>
        <w:rPr>
          <w:sz w:val="20"/>
          <w:szCs w:val="20"/>
          <w:color w:val="auto"/>
        </w:rPr>
      </w:pPr>
    </w:p>
    <w:p>
      <w:pPr>
        <w:ind w:left="460" w:right="140" w:hanging="452"/>
        <w:spacing w:after="0" w:line="275"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2014 annual general meeting of shareholders, based upon the following votes:</w:t>
      </w:r>
    </w:p>
    <w:p>
      <w:pPr>
        <w:spacing w:after="0" w:line="152"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980" w:type="dxa"/>
            <w:vAlign w:val="bottom"/>
            <w:gridSpan w:val="2"/>
          </w:tcPr>
          <w:p>
            <w:pPr>
              <w:ind w:left="100"/>
              <w:spacing w:after="0"/>
              <w:rPr>
                <w:sz w:val="20"/>
                <w:szCs w:val="20"/>
                <w:color w:val="auto"/>
              </w:rPr>
            </w:pPr>
            <w:r>
              <w:rPr>
                <w:rFonts w:ascii="Arial" w:cs="Arial" w:eastAsia="Arial" w:hAnsi="Arial"/>
                <w:sz w:val="14"/>
                <w:szCs w:val="14"/>
                <w:color w:val="auto"/>
              </w:rPr>
              <w:t>Broker Non-</w:t>
            </w:r>
          </w:p>
        </w:tc>
      </w:tr>
      <w:tr>
        <w:trPr>
          <w:trHeight w:val="159"/>
        </w:trPr>
        <w:tc>
          <w:tcPr>
            <w:tcW w:w="6080" w:type="dxa"/>
            <w:vAlign w:val="bottom"/>
          </w:tcPr>
          <w:p>
            <w:pPr>
              <w:spacing w:after="0"/>
              <w:rPr>
                <w:sz w:val="13"/>
                <w:szCs w:val="13"/>
                <w:color w:val="auto"/>
              </w:rPr>
            </w:pPr>
          </w:p>
        </w:tc>
        <w:tc>
          <w:tcPr>
            <w:tcW w:w="1240" w:type="dxa"/>
            <w:vAlign w:val="bottom"/>
            <w:gridSpan w:val="2"/>
          </w:tcPr>
          <w:p>
            <w:pPr>
              <w:ind w:left="380"/>
              <w:spacing w:after="0" w:line="159" w:lineRule="exact"/>
              <w:rPr>
                <w:sz w:val="20"/>
                <w:szCs w:val="20"/>
                <w:color w:val="auto"/>
              </w:rPr>
            </w:pPr>
            <w:r>
              <w:rPr>
                <w:rFonts w:ascii="Arial" w:cs="Arial" w:eastAsia="Arial" w:hAnsi="Arial"/>
                <w:sz w:val="14"/>
                <w:szCs w:val="14"/>
                <w:color w:val="auto"/>
              </w:rPr>
              <w:t>For</w:t>
            </w:r>
          </w:p>
        </w:tc>
        <w:tc>
          <w:tcPr>
            <w:tcW w:w="1140" w:type="dxa"/>
            <w:vAlign w:val="bottom"/>
            <w:gridSpan w:val="2"/>
          </w:tcPr>
          <w:p>
            <w:pPr>
              <w:jc w:val="right"/>
              <w:ind w:right="520"/>
              <w:spacing w:after="0" w:line="159" w:lineRule="exact"/>
              <w:rPr>
                <w:sz w:val="20"/>
                <w:szCs w:val="20"/>
                <w:color w:val="auto"/>
              </w:rPr>
            </w:pPr>
            <w:r>
              <w:rPr>
                <w:rFonts w:ascii="Arial" w:cs="Arial" w:eastAsia="Arial" w:hAnsi="Arial"/>
                <w:sz w:val="14"/>
                <w:szCs w:val="14"/>
                <w:color w:val="auto"/>
              </w:rPr>
              <w:t>Against</w:t>
            </w:r>
          </w:p>
        </w:tc>
        <w:tc>
          <w:tcPr>
            <w:tcW w:w="1060" w:type="dxa"/>
            <w:vAlign w:val="bottom"/>
            <w:gridSpan w:val="2"/>
          </w:tcPr>
          <w:p>
            <w:pPr>
              <w:ind w:left="180"/>
              <w:spacing w:after="0" w:line="159" w:lineRule="exact"/>
              <w:rPr>
                <w:sz w:val="20"/>
                <w:szCs w:val="20"/>
                <w:color w:val="auto"/>
              </w:rPr>
            </w:pPr>
            <w:r>
              <w:rPr>
                <w:rFonts w:ascii="Arial" w:cs="Arial" w:eastAsia="Arial" w:hAnsi="Arial"/>
                <w:sz w:val="14"/>
                <w:szCs w:val="14"/>
                <w:color w:val="auto"/>
              </w:rPr>
              <w:t>Abstain</w:t>
            </w:r>
          </w:p>
        </w:tc>
        <w:tc>
          <w:tcPr>
            <w:tcW w:w="980" w:type="dxa"/>
            <w:vAlign w:val="bottom"/>
            <w:gridSpan w:val="2"/>
          </w:tcPr>
          <w:p>
            <w:pPr>
              <w:ind w:left="300"/>
              <w:spacing w:after="0" w:line="159" w:lineRule="exact"/>
              <w:rPr>
                <w:sz w:val="20"/>
                <w:szCs w:val="20"/>
                <w:color w:val="auto"/>
              </w:rPr>
            </w:pPr>
            <w:r>
              <w:rPr>
                <w:rFonts w:ascii="Arial" w:cs="Arial" w:eastAsia="Arial" w:hAnsi="Arial"/>
                <w:sz w:val="14"/>
                <w:szCs w:val="14"/>
                <w:color w:val="auto"/>
              </w:rPr>
              <w:t>Votes</w:t>
            </w:r>
          </w:p>
        </w:tc>
      </w:tr>
      <w:tr>
        <w:trPr>
          <w:trHeight w:val="210"/>
        </w:trPr>
        <w:tc>
          <w:tcPr>
            <w:tcW w:w="60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Dr. Sehat Sutardja</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352,492,866</w:t>
            </w:r>
          </w:p>
        </w:tc>
        <w:tc>
          <w:tcPr>
            <w:tcW w:w="3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8,347,668</w:t>
            </w:r>
          </w:p>
        </w:tc>
        <w:tc>
          <w:tcPr>
            <w:tcW w:w="3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4,138,657</w:t>
            </w:r>
          </w:p>
        </w:tc>
        <w:tc>
          <w:tcPr>
            <w:tcW w:w="28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6"/>
              </w:rPr>
              <w:t>70,438,446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Dr. Juergen Gromer</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348,617,831</w:t>
            </w:r>
          </w:p>
        </w:tc>
        <w:tc>
          <w:tcPr>
            <w:tcW w:w="30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w w:val="90"/>
              </w:rPr>
              <w:t>15,985,759</w:t>
            </w:r>
          </w:p>
        </w:tc>
        <w:tc>
          <w:tcPr>
            <w:tcW w:w="780" w:type="dxa"/>
            <w:vAlign w:val="bottom"/>
          </w:tcPr>
          <w:p>
            <w:pPr>
              <w:jc w:val="right"/>
              <w:spacing w:after="0"/>
              <w:rPr>
                <w:sz w:val="20"/>
                <w:szCs w:val="20"/>
                <w:color w:val="auto"/>
              </w:rPr>
            </w:pPr>
            <w:r>
              <w:rPr>
                <w:rFonts w:ascii="Arial" w:cs="Arial" w:eastAsia="Arial" w:hAnsi="Arial"/>
                <w:sz w:val="18"/>
                <w:szCs w:val="18"/>
                <w:color w:val="auto"/>
              </w:rPr>
              <w:t>375,601</w:t>
            </w:r>
          </w:p>
        </w:tc>
        <w:tc>
          <w:tcPr>
            <w:tcW w:w="280" w:type="dxa"/>
            <w:vAlign w:val="bottom"/>
          </w:tcPr>
          <w:p>
            <w:pPr>
              <w:spacing w:after="0"/>
              <w:rPr>
                <w:sz w:val="18"/>
                <w:szCs w:val="18"/>
                <w:color w:val="auto"/>
              </w:rPr>
            </w:pPr>
          </w:p>
        </w:tc>
        <w:tc>
          <w:tcPr>
            <w:tcW w:w="980" w:type="dxa"/>
            <w:vAlign w:val="bottom"/>
            <w:gridSpan w:val="2"/>
          </w:tcPr>
          <w:p>
            <w:pPr>
              <w:ind w:left="80"/>
              <w:spacing w:after="0"/>
              <w:rPr>
                <w:sz w:val="20"/>
                <w:szCs w:val="20"/>
                <w:color w:val="auto"/>
              </w:rPr>
            </w:pPr>
            <w:r>
              <w:rPr>
                <w:rFonts w:ascii="Arial" w:cs="Arial" w:eastAsia="Arial" w:hAnsi="Arial"/>
                <w:sz w:val="18"/>
                <w:szCs w:val="18"/>
                <w:color w:val="auto"/>
                <w:w w:val="97"/>
              </w:rPr>
              <w:t>70,438,446</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348,997,443</w:t>
            </w:r>
          </w:p>
        </w:tc>
        <w:tc>
          <w:tcPr>
            <w:tcW w:w="3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0"/>
              </w:rPr>
              <w:t>15,629,426</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352,322</w:t>
            </w:r>
          </w:p>
        </w:tc>
        <w:tc>
          <w:tcPr>
            <w:tcW w:w="2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7"/>
              </w:rPr>
              <w:t>70,438,446</w:t>
            </w: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Arturo Krueger</w:t>
            </w:r>
          </w:p>
        </w:tc>
        <w:tc>
          <w:tcPr>
            <w:tcW w:w="940" w:type="dxa"/>
            <w:vAlign w:val="bottom"/>
          </w:tcPr>
          <w:p>
            <w:pPr>
              <w:jc w:val="right"/>
              <w:spacing w:after="0"/>
              <w:rPr>
                <w:sz w:val="20"/>
                <w:szCs w:val="20"/>
                <w:color w:val="auto"/>
              </w:rPr>
            </w:pPr>
            <w:r>
              <w:rPr>
                <w:rFonts w:ascii="Arial" w:cs="Arial" w:eastAsia="Arial" w:hAnsi="Arial"/>
                <w:sz w:val="18"/>
                <w:szCs w:val="18"/>
                <w:color w:val="auto"/>
                <w:w w:val="91"/>
              </w:rPr>
              <w:t>345,073,580</w:t>
            </w:r>
          </w:p>
        </w:tc>
        <w:tc>
          <w:tcPr>
            <w:tcW w:w="30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w w:val="90"/>
              </w:rPr>
              <w:t>19,530,195</w:t>
            </w:r>
          </w:p>
        </w:tc>
        <w:tc>
          <w:tcPr>
            <w:tcW w:w="780" w:type="dxa"/>
            <w:vAlign w:val="bottom"/>
          </w:tcPr>
          <w:p>
            <w:pPr>
              <w:jc w:val="right"/>
              <w:spacing w:after="0"/>
              <w:rPr>
                <w:sz w:val="20"/>
                <w:szCs w:val="20"/>
                <w:color w:val="auto"/>
              </w:rPr>
            </w:pPr>
            <w:r>
              <w:rPr>
                <w:rFonts w:ascii="Arial" w:cs="Arial" w:eastAsia="Arial" w:hAnsi="Arial"/>
                <w:sz w:val="18"/>
                <w:szCs w:val="18"/>
                <w:color w:val="auto"/>
              </w:rPr>
              <w:t>375,416</w:t>
            </w:r>
          </w:p>
        </w:tc>
        <w:tc>
          <w:tcPr>
            <w:tcW w:w="280" w:type="dxa"/>
            <w:vAlign w:val="bottom"/>
          </w:tcPr>
          <w:p>
            <w:pPr>
              <w:spacing w:after="0"/>
              <w:rPr>
                <w:sz w:val="18"/>
                <w:szCs w:val="18"/>
                <w:color w:val="auto"/>
              </w:rPr>
            </w:pPr>
          </w:p>
        </w:tc>
        <w:tc>
          <w:tcPr>
            <w:tcW w:w="980" w:type="dxa"/>
            <w:vAlign w:val="bottom"/>
            <w:gridSpan w:val="2"/>
          </w:tcPr>
          <w:p>
            <w:pPr>
              <w:ind w:left="80"/>
              <w:spacing w:after="0"/>
              <w:rPr>
                <w:sz w:val="20"/>
                <w:szCs w:val="20"/>
                <w:color w:val="auto"/>
              </w:rPr>
            </w:pPr>
            <w:r>
              <w:rPr>
                <w:rFonts w:ascii="Arial" w:cs="Arial" w:eastAsia="Arial" w:hAnsi="Arial"/>
                <w:sz w:val="18"/>
                <w:szCs w:val="18"/>
                <w:color w:val="auto"/>
                <w:w w:val="97"/>
              </w:rPr>
              <w:t>70,438,446</w:t>
            </w: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Dr. Randhir Thakur</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355,452,693</w:t>
            </w:r>
          </w:p>
        </w:tc>
        <w:tc>
          <w:tcPr>
            <w:tcW w:w="3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9,179,190</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347,308</w:t>
            </w:r>
          </w:p>
        </w:tc>
        <w:tc>
          <w:tcPr>
            <w:tcW w:w="2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7"/>
              </w:rPr>
              <w:t>70,438,446</w:t>
            </w:r>
          </w:p>
        </w:tc>
      </w:tr>
    </w:tbl>
    <w:p>
      <w:pPr>
        <w:spacing w:after="0" w:line="154"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the election of each director in the table above, an “abstain” vote had the same effect as an “against” vote.</w:t>
      </w:r>
    </w:p>
    <w:p>
      <w:pPr>
        <w:spacing w:after="0" w:line="206" w:lineRule="exact"/>
        <w:rPr>
          <w:sz w:val="20"/>
          <w:szCs w:val="20"/>
          <w:color w:val="auto"/>
        </w:rPr>
      </w:pPr>
    </w:p>
    <w:p>
      <w:pPr>
        <w:ind w:left="460" w:right="440" w:hanging="452"/>
        <w:spacing w:after="0" w:line="275"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75"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37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213,012,533</w:t>
            </w:r>
          </w:p>
        </w:tc>
      </w:tr>
      <w:tr>
        <w:trPr>
          <w:trHeight w:val="216"/>
        </w:trPr>
        <w:tc>
          <w:tcPr>
            <w:tcW w:w="4020" w:type="dxa"/>
            <w:vAlign w:val="bottom"/>
          </w:tcPr>
          <w:p>
            <w:pPr>
              <w:spacing w:after="0"/>
              <w:rPr>
                <w:sz w:val="20"/>
                <w:szCs w:val="20"/>
                <w:color w:val="auto"/>
              </w:rPr>
            </w:pPr>
            <w:r>
              <w:rPr>
                <w:rFonts w:ascii="Arial" w:cs="Arial" w:eastAsia="Arial" w:hAnsi="Arial"/>
                <w:sz w:val="18"/>
                <w:szCs w:val="18"/>
                <w:color w:val="auto"/>
              </w:rPr>
              <w:t>Against</w:t>
            </w:r>
          </w:p>
        </w:tc>
        <w:tc>
          <w:tcPr>
            <w:tcW w:w="3740" w:type="dxa"/>
            <w:vAlign w:val="bottom"/>
          </w:tcPr>
          <w:p>
            <w:pPr>
              <w:jc w:val="right"/>
              <w:ind w:right="12"/>
              <w:spacing w:after="0"/>
              <w:rPr>
                <w:sz w:val="20"/>
                <w:szCs w:val="20"/>
                <w:color w:val="auto"/>
              </w:rPr>
            </w:pPr>
            <w:r>
              <w:rPr>
                <w:rFonts w:ascii="Arial" w:cs="Arial" w:eastAsia="Arial" w:hAnsi="Arial"/>
                <w:sz w:val="18"/>
                <w:szCs w:val="18"/>
                <w:color w:val="auto"/>
              </w:rPr>
              <w:t>151,349,094</w:t>
            </w:r>
          </w:p>
        </w:tc>
      </w:tr>
      <w:tr>
        <w:trPr>
          <w:trHeight w:val="216"/>
        </w:trPr>
        <w:tc>
          <w:tcPr>
            <w:tcW w:w="402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374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617,564</w:t>
            </w:r>
          </w:p>
        </w:tc>
      </w:tr>
      <w:tr>
        <w:trPr>
          <w:trHeight w:val="222"/>
        </w:trPr>
        <w:tc>
          <w:tcPr>
            <w:tcW w:w="4020" w:type="dxa"/>
            <w:vAlign w:val="bottom"/>
          </w:tcPr>
          <w:p>
            <w:pPr>
              <w:spacing w:after="0"/>
              <w:rPr>
                <w:sz w:val="20"/>
                <w:szCs w:val="20"/>
                <w:color w:val="auto"/>
              </w:rPr>
            </w:pPr>
            <w:r>
              <w:rPr>
                <w:rFonts w:ascii="Arial" w:cs="Arial" w:eastAsia="Arial" w:hAnsi="Arial"/>
                <w:sz w:val="18"/>
                <w:szCs w:val="18"/>
                <w:color w:val="auto"/>
              </w:rPr>
              <w:t>Broker Non-Votes</w:t>
            </w:r>
          </w:p>
        </w:tc>
        <w:tc>
          <w:tcPr>
            <w:tcW w:w="3740" w:type="dxa"/>
            <w:vAlign w:val="bottom"/>
          </w:tcPr>
          <w:p>
            <w:pPr>
              <w:jc w:val="right"/>
              <w:ind w:right="12"/>
              <w:spacing w:after="0"/>
              <w:rPr>
                <w:sz w:val="20"/>
                <w:szCs w:val="20"/>
                <w:color w:val="auto"/>
              </w:rPr>
            </w:pPr>
            <w:r>
              <w:rPr>
                <w:rFonts w:ascii="Arial" w:cs="Arial" w:eastAsia="Arial" w:hAnsi="Arial"/>
                <w:sz w:val="18"/>
                <w:szCs w:val="18"/>
                <w:color w:val="auto"/>
              </w:rPr>
              <w:t>70,438,446</w:t>
            </w:r>
          </w:p>
        </w:tc>
      </w:tr>
    </w:tbl>
    <w:p>
      <w:pPr>
        <w:spacing w:after="0" w:line="182" w:lineRule="exact"/>
        <w:rPr>
          <w:sz w:val="20"/>
          <w:szCs w:val="20"/>
          <w:color w:val="auto"/>
        </w:rPr>
      </w:pPr>
    </w:p>
    <w:p>
      <w:pPr>
        <w:ind w:left="460" w:hanging="452"/>
        <w:spacing w:after="0" w:line="310"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b w:val="1"/>
          <w:bCs w:val="1"/>
          <w:color w:val="auto"/>
        </w:rPr>
        <w:t>The proposal to re-appoint PricewaterhouseCoopers LLP as the Company’s auditors and independent registered public accounting firm, and authorize the audit committee, acting on behalf of the Board, to fix the remuneration of the auditors and independent registered public accounting firm, in both cases for the Company’s fiscal year ending February 1, 2014, was approved based upon the following votes:</w:t>
      </w:r>
    </w:p>
    <w:p>
      <w:pPr>
        <w:spacing w:after="0" w:line="152"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18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55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433,202,915</w:t>
            </w:r>
          </w:p>
        </w:tc>
      </w:tr>
      <w:tr>
        <w:trPr>
          <w:trHeight w:val="216"/>
        </w:trPr>
        <w:tc>
          <w:tcPr>
            <w:tcW w:w="2180" w:type="dxa"/>
            <w:vAlign w:val="bottom"/>
          </w:tcPr>
          <w:p>
            <w:pPr>
              <w:spacing w:after="0"/>
              <w:rPr>
                <w:sz w:val="20"/>
                <w:szCs w:val="20"/>
                <w:color w:val="auto"/>
              </w:rPr>
            </w:pPr>
            <w:r>
              <w:rPr>
                <w:rFonts w:ascii="Arial" w:cs="Arial" w:eastAsia="Arial" w:hAnsi="Arial"/>
                <w:sz w:val="18"/>
                <w:szCs w:val="18"/>
                <w:color w:val="auto"/>
              </w:rPr>
              <w:t>Against</w:t>
            </w:r>
          </w:p>
        </w:tc>
        <w:tc>
          <w:tcPr>
            <w:tcW w:w="5580" w:type="dxa"/>
            <w:vAlign w:val="bottom"/>
          </w:tcPr>
          <w:p>
            <w:pPr>
              <w:jc w:val="right"/>
              <w:ind w:right="12"/>
              <w:spacing w:after="0"/>
              <w:rPr>
                <w:sz w:val="20"/>
                <w:szCs w:val="20"/>
                <w:color w:val="auto"/>
              </w:rPr>
            </w:pPr>
            <w:r>
              <w:rPr>
                <w:rFonts w:ascii="Arial" w:cs="Arial" w:eastAsia="Arial" w:hAnsi="Arial"/>
                <w:sz w:val="18"/>
                <w:szCs w:val="18"/>
                <w:color w:val="auto"/>
              </w:rPr>
              <w:t>1,617,112</w:t>
            </w:r>
          </w:p>
        </w:tc>
      </w:tr>
      <w:tr>
        <w:trPr>
          <w:trHeight w:val="216"/>
        </w:trPr>
        <w:tc>
          <w:tcPr>
            <w:tcW w:w="218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558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597,610</w:t>
            </w:r>
          </w:p>
        </w:tc>
      </w:tr>
      <w:tr>
        <w:trPr>
          <w:trHeight w:val="363"/>
        </w:trPr>
        <w:tc>
          <w:tcPr>
            <w:tcW w:w="2180" w:type="dxa"/>
            <w:vAlign w:val="bottom"/>
          </w:tcPr>
          <w:p>
            <w:pPr>
              <w:spacing w:after="0"/>
              <w:rPr>
                <w:sz w:val="24"/>
                <w:szCs w:val="24"/>
                <w:color w:val="auto"/>
              </w:rPr>
            </w:pPr>
          </w:p>
        </w:tc>
        <w:tc>
          <w:tcPr>
            <w:tcW w:w="5580" w:type="dxa"/>
            <w:vAlign w:val="bottom"/>
          </w:tcPr>
          <w:p>
            <w:pPr>
              <w:jc w:val="right"/>
              <w:ind w:right="3752"/>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June 28, 2013</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2019-12-06T20:20:31Z</dcterms:created>
  <dcterms:modified xsi:type="dcterms:W3CDTF">2019-12-06T20:20:31Z</dcterms:modified>
</cp:coreProperties>
</file>