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CURRENT REPORT</w:t>
      </w:r>
    </w:p>
    <w:p>
      <w:pPr>
        <w:spacing w:after="0" w:line="152"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28" w:lineRule="exact"/>
        <w:rPr>
          <w:sz w:val="24"/>
          <w:szCs w:val="24"/>
          <w:color w:val="auto"/>
        </w:rPr>
      </w:pPr>
    </w:p>
    <w:p>
      <w:pPr>
        <w:ind w:left="2820"/>
        <w:spacing w:after="0"/>
        <w:rPr>
          <w:sz w:val="20"/>
          <w:szCs w:val="20"/>
          <w:color w:val="auto"/>
        </w:rPr>
      </w:pPr>
      <w:r>
        <w:rPr>
          <w:rFonts w:ascii="Arial" w:cs="Arial" w:eastAsia="Arial" w:hAnsi="Arial"/>
          <w:sz w:val="22"/>
          <w:szCs w:val="22"/>
          <w:b w:val="1"/>
          <w:bCs w:val="1"/>
          <w:color w:val="auto"/>
        </w:rPr>
        <w:t>Date of Report (Date of earliest event reported): April 19,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840"/>
          </w:cols>
          <w:pgMar w:left="240" w:top="314"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314"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105410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131445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bookmarkStart w:id="1" w:name="page2"/>
    <w:bookmarkEnd w:id="1"/>
    <w:p>
      <w:pPr>
        <w:ind w:left="1140" w:right="220" w:hanging="1133"/>
        <w:spacing w:after="0" w:line="275"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color w:val="auto"/>
        </w:rPr>
        <w:t>(b)</w:t>
      </w:r>
    </w:p>
    <w:p>
      <w:pPr>
        <w:spacing w:after="0" w:line="171"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On April 19, 2013, Dr. Pantas Sutardja notified Marvell Technology Group Ltd. (the “Company”) of his decision not to stand for re-election on the Company’s board of directors (the “Board”). Dr. Sutardja’s current term is set to expire on the date of the 2013 annual general meeting of shareholders, which is currently expected to be held on June 26, 2013 (the “Annual Meeting”). Dr. Sutardja has advised the Company that his decision to leave the Board is for personal reasons. Dr. Sutardja will remain as the Company’s Chief Technology Officer and Chief Research and Development Officer.</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80"/>
          </w:cols>
          <w:pgMar w:left="240" w:top="274" w:right="3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April 25, 2013</w:t>
      </w:r>
    </w:p>
    <w:p>
      <w:pPr>
        <w:spacing w:after="0" w:line="90"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2019-12-06T20:19:38Z</dcterms:created>
  <dcterms:modified xsi:type="dcterms:W3CDTF">2019-12-06T20:19:38Z</dcterms:modified>
</cp:coreProperties>
</file>