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203835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50"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w:t>
      </w:r>
    </w:p>
    <w:p>
      <w:pPr>
        <w:jc w:val="center"/>
        <w:ind w:right="-31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1"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Date of Report (Date of earliest event reported): May 23, 2013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194945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19"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00" w:lineRule="exact"/>
        <w:rPr>
          <w:sz w:val="24"/>
          <w:szCs w:val="24"/>
          <w:color w:val="auto"/>
        </w:rPr>
      </w:pPr>
    </w:p>
    <w:p>
      <w:pPr>
        <w:spacing w:after="0" w:line="329"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740" w:space="720"/>
            <w:col w:w="300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 of</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187960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00" w:lineRule="exact"/>
        <w:rPr>
          <w:sz w:val="24"/>
          <w:szCs w:val="24"/>
          <w:color w:val="auto"/>
        </w:rPr>
      </w:pPr>
    </w:p>
    <w:p>
      <w:pPr>
        <w:spacing w:after="0" w:line="263"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 Results of Operations and Financial Condition.</w:t>
      </w:r>
    </w:p>
    <w:p>
      <w:pPr>
        <w:spacing w:after="0" w:line="96"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On May 23, 2013, Marvell Technology Group Ltd. (“Marvell”) issued a press release regarding its financial results for its first fiscal quarter ended May 4, 2013. A copy of the press release is furnished herewith as Exhibit 99.1 and is incorporated by reference herein.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of acquired intangible assets, acquisition-related costs, restructuring costs, and certain one-time expenses and benefits.</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its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60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4" w:lineRule="exact"/>
        <w:rPr>
          <w:sz w:val="20"/>
          <w:szCs w:val="20"/>
          <w:color w:val="auto"/>
        </w:rPr>
      </w:pPr>
    </w:p>
    <w:p>
      <w:pPr>
        <w:ind w:left="900" w:hanging="325"/>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900" w:right="180" w:hanging="325"/>
        <w:spacing w:after="0" w:line="256"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restricted stock units and the employee stock</w:t>
      </w:r>
      <w:r>
        <w:rPr>
          <w:rFonts w:ascii="Arial" w:cs="Arial" w:eastAsia="Arial" w:hAnsi="Arial"/>
          <w:sz w:val="18"/>
          <w:szCs w:val="18"/>
          <w:i w:val="1"/>
          <w:iCs w:val="1"/>
          <w:color w:val="auto"/>
        </w:rPr>
        <w:t xml:space="preserve"> </w:t>
      </w:r>
      <w:r>
        <w:rPr>
          <w:rFonts w:ascii="Arial" w:cs="Arial" w:eastAsia="Arial" w:hAnsi="Arial"/>
          <w:sz w:val="18"/>
          <w:szCs w:val="18"/>
          <w:color w:val="auto"/>
        </w:rPr>
        <w:t>purchase plan. Stock-based 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2" w:name="page3"/>
    <w:bookmarkEnd w:id="2"/>
    <w:p>
      <w:pPr>
        <w:ind w:left="900" w:hanging="325"/>
        <w:spacing w:after="0" w:line="332"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of acquired intangible assets</w:t>
      </w:r>
      <w:r>
        <w:rPr>
          <w:rFonts w:ascii="Arial" w:cs="Arial" w:eastAsia="Arial" w:hAnsi="Arial"/>
          <w:sz w:val="16"/>
          <w:szCs w:val="16"/>
          <w:color w:val="auto"/>
        </w:rPr>
        <w:t>. Purchased intangible assets relate primarily to existing and core technology, and customer relationships of</w:t>
      </w:r>
      <w:r>
        <w:rPr>
          <w:rFonts w:ascii="Arial" w:cs="Arial" w:eastAsia="Arial" w:hAnsi="Arial"/>
          <w:sz w:val="16"/>
          <w:szCs w:val="16"/>
          <w:i w:val="1"/>
          <w:iCs w:val="1"/>
          <w:color w:val="auto"/>
        </w:rPr>
        <w:t xml:space="preserve"> </w:t>
      </w:r>
      <w:r>
        <w:rPr>
          <w:rFonts w:ascii="Arial" w:cs="Arial" w:eastAsia="Arial" w:hAnsi="Arial"/>
          <w:sz w:val="16"/>
          <w:szCs w:val="16"/>
          <w:color w:val="auto"/>
        </w:rPr>
        <w:t>acquired businesses. Management considers these charges non-cash in nature and unrelated to Marvell’s core operating performance.</w:t>
      </w:r>
    </w:p>
    <w:p>
      <w:pPr>
        <w:spacing w:after="0" w:line="4" w:lineRule="exact"/>
        <w:rPr>
          <w:rFonts w:ascii="Arial" w:cs="Arial" w:eastAsia="Arial" w:hAnsi="Arial"/>
          <w:sz w:val="16"/>
          <w:szCs w:val="16"/>
          <w:color w:val="auto"/>
        </w:rPr>
      </w:pPr>
    </w:p>
    <w:p>
      <w:pPr>
        <w:ind w:left="900" w:right="6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Acquisition-related costs</w:t>
      </w:r>
      <w:r>
        <w:rPr>
          <w:rFonts w:ascii="Arial" w:cs="Arial" w:eastAsia="Arial" w:hAnsi="Arial"/>
          <w:sz w:val="16"/>
          <w:szCs w:val="16"/>
          <w:color w:val="auto"/>
        </w:rPr>
        <w:t>. Acquisition-related costs primarily include the step-up in fair value of acquired inventory that was sold during the period,</w:t>
      </w:r>
      <w:r>
        <w:rPr>
          <w:rFonts w:ascii="Arial" w:cs="Arial" w:eastAsia="Arial" w:hAnsi="Arial"/>
          <w:sz w:val="16"/>
          <w:szCs w:val="16"/>
          <w:i w:val="1"/>
          <w:iCs w:val="1"/>
          <w:color w:val="auto"/>
        </w:rPr>
        <w:t xml:space="preserve"> </w:t>
      </w:r>
      <w:r>
        <w:rPr>
          <w:rFonts w:ascii="Arial" w:cs="Arial" w:eastAsia="Arial" w:hAnsi="Arial"/>
          <w:sz w:val="16"/>
          <w:szCs w:val="16"/>
          <w:color w:val="auto"/>
        </w:rPr>
        <w:t>and the amortization of retention bonuses required by the terms of the acquisition. Management believes these charges are unrelated to the core operating activities for Marvell, and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right="16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Restructuring</w:t>
      </w:r>
      <w:r>
        <w:rPr>
          <w:rFonts w:ascii="Arial" w:cs="Arial" w:eastAsia="Arial" w:hAnsi="Arial"/>
          <w:sz w:val="16"/>
          <w:szCs w:val="16"/>
          <w:color w:val="auto"/>
        </w:rPr>
        <w:t>. Restructuring represents charges that are not directly related to Marvell’s ongoing or core business results. Management regularly</w:t>
      </w:r>
      <w:r>
        <w:rPr>
          <w:rFonts w:ascii="Arial" w:cs="Arial" w:eastAsia="Arial" w:hAnsi="Arial"/>
          <w:sz w:val="16"/>
          <w:szCs w:val="16"/>
          <w:i w:val="1"/>
          <w:iCs w:val="1"/>
          <w:color w:val="auto"/>
        </w:rPr>
        <w:t xml:space="preserve"> </w:t>
      </w:r>
      <w:r>
        <w:rPr>
          <w:rFonts w:ascii="Arial" w:cs="Arial" w:eastAsia="Arial" w:hAnsi="Arial"/>
          <w:sz w:val="16"/>
          <w:szCs w:val="16"/>
          <w:color w:val="auto"/>
        </w:rPr>
        <w:t>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right="60" w:hanging="325"/>
        <w:spacing w:after="0" w:line="256"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Other</w:t>
      </w:r>
      <w:r>
        <w:rPr>
          <w:rFonts w:ascii="Arial" w:cs="Arial" w:eastAsia="Arial" w:hAnsi="Arial"/>
          <w:sz w:val="18"/>
          <w:szCs w:val="18"/>
          <w:color w:val="auto"/>
        </w:rPr>
        <w:t>. From time to time, Marvell has other costs/benefits that are not directly related to Marvell’s ongoing or core business results. F or example, in</w:t>
      </w:r>
      <w:r>
        <w:rPr>
          <w:rFonts w:ascii="Arial" w:cs="Arial" w:eastAsia="Arial" w:hAnsi="Arial"/>
          <w:sz w:val="18"/>
          <w:szCs w:val="18"/>
          <w:i w:val="1"/>
          <w:iCs w:val="1"/>
          <w:color w:val="auto"/>
        </w:rPr>
        <w:t xml:space="preserve"> </w:t>
      </w:r>
      <w:r>
        <w:rPr>
          <w:rFonts w:ascii="Arial" w:cs="Arial" w:eastAsia="Arial" w:hAnsi="Arial"/>
          <w:sz w:val="18"/>
          <w:szCs w:val="18"/>
          <w:color w:val="auto"/>
        </w:rPr>
        <w:t>the fourth quarter ended February 2, 2013, Marvell recorded an expense of $5.7 million related to an ongoing litigation matter. The amount recorded does not relate to our litigation with Carnegie Mellon University. Excluding this data provides investors with a basis to compare Marvell’s performance against the performance of other companies without this variability.</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900" w:right="40" w:hanging="325"/>
        <w:spacing w:after="0" w:line="291"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stock-based compensation expected to be incurred in future periods but not yet recognized in the financial statements. For GAAP purposes under the treasury stock method, this future stock-based compensation is treated as proceeds assumed to be used to repurchase shares. Since Marvell’s non-GAAP net income does not include stock-based compensation, management believes the stock-based compensation effect on diluted shares outstanding using the treasury stock method should similarly not be included in the calculation of non-GAAP diluted shares outstanding.</w:t>
      </w:r>
    </w:p>
    <w:p>
      <w:pPr>
        <w:spacing w:after="0" w:line="120" w:lineRule="exact"/>
        <w:rPr>
          <w:sz w:val="20"/>
          <w:szCs w:val="20"/>
          <w:color w:val="auto"/>
        </w:rPr>
      </w:pPr>
    </w:p>
    <w:p>
      <w:pPr>
        <w:ind w:right="360" w:firstLine="456"/>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5"/>
          <w:szCs w:val="15"/>
          <w:b w:val="1"/>
          <w:bCs w:val="1"/>
          <w:color w:val="auto"/>
        </w:rPr>
        <w:t>Other Events.</w:t>
      </w:r>
    </w:p>
    <w:p>
      <w:pPr>
        <w:spacing w:after="0" w:line="96"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Marvell today announced that it had declared the payment of its quarterly dividend of $0.06 per share to be paid on July 3, 2013 to all shareholders of record as of June 13, 2013. The payment of future quarterly cash dividends is subject to, among other things, the best interests of its shareholders, its results of operations, cash balances and future cash requirements, financial condition, statutory requirements of Bermuda law, and other factors that the board of directors may deem relevant.</w:t>
      </w:r>
    </w:p>
    <w:p>
      <w:pPr>
        <w:spacing w:after="0" w:line="259"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117" w:lineRule="exact"/>
        <w:rPr>
          <w:sz w:val="20"/>
          <w:szCs w:val="20"/>
          <w:color w:val="auto"/>
        </w:rPr>
      </w:pPr>
    </w:p>
    <w:p>
      <w:pPr>
        <w:ind w:left="460"/>
        <w:spacing w:after="0"/>
        <w:tabs>
          <w:tab w:leader="none" w:pos="10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May 23, 2013</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80" w:right="23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May 23, 2013</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7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Brad D. Feller</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4" w:right="25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4" w:right="1440" w:bottom="1440" w:gutter="0" w:footer="0" w:header="0"/>
        </w:sectPr>
      </w:pPr>
    </w:p>
    <w:p>
      <w:pPr>
        <w:spacing w:after="0" w:line="215" w:lineRule="exact"/>
        <w:rPr>
          <w:sz w:val="20"/>
          <w:szCs w:val="20"/>
          <w:color w:val="auto"/>
        </w:rPr>
      </w:pPr>
    </w:p>
    <w:p>
      <w:pPr>
        <w:ind w:left="20"/>
        <w:spacing w:after="0"/>
        <w:rPr>
          <w:sz w:val="20"/>
          <w:szCs w:val="20"/>
          <w:color w:val="auto"/>
        </w:rPr>
      </w:pPr>
      <w:r>
        <w:rPr>
          <w:rFonts w:ascii="Arial" w:cs="Arial" w:eastAsia="Arial" w:hAnsi="Arial"/>
          <w:sz w:val="12"/>
          <w:szCs w:val="12"/>
          <w:color w:val="auto"/>
        </w:rPr>
        <w:t>Exhibit No.</w:t>
      </w:r>
    </w:p>
    <w:p>
      <w:pPr>
        <w:spacing w:after="0" w:line="20" w:lineRule="exact"/>
        <w:rPr>
          <w:sz w:val="20"/>
          <w:szCs w:val="20"/>
          <w:color w:val="auto"/>
        </w:rPr>
      </w:pPr>
      <w:r>
        <w:rPr>
          <w:sz w:val="20"/>
          <w:szCs w:val="20"/>
          <w:color w:val="auto"/>
        </w:rPr>
        <w:br w:type="column"/>
      </w:r>
    </w:p>
    <w:p>
      <w:pPr>
        <w:spacing w:after="0" w:line="195" w:lineRule="exact"/>
        <w:rPr>
          <w:sz w:val="20"/>
          <w:szCs w:val="20"/>
          <w:color w:val="auto"/>
        </w:rPr>
      </w:pPr>
    </w:p>
    <w:p>
      <w:pPr>
        <w:spacing w:after="0"/>
        <w:rPr>
          <w:sz w:val="20"/>
          <w:szCs w:val="20"/>
          <w:color w:val="auto"/>
        </w:rPr>
      </w:pPr>
      <w:r>
        <w:rPr>
          <w:rFonts w:ascii="Arial" w:cs="Arial" w:eastAsia="Arial" w:hAnsi="Arial"/>
          <w:sz w:val="12"/>
          <w:szCs w:val="12"/>
          <w:color w:val="auto"/>
        </w:rPr>
        <w:t>Description</w:t>
      </w:r>
    </w:p>
    <w:p>
      <w:pPr>
        <w:spacing w:after="0" w:line="121" w:lineRule="exact"/>
        <w:rPr>
          <w:sz w:val="20"/>
          <w:szCs w:val="20"/>
          <w:color w:val="auto"/>
        </w:rPr>
      </w:pPr>
    </w:p>
    <w:p>
      <w:pPr>
        <w:sectPr>
          <w:pgSz w:w="11900" w:h="16838" w:orient="portrait"/>
          <w:cols w:equalWidth="0" w:num="2">
            <w:col w:w="700" w:space="720"/>
            <w:col w:w="8799"/>
          </w:cols>
          <w:pgMar w:left="240" w:top="274"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May 23, 2013</w:t>
      </w:r>
    </w:p>
    <w:p>
      <w:pPr>
        <w:spacing w:after="0" w:line="192" w:lineRule="exact"/>
        <w:rPr>
          <w:sz w:val="20"/>
          <w:szCs w:val="20"/>
          <w:color w:val="auto"/>
        </w:rPr>
      </w:pPr>
    </w:p>
    <w:p>
      <w:pPr>
        <w:sectPr>
          <w:pgSz w:w="11900" w:h="16838" w:orient="portrait"/>
          <w:cols w:equalWidth="0" w:num="2">
            <w:col w:w="700" w:space="720"/>
            <w:col w:w="8799"/>
          </w:cols>
          <w:pgMar w:left="240" w:top="274" w:right="1440" w:bottom="1440" w:gutter="0" w:footer="0" w:header="0"/>
          <w:type w:val="continuous"/>
        </w:sectPr>
      </w:pPr>
    </w:p>
    <w:p>
      <w:pPr>
        <w:ind w:left="5680"/>
        <w:spacing w:after="0"/>
        <w:rPr>
          <w:sz w:val="20"/>
          <w:szCs w:val="20"/>
          <w:color w:val="auto"/>
        </w:rPr>
      </w:pPr>
      <w:r>
        <w:rPr>
          <w:rFonts w:ascii="Arial" w:cs="Arial" w:eastAsia="Arial" w:hAnsi="Arial"/>
          <w:sz w:val="14"/>
          <w:szCs w:val="14"/>
          <w:color w:val="auto"/>
        </w:rPr>
        <w:t>5</w:t>
      </w:r>
    </w:p>
    <w:p>
      <w:pPr>
        <w:sectPr>
          <w:pgSz w:w="11900" w:h="16838" w:orient="portrait"/>
          <w:cols w:equalWidth="0" w:num="1">
            <w:col w:w="10219"/>
          </w:cols>
          <w:pgMar w:left="240" w:top="274" w:right="1440" w:bottom="1440" w:gutter="0" w:footer="0" w:header="0"/>
          <w:type w:val="continuous"/>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5871210</wp:posOffset>
            </wp:positionH>
            <wp:positionV relativeFrom="paragraph">
              <wp:posOffset>143510</wp:posOffset>
            </wp:positionV>
            <wp:extent cx="1380490" cy="12890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380490" cy="128905"/>
                    </a:xfrm>
                    <a:prstGeom prst="rect">
                      <a:avLst/>
                    </a:prstGeom>
                    <a:noFill/>
                  </pic:spPr>
                </pic:pic>
              </a:graphicData>
            </a:graphic>
          </wp:anchor>
        </w:drawing>
      </w:r>
    </w:p>
    <w:p>
      <w:pPr>
        <w:spacing w:after="0" w:line="200" w:lineRule="exact"/>
        <w:rPr>
          <w:sz w:val="20"/>
          <w:szCs w:val="20"/>
          <w:color w:val="auto"/>
        </w:rPr>
      </w:pPr>
    </w:p>
    <w:p>
      <w:pPr>
        <w:spacing w:after="0" w:line="397"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2720" w:type="dxa"/>
            <w:vAlign w:val="bottom"/>
            <w:gridSpan w:val="2"/>
          </w:tcPr>
          <w:p>
            <w:pPr>
              <w:spacing w:after="0"/>
              <w:rPr>
                <w:sz w:val="20"/>
                <w:szCs w:val="20"/>
                <w:color w:val="auto"/>
              </w:rPr>
            </w:pPr>
            <w:r>
              <w:rPr>
                <w:rFonts w:ascii="Arial" w:cs="Arial" w:eastAsia="Arial" w:hAnsi="Arial"/>
                <w:sz w:val="18"/>
                <w:szCs w:val="18"/>
                <w:b w:val="1"/>
                <w:bCs w:val="1"/>
                <w:color w:val="auto"/>
                <w:w w:val="97"/>
              </w:rPr>
              <w:t>For further information, contact:</w:t>
            </w:r>
          </w:p>
        </w:tc>
        <w:tc>
          <w:tcPr>
            <w:tcW w:w="5180" w:type="dxa"/>
            <w:vAlign w:val="bottom"/>
          </w:tcPr>
          <w:p>
            <w:pPr>
              <w:spacing w:after="0"/>
              <w:rPr>
                <w:sz w:val="19"/>
                <w:szCs w:val="19"/>
                <w:color w:val="auto"/>
              </w:rPr>
            </w:pPr>
          </w:p>
        </w:tc>
        <w:tc>
          <w:tcPr>
            <w:tcW w:w="1300" w:type="dxa"/>
            <w:vAlign w:val="bottom"/>
          </w:tcPr>
          <w:p>
            <w:pPr>
              <w:spacing w:after="0"/>
              <w:rPr>
                <w:sz w:val="19"/>
                <w:szCs w:val="19"/>
                <w:color w:val="auto"/>
              </w:rPr>
            </w:pPr>
          </w:p>
        </w:tc>
      </w:tr>
      <w:tr>
        <w:trPr>
          <w:trHeight w:val="216"/>
        </w:trPr>
        <w:tc>
          <w:tcPr>
            <w:tcW w:w="272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6480" w:type="dxa"/>
            <w:vAlign w:val="bottom"/>
            <w:gridSpan w:val="2"/>
          </w:tcPr>
          <w:p>
            <w:pPr>
              <w:ind w:left="5180"/>
              <w:spacing w:after="0"/>
              <w:rPr>
                <w:sz w:val="20"/>
                <w:szCs w:val="20"/>
                <w:color w:val="auto"/>
              </w:rPr>
            </w:pPr>
            <w:r>
              <w:rPr>
                <w:rFonts w:ascii="Arial" w:cs="Arial" w:eastAsia="Arial" w:hAnsi="Arial"/>
                <w:sz w:val="18"/>
                <w:szCs w:val="18"/>
                <w:color w:val="auto"/>
              </w:rPr>
              <w:t>Daniel Yoo</w:t>
            </w:r>
          </w:p>
        </w:tc>
      </w:tr>
      <w:tr>
        <w:trPr>
          <w:trHeight w:val="216"/>
        </w:trPr>
        <w:tc>
          <w:tcPr>
            <w:tcW w:w="272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6480" w:type="dxa"/>
            <w:vAlign w:val="bottom"/>
            <w:gridSpan w:val="2"/>
          </w:tcPr>
          <w:p>
            <w:pPr>
              <w:ind w:left="5180"/>
              <w:spacing w:after="0"/>
              <w:rPr>
                <w:sz w:val="20"/>
                <w:szCs w:val="20"/>
                <w:color w:val="auto"/>
              </w:rPr>
            </w:pPr>
            <w:r>
              <w:rPr>
                <w:rFonts w:ascii="Arial" w:cs="Arial" w:eastAsia="Arial" w:hAnsi="Arial"/>
                <w:sz w:val="18"/>
                <w:szCs w:val="18"/>
                <w:color w:val="auto"/>
                <w:w w:val="99"/>
              </w:rPr>
              <w:t>Media Relations</w:t>
            </w:r>
          </w:p>
        </w:tc>
      </w:tr>
      <w:tr>
        <w:trPr>
          <w:trHeight w:val="216"/>
        </w:trPr>
        <w:tc>
          <w:tcPr>
            <w:tcW w:w="1440" w:type="dxa"/>
            <w:vAlign w:val="bottom"/>
          </w:tcPr>
          <w:p>
            <w:pPr>
              <w:spacing w:after="0"/>
              <w:rPr>
                <w:sz w:val="20"/>
                <w:szCs w:val="20"/>
                <w:color w:val="auto"/>
              </w:rPr>
            </w:pPr>
            <w:r>
              <w:rPr>
                <w:rFonts w:ascii="Arial" w:cs="Arial" w:eastAsia="Arial" w:hAnsi="Arial"/>
                <w:sz w:val="18"/>
                <w:szCs w:val="18"/>
                <w:color w:val="auto"/>
              </w:rPr>
              <w:t>408-222-8373</w:t>
            </w:r>
          </w:p>
        </w:tc>
        <w:tc>
          <w:tcPr>
            <w:tcW w:w="1280" w:type="dxa"/>
            <w:vAlign w:val="bottom"/>
          </w:tcPr>
          <w:p>
            <w:pPr>
              <w:spacing w:after="0"/>
              <w:rPr>
                <w:sz w:val="18"/>
                <w:szCs w:val="18"/>
                <w:color w:val="auto"/>
              </w:rPr>
            </w:pPr>
          </w:p>
        </w:tc>
        <w:tc>
          <w:tcPr>
            <w:tcW w:w="6480" w:type="dxa"/>
            <w:vAlign w:val="bottom"/>
            <w:gridSpan w:val="2"/>
          </w:tcPr>
          <w:p>
            <w:pPr>
              <w:ind w:left="5180"/>
              <w:spacing w:after="0"/>
              <w:rPr>
                <w:sz w:val="20"/>
                <w:szCs w:val="20"/>
                <w:color w:val="auto"/>
              </w:rPr>
            </w:pPr>
            <w:r>
              <w:rPr>
                <w:rFonts w:ascii="Arial" w:cs="Arial" w:eastAsia="Arial" w:hAnsi="Arial"/>
                <w:sz w:val="18"/>
                <w:szCs w:val="18"/>
                <w:color w:val="auto"/>
              </w:rPr>
              <w:t>408-222-2187</w:t>
            </w:r>
          </w:p>
        </w:tc>
      </w:tr>
      <w:tr>
        <w:trPr>
          <w:trHeight w:val="184"/>
        </w:trPr>
        <w:tc>
          <w:tcPr>
            <w:tcW w:w="1440" w:type="dxa"/>
            <w:vAlign w:val="bottom"/>
          </w:tcPr>
          <w:p>
            <w:pPr>
              <w:spacing w:after="0" w:line="184" w:lineRule="exact"/>
              <w:rPr>
                <w:sz w:val="20"/>
                <w:szCs w:val="20"/>
                <w:color w:val="auto"/>
              </w:rPr>
            </w:pPr>
            <w:r>
              <w:rPr>
                <w:rFonts w:ascii="Arial" w:cs="Arial" w:eastAsia="Arial" w:hAnsi="Arial"/>
                <w:sz w:val="18"/>
                <w:szCs w:val="18"/>
                <w:color w:val="auto"/>
                <w:w w:val="90"/>
              </w:rPr>
              <w:t>sukhi@marvell.com</w:t>
            </w:r>
          </w:p>
        </w:tc>
        <w:tc>
          <w:tcPr>
            <w:tcW w:w="1280" w:type="dxa"/>
            <w:vAlign w:val="bottom"/>
          </w:tcPr>
          <w:p>
            <w:pPr>
              <w:spacing w:after="0"/>
              <w:rPr>
                <w:sz w:val="15"/>
                <w:szCs w:val="15"/>
                <w:color w:val="auto"/>
              </w:rPr>
            </w:pPr>
          </w:p>
        </w:tc>
        <w:tc>
          <w:tcPr>
            <w:tcW w:w="6480" w:type="dxa"/>
            <w:vAlign w:val="bottom"/>
            <w:gridSpan w:val="2"/>
          </w:tcPr>
          <w:p>
            <w:pPr>
              <w:ind w:left="5180"/>
              <w:spacing w:after="0" w:line="184" w:lineRule="exact"/>
              <w:rPr>
                <w:sz w:val="20"/>
                <w:szCs w:val="20"/>
                <w:color w:val="auto"/>
              </w:rPr>
            </w:pPr>
            <w:r>
              <w:rPr>
                <w:rFonts w:ascii="Arial" w:cs="Arial" w:eastAsia="Arial" w:hAnsi="Arial"/>
                <w:sz w:val="18"/>
                <w:szCs w:val="18"/>
                <w:color w:val="auto"/>
                <w:w w:val="88"/>
              </w:rPr>
              <w:t>yoo@marvell.com</w:t>
            </w:r>
          </w:p>
        </w:tc>
      </w:tr>
      <w:tr>
        <w:trPr>
          <w:trHeight w:val="20"/>
        </w:trPr>
        <w:tc>
          <w:tcPr>
            <w:tcW w:w="1440" w:type="dxa"/>
            <w:vAlign w:val="bottom"/>
            <w:shd w:val="clear" w:color="auto" w:fill="000000"/>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518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r>
      <w:tr>
        <w:trPr>
          <w:trHeight w:val="384"/>
        </w:trPr>
        <w:tc>
          <w:tcPr>
            <w:tcW w:w="14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6480" w:type="dxa"/>
            <w:vAlign w:val="bottom"/>
            <w:gridSpan w:val="2"/>
          </w:tcPr>
          <w:p>
            <w:pPr>
              <w:ind w:left="220"/>
              <w:spacing w:after="0"/>
              <w:rPr>
                <w:sz w:val="20"/>
                <w:szCs w:val="20"/>
                <w:color w:val="auto"/>
              </w:rPr>
            </w:pPr>
            <w:r>
              <w:rPr>
                <w:rFonts w:ascii="Arial" w:cs="Arial" w:eastAsia="Arial" w:hAnsi="Arial"/>
                <w:sz w:val="18"/>
                <w:szCs w:val="18"/>
                <w:b w:val="1"/>
                <w:bCs w:val="1"/>
                <w:color w:val="auto"/>
              </w:rPr>
              <w:t>Marvell Technology Group Ltd. Reports First Quarter of Fiscal Year 2014</w:t>
            </w:r>
          </w:p>
        </w:tc>
      </w:tr>
      <w:tr>
        <w:trPr>
          <w:trHeight w:val="228"/>
        </w:trPr>
        <w:tc>
          <w:tcPr>
            <w:tcW w:w="144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6480" w:type="dxa"/>
            <w:vAlign w:val="bottom"/>
            <w:gridSpan w:val="2"/>
          </w:tcPr>
          <w:p>
            <w:pPr>
              <w:ind w:left="2340"/>
              <w:spacing w:after="0"/>
              <w:rPr>
                <w:sz w:val="20"/>
                <w:szCs w:val="20"/>
                <w:color w:val="auto"/>
              </w:rPr>
            </w:pPr>
            <w:r>
              <w:rPr>
                <w:rFonts w:ascii="Arial" w:cs="Arial" w:eastAsia="Arial" w:hAnsi="Arial"/>
                <w:sz w:val="18"/>
                <w:szCs w:val="18"/>
                <w:b w:val="1"/>
                <w:bCs w:val="1"/>
                <w:color w:val="auto"/>
              </w:rPr>
              <w:t>Financial Results</w:t>
            </w:r>
          </w:p>
        </w:tc>
      </w:tr>
    </w:tbl>
    <w:p>
      <w:pPr>
        <w:spacing w:after="0" w:line="150" w:lineRule="exact"/>
        <w:rPr>
          <w:sz w:val="20"/>
          <w:szCs w:val="20"/>
          <w:color w:val="auto"/>
        </w:rPr>
      </w:pPr>
    </w:p>
    <w:p>
      <w:pPr>
        <w:ind w:right="520"/>
        <w:spacing w:after="0" w:line="275" w:lineRule="auto"/>
        <w:rPr>
          <w:sz w:val="20"/>
          <w:szCs w:val="20"/>
          <w:color w:val="auto"/>
        </w:rPr>
      </w:pPr>
      <w:r>
        <w:rPr>
          <w:rFonts w:ascii="Arial" w:cs="Arial" w:eastAsia="Arial" w:hAnsi="Arial"/>
          <w:sz w:val="18"/>
          <w:szCs w:val="18"/>
          <w:b w:val="1"/>
          <w:bCs w:val="1"/>
          <w:color w:val="auto"/>
        </w:rPr>
        <w:t xml:space="preserve">Santa Clara, Calif. (May 23, 2013)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first quarter of fiscal year 2014, ended May 4, 2013.</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1Q FY2014 Financial Highlights</w:t>
      </w:r>
    </w:p>
    <w:p>
      <w:pPr>
        <w:spacing w:after="0" w:line="96"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Revenue: $734 Million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Net Income: $53 Million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EPS: $0.11</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Net Income: $98 Million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EPS: $0.19</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Free Cash Flow: $53 Million</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2Q FY2014 Financial Outlook</w:t>
      </w:r>
    </w:p>
    <w:p>
      <w:pPr>
        <w:spacing w:after="0" w:line="96"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color w:val="auto"/>
        </w:rPr>
        <w:t>Marvell’s financial outlook does not include the potential impact of future share repurchases, pending litigation matters, business combinations, asset acquisitions or other investments that may be completed after May 4, 2013.</w:t>
      </w:r>
    </w:p>
    <w:p>
      <w:pPr>
        <w:spacing w:after="0" w:line="51" w:lineRule="exact"/>
        <w:rPr>
          <w:sz w:val="20"/>
          <w:szCs w:val="20"/>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Revenue is expected to be in the range of $770 to $810 Million.</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Gross Margin is expected to be in the range of 52.2% +/- 100 bps. Non-GAAP Gross Margin is expected to be in the range of 52.5% +/- 100 bps.</w:t>
      </w:r>
    </w:p>
    <w:p>
      <w:pPr>
        <w:spacing w:after="0" w:line="50" w:lineRule="exact"/>
        <w:rPr>
          <w:rFonts w:ascii="Arial" w:cs="Arial" w:eastAsia="Arial" w:hAnsi="Arial"/>
          <w:sz w:val="18"/>
          <w:szCs w:val="18"/>
          <w:color w:val="auto"/>
        </w:rPr>
      </w:pPr>
    </w:p>
    <w:p>
      <w:pPr>
        <w:ind w:left="900" w:right="28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Operating Expenses are expected to be in the range of $370 Million +/- $10 Million. Non-GAAP Operating Expenses to be in the range of $315 Million +/- $10 Million.</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EPS expected to be in the range of $0.09 +/- $0.02. Non-GAAP EPS expected to be in the range of $0.19 +/- $0.02.</w:t>
      </w:r>
    </w:p>
    <w:p>
      <w:pPr>
        <w:sectPr>
          <w:pgSz w:w="11900" w:h="16838" w:orient="portrait"/>
          <w:cols w:equalWidth="0" w:num="1">
            <w:col w:w="11420"/>
          </w:cols>
          <w:pgMar w:left="240" w:top="125" w:right="2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1Q FY2014 Summary</w:t>
      </w:r>
    </w:p>
    <w:p>
      <w:pPr>
        <w:spacing w:after="0" w:line="96" w:lineRule="exact"/>
        <w:rPr>
          <w:sz w:val="20"/>
          <w:szCs w:val="20"/>
          <w:color w:val="auto"/>
        </w:rPr>
      </w:pPr>
    </w:p>
    <w:p>
      <w:pPr>
        <w:ind w:right="540"/>
        <w:spacing w:after="0" w:line="332" w:lineRule="auto"/>
        <w:rPr>
          <w:sz w:val="20"/>
          <w:szCs w:val="20"/>
          <w:color w:val="auto"/>
        </w:rPr>
      </w:pPr>
      <w:r>
        <w:rPr>
          <w:rFonts w:ascii="Arial" w:cs="Arial" w:eastAsia="Arial" w:hAnsi="Arial"/>
          <w:sz w:val="16"/>
          <w:szCs w:val="16"/>
          <w:color w:val="auto"/>
        </w:rPr>
        <w:t>Revenue for the first quarter of fiscal 2014 was $734 million, a 5 percent sequential decrease from $775 million in the fourth quarter of fiscal 2013, ended February 2, 2013, and a 8 percent decrease from revenue of $796 million in the first quarter of fiscal 2013, ended April 28, 2012.</w:t>
      </w:r>
    </w:p>
    <w:p>
      <w:pPr>
        <w:spacing w:after="0" w:line="85" w:lineRule="exact"/>
        <w:rPr>
          <w:sz w:val="20"/>
          <w:szCs w:val="20"/>
          <w:color w:val="auto"/>
        </w:rPr>
      </w:pPr>
    </w:p>
    <w:p>
      <w:pPr>
        <w:ind w:right="60"/>
        <w:spacing w:after="0" w:line="332" w:lineRule="auto"/>
        <w:rPr>
          <w:sz w:val="20"/>
          <w:szCs w:val="20"/>
          <w:color w:val="auto"/>
        </w:rPr>
      </w:pPr>
      <w:r>
        <w:rPr>
          <w:rFonts w:ascii="Arial" w:cs="Arial" w:eastAsia="Arial" w:hAnsi="Arial"/>
          <w:sz w:val="16"/>
          <w:szCs w:val="16"/>
          <w:color w:val="auto"/>
        </w:rPr>
        <w:t>GAAP net income for the first quarter of fiscal 2014 was $53 million, or $0.11 per share (diluted), compared with GAAP net income of $50 million, or $0.09 per share (diluted), for the fourth quarter of fiscal 2013, and $95 million, or $0.16 per share (diluted), for the first quarter of fiscal 2013.</w:t>
      </w:r>
    </w:p>
    <w:p>
      <w:pPr>
        <w:spacing w:after="0" w:line="85" w:lineRule="exact"/>
        <w:rPr>
          <w:sz w:val="20"/>
          <w:szCs w:val="20"/>
          <w:color w:val="auto"/>
        </w:rPr>
      </w:pPr>
    </w:p>
    <w:p>
      <w:pPr>
        <w:ind w:right="120"/>
        <w:spacing w:after="0" w:line="332" w:lineRule="auto"/>
        <w:rPr>
          <w:sz w:val="20"/>
          <w:szCs w:val="20"/>
          <w:color w:val="auto"/>
        </w:rPr>
      </w:pPr>
      <w:r>
        <w:rPr>
          <w:rFonts w:ascii="Arial" w:cs="Arial" w:eastAsia="Arial" w:hAnsi="Arial"/>
          <w:sz w:val="16"/>
          <w:szCs w:val="16"/>
          <w:color w:val="auto"/>
        </w:rPr>
        <w:t>Non-GAAP net income was $98 million, or $0.19 per share (diluted), for the first quarter of fiscal 2014, compared with non-GAAP net income of $104 million, or $0.19 per share (diluted), for the fourth quarter of fiscal 2013, and $139 million, or $0.23 per share (diluted), for the first quarter of fiscal 2013.</w:t>
      </w:r>
    </w:p>
    <w:p>
      <w:pPr>
        <w:spacing w:after="0" w:line="85" w:lineRule="exact"/>
        <w:rPr>
          <w:sz w:val="20"/>
          <w:szCs w:val="20"/>
          <w:color w:val="auto"/>
        </w:rPr>
      </w:pPr>
    </w:p>
    <w:p>
      <w:pPr>
        <w:ind w:right="360"/>
        <w:spacing w:after="0" w:line="256" w:lineRule="auto"/>
        <w:rPr>
          <w:sz w:val="20"/>
          <w:szCs w:val="20"/>
          <w:color w:val="auto"/>
        </w:rPr>
      </w:pPr>
      <w:r>
        <w:rPr>
          <w:rFonts w:ascii="Arial" w:cs="Arial" w:eastAsia="Arial" w:hAnsi="Arial"/>
          <w:sz w:val="18"/>
          <w:szCs w:val="18"/>
          <w:color w:val="auto"/>
        </w:rPr>
        <w:t>“Our results in the first quarter were at the high-end of our guidance mainly due to better than normal seasonal demand and share gains in our storage and networking end markets,” said Dr. Sehat Sutardja, Marvell’s Chairman and Chief Executive Officer. “Starting in the second quarter of fiscal 2014, we expect many of our investments and key initiatives across all of our end markets to produce tangible results. More specifically, we expect growth to be driven by increased traction in areas such as mobile handsets, tablets, connectivity and SSDs.”</w:t>
      </w:r>
    </w:p>
    <w:p>
      <w:pPr>
        <w:spacing w:after="0" w:line="143"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Marvell reports net income, basic and diluted net income per share, in accordance with U.S. generally accepted accounting principles (GAAP) and on a non-GAAP basis as outlined below. Reconciliations of GAAP net income to non-GAAP net income for the three months ended May 4, 2013, February 2, 2013, and April 28, 2012 appear in the financial statements below. Non-GAAP net income, where applicable, excludes the effect of stock-based compensation, amortization of acquired intangible assets, acquisition-related costs, restructuring costs, and certain one-time expenses and benefits.</w:t>
      </w:r>
    </w:p>
    <w:p>
      <w:pPr>
        <w:spacing w:after="0" w:line="113"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color w:val="auto"/>
        </w:rPr>
        <w:t>GAAP gross margin for the first quarter of fiscal 2014 was 54.3 percent, compared to 52.2 percent for the fourth quarter of fiscal 2013 and 54.0 percent for the first quarter of fiscal 2013.</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4" w:right="279" w:bottom="1440" w:gutter="0" w:footer="0" w:header="0"/>
        </w:sectPr>
      </w:pPr>
    </w:p>
    <w:bookmarkStart w:id="7" w:name="page8"/>
    <w:bookmarkEnd w:id="7"/>
    <w:p>
      <w:pPr>
        <w:ind w:right="120"/>
        <w:spacing w:after="0" w:line="268"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Non-GAAP gross margin for the first quarter of fiscal 2014 was 54.6 percent, compared to 53.2 percent for the fourth quarter of fiscal 2013 and 54.5 percent for the first quarter of fiscal 2013.</w:t>
      </w:r>
    </w:p>
    <w:p>
      <w:pPr>
        <w:spacing w:after="0" w:line="132"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Shares used to compute GAAP net income per diluted share for the first quarter of fiscal 2014 were 505 million shares, compared with 528 million shares in the fourth quarter of fiscal 2013 and 595 million shares in the first quarter of fiscal 2013. Shares used to compute non-GAAP net income per diluted share for the first quarter of fiscal 2014 were 522 million shares, compared with 544 million shares for the fourth quarter of fiscal 2013 and 606 million shares for the first quarter of fiscal 2013. The decrease in shares used to compute both Marvell’s GAAP and non-GAAP net income per diluted share was primarily due to Marvell’s share repurchase program.</w:t>
      </w:r>
    </w:p>
    <w:p>
      <w:pPr>
        <w:spacing w:after="0" w:line="143"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Cash flow from operations for the first quarter of fiscal 2014 was $84 million, compared to the $205 million reported in the fourth quarter of fiscal 2013 and the $199 million reported in the first quarter of fiscal 2013. Free cash flow for the first quarter of fiscal 2014 was $53 million, compared to the $161 million reported in the fourth quarter of fiscal 2013 and the $178 million reported in the first quarter of fiscal 2013. Free cash flow as presented above is defined as cash flow from operations, less capital expenditures and purchases of technology licenses reported under investing and financing activities in the consolidated statement of cash flows.</w:t>
      </w:r>
    </w:p>
    <w:p>
      <w:pPr>
        <w:spacing w:after="0" w:line="143" w:lineRule="exact"/>
        <w:rPr>
          <w:sz w:val="20"/>
          <w:szCs w:val="20"/>
          <w:color w:val="auto"/>
        </w:rPr>
      </w:pPr>
    </w:p>
    <w:p>
      <w:pPr>
        <w:jc w:val="both"/>
        <w:ind w:right="120"/>
        <w:spacing w:after="0" w:line="332" w:lineRule="auto"/>
        <w:rPr>
          <w:sz w:val="20"/>
          <w:szCs w:val="20"/>
          <w:color w:val="auto"/>
        </w:rPr>
      </w:pPr>
      <w:r>
        <w:rPr>
          <w:rFonts w:ascii="Arial" w:cs="Arial" w:eastAsia="Arial" w:hAnsi="Arial"/>
          <w:sz w:val="16"/>
          <w:szCs w:val="16"/>
          <w:color w:val="auto"/>
        </w:rPr>
        <w:t>Under the share repurchase program, Marvell repurchased approximately 20 million shares for a total of $200 million in the first quarter of fiscal 2014. Over the past eleven quarters, Marvell has repurchased and retired approximately 204 million shares, or about 29 percent, of its outstanding shares.</w:t>
      </w:r>
    </w:p>
    <w:p>
      <w:pPr>
        <w:spacing w:after="0" w:line="85"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color w:val="auto"/>
        </w:rPr>
        <w:t>Marvell also paid a quarterly dividend of $0.06 per share on April 4, 2013 to all shareholders of record as of March 14, 2013. Marvell intends to pay its next quarterly dividend of $0.06 per share on July 3, 2013 to all shareholders of record as of June 13, 2013.</w:t>
      </w:r>
    </w:p>
    <w:p>
      <w:pPr>
        <w:spacing w:after="0" w:line="132" w:lineRule="exact"/>
        <w:rPr>
          <w:sz w:val="20"/>
          <w:szCs w:val="20"/>
          <w:color w:val="auto"/>
        </w:rPr>
      </w:pPr>
    </w:p>
    <w:p>
      <w:pPr>
        <w:jc w:val="both"/>
        <w:ind w:right="120"/>
        <w:spacing w:after="0" w:line="259" w:lineRule="auto"/>
        <w:rPr>
          <w:sz w:val="20"/>
          <w:szCs w:val="20"/>
          <w:color w:val="auto"/>
        </w:rPr>
      </w:pPr>
      <w:r>
        <w:rPr>
          <w:rFonts w:ascii="Arial" w:cs="Arial" w:eastAsia="Arial" w:hAnsi="Arial"/>
          <w:sz w:val="18"/>
          <w:szCs w:val="18"/>
          <w:color w:val="auto"/>
        </w:rPr>
        <w:t>The payment of future quarterly cash dividends on Marvell’s common shares is subject to, among other things, the best interests of its shareholders, its results of operations, cash balances and future cash requirements, financial condition, statutory requirements of Bermuda law, and other factors that the board of directors may deem relevant.</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80" w:right="25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Conference Call</w:t>
      </w:r>
    </w:p>
    <w:p>
      <w:pPr>
        <w:spacing w:after="0" w:line="96" w:lineRule="exact"/>
        <w:rPr>
          <w:sz w:val="20"/>
          <w:szCs w:val="20"/>
          <w:color w:val="auto"/>
        </w:rPr>
      </w:pPr>
    </w:p>
    <w:p>
      <w:pPr>
        <w:ind w:right="20"/>
        <w:spacing w:after="0" w:line="306" w:lineRule="auto"/>
        <w:rPr>
          <w:sz w:val="20"/>
          <w:szCs w:val="20"/>
          <w:color w:val="auto"/>
        </w:rPr>
      </w:pPr>
      <w:r>
        <w:rPr>
          <w:rFonts w:ascii="Arial" w:cs="Arial" w:eastAsia="Arial" w:hAnsi="Arial"/>
          <w:sz w:val="16"/>
          <w:szCs w:val="16"/>
          <w:color w:val="auto"/>
        </w:rPr>
        <w:t xml:space="preserve">Marvell will be conducting a conference call on Thursday, May 23, 2013 at 1:45 p.m. Pacific Time to discuss results for the first quarter of fiscal 2014. Interested parties may join the conference call by dialing </w:t>
      </w:r>
      <w:r>
        <w:rPr>
          <w:rFonts w:ascii="Arial" w:cs="Arial" w:eastAsia="Arial" w:hAnsi="Arial"/>
          <w:sz w:val="16"/>
          <w:szCs w:val="16"/>
          <w:b w:val="1"/>
          <w:bCs w:val="1"/>
          <w:color w:val="auto"/>
        </w:rPr>
        <w:t>1-866-318-8611</w:t>
      </w:r>
      <w:r>
        <w:rPr>
          <w:rFonts w:ascii="Arial" w:cs="Arial" w:eastAsia="Arial" w:hAnsi="Arial"/>
          <w:sz w:val="16"/>
          <w:szCs w:val="16"/>
          <w:color w:val="auto"/>
        </w:rPr>
        <w:t xml:space="preserve"> or </w:t>
      </w:r>
      <w:r>
        <w:rPr>
          <w:rFonts w:ascii="Arial" w:cs="Arial" w:eastAsia="Arial" w:hAnsi="Arial"/>
          <w:sz w:val="16"/>
          <w:szCs w:val="16"/>
          <w:b w:val="1"/>
          <w:bCs w:val="1"/>
          <w:color w:val="auto"/>
        </w:rPr>
        <w:t>1-617-399-5130</w:t>
      </w:r>
      <w:r>
        <w:rPr>
          <w:rFonts w:ascii="Arial" w:cs="Arial" w:eastAsia="Arial" w:hAnsi="Arial"/>
          <w:sz w:val="16"/>
          <w:szCs w:val="16"/>
          <w:color w:val="auto"/>
        </w:rPr>
        <w:t xml:space="preserve">, pass-code </w:t>
      </w:r>
      <w:r>
        <w:rPr>
          <w:rFonts w:ascii="Arial" w:cs="Arial" w:eastAsia="Arial" w:hAnsi="Arial"/>
          <w:sz w:val="16"/>
          <w:szCs w:val="16"/>
          <w:b w:val="1"/>
          <w:bCs w:val="1"/>
          <w:color w:val="auto"/>
        </w:rPr>
        <w:t>64582267</w:t>
      </w:r>
      <w:r>
        <w:rPr>
          <w:rFonts w:ascii="Arial" w:cs="Arial" w:eastAsia="Arial" w:hAnsi="Arial"/>
          <w:sz w:val="16"/>
          <w:szCs w:val="16"/>
          <w:color w:val="auto"/>
        </w:rPr>
        <w:t>. The call will be webcast by Thomson Reuters and can be accessed at the Marvell Investor Relations website at http://investor.marvell.com/ with a replay available following the call until June 23, 2013.</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Non-GAAP financial measures exclude the effect of stock-based compensation expense, amortization of acquired intangible assets, acquisition-related costs, restructuring costs, and certain one-time expenses and benefits that are driven primarily by discrete events that management does not consider to be directly related to Marvell’s core operating performance. Non-GAAP net income per share is calculated by dividing non-GAAP net income by non-GAAP weighted average shares outstanding (diluted). For purposes of calculating non-GAAP net income per share, the GAAP weighted average shares outstanding (diluted) is adjusted to exclude the potential benefits of stock-based compensation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pacing w:after="0" w:line="118" w:lineRule="exact"/>
        <w:rPr>
          <w:sz w:val="20"/>
          <w:szCs w:val="20"/>
          <w:color w:val="auto"/>
        </w:rPr>
      </w:pPr>
    </w:p>
    <w:p>
      <w:pPr>
        <w:ind w:right="40"/>
        <w:spacing w:after="0" w:line="288"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10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74" w:right="27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96"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Marvell is a global leader in providing complete silicon solutions enabling the digital connected lifestyle. From mobile communications to storage, cloud infrastructure, digital entertainment and in-home content delivery, Marvell’s diverse product portfolio aligns complete platform designs with industry-leading performance, security, reliability and efficiency. At the core of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16"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As used in this release, the term “Marvell” refers to Marvell Technology Group Ltd. and its subsidiaries. For more information please visit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96"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Marvell’s: expectations regarding investments and key initiatives across its end markets producing tangible results starting in the second quarter; expectations regarding increased traction in areas such as mobile handsets, tablets, connectivity and SSDs; statements regarding its dividend program including the declaration of, timing of, funding of and quarterly amount of dividends; statements concerning Marvell’s use of non-GAAP financial measures as important supplemental information; and statements relating to its financial outlook for the second quarter of fiscal 2014. These statements are not guarantees of results and should not be considered as an indication of future activity or future performance. Actual events or results may differ materially from those described in this document due to a number of risks and uncertainties, including, among others, Marvell’s reliance on a few customers for a significant portion of its revenue; costs and liabilities relating to current and future litigation; Marvell’s ability to develop and introduce new and enhanced products in a timely and cost effective manner; uncertainty in the worldwide economic conditions; seasonality in sales of consumer devices in which our products are incorporated; Marvell’s ability to compete in products and prices in an intensely competitive industry; Marvell’s ability to recruit and retain skilled personnel; Marvell’s ability to generate cash flows; and other risks detailed in Marvell’s SEC filings from time to time. When Marvell files its Quarterly Report on Form 10-Q for the quarter ended May 4, 2013, the financial statements may differ from the results disclosed in this press release because judgments and estimates that management used in preparing the financial results reported in this press release may need to be updated to the date of the filing. For other factors that could cause Marvell’s results to vary from expectations, please see the risk factors identified in the Marvell’s latest Annual Report on Form 10-K for the year ended February 2, 2013 as filed with the SEC, and other factors detailed from time to time in Marvell’s filings with the SEC. Marvell undertakes no obligation to revise or update publicly any forward-looking statements.</w:t>
      </w:r>
    </w:p>
    <w:p>
      <w:pPr>
        <w:spacing w:after="0" w:line="12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1"/>
          <w:szCs w:val="11"/>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80"/>
          </w:cols>
          <w:pgMar w:left="240" w:top="274" w:right="27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36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gridSpan w:val="5"/>
          </w:tcPr>
          <w:p>
            <w:pPr>
              <w:jc w:val="right"/>
              <w:ind w:right="60"/>
              <w:spacing w:after="0"/>
              <w:rPr>
                <w:sz w:val="20"/>
                <w:szCs w:val="20"/>
                <w:color w:val="auto"/>
              </w:rPr>
            </w:pPr>
            <w:r>
              <w:rPr>
                <w:rFonts w:ascii="Arial" w:cs="Arial" w:eastAsia="Arial" w:hAnsi="Arial"/>
                <w:sz w:val="14"/>
                <w:szCs w:val="14"/>
                <w:b w:val="1"/>
                <w:bCs w:val="1"/>
                <w:color w:val="auto"/>
                <w:w w:val="90"/>
              </w:rPr>
              <w:t>Three Months Ended</w:t>
            </w: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00" w:type="dxa"/>
            <w:vAlign w:val="bottom"/>
          </w:tcPr>
          <w:p>
            <w:pPr>
              <w:spacing w:after="0"/>
              <w:rPr>
                <w:sz w:val="11"/>
                <w:szCs w:val="11"/>
                <w:color w:val="auto"/>
              </w:rPr>
            </w:pPr>
          </w:p>
        </w:tc>
        <w:tc>
          <w:tcPr>
            <w:tcW w:w="36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60" w:type="dxa"/>
            <w:vAlign w:val="bottom"/>
            <w:gridSpan w:val="2"/>
          </w:tcPr>
          <w:p>
            <w:pPr>
              <w:jc w:val="right"/>
              <w:ind w:right="252"/>
              <w:spacing w:after="0" w:line="129" w:lineRule="exact"/>
              <w:rPr>
                <w:sz w:val="20"/>
                <w:szCs w:val="20"/>
                <w:color w:val="auto"/>
              </w:rPr>
            </w:pPr>
            <w:r>
              <w:rPr>
                <w:rFonts w:ascii="Arial" w:cs="Arial" w:eastAsia="Arial" w:hAnsi="Arial"/>
                <w:sz w:val="14"/>
                <w:szCs w:val="14"/>
                <w:b w:val="1"/>
                <w:bCs w:val="1"/>
                <w:color w:val="auto"/>
                <w:w w:val="98"/>
              </w:rPr>
              <w:t>May 4,</w:t>
            </w:r>
          </w:p>
        </w:tc>
        <w:tc>
          <w:tcPr>
            <w:tcW w:w="140" w:type="dxa"/>
            <w:vAlign w:val="bottom"/>
          </w:tcPr>
          <w:p>
            <w:pPr>
              <w:spacing w:after="0"/>
              <w:rPr>
                <w:sz w:val="11"/>
                <w:szCs w:val="11"/>
                <w:color w:val="auto"/>
              </w:rPr>
            </w:pPr>
          </w:p>
        </w:tc>
        <w:tc>
          <w:tcPr>
            <w:tcW w:w="10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66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rPr>
              <w:t>April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00" w:type="dxa"/>
            <w:vAlign w:val="bottom"/>
            <w:tcBorders>
              <w:bottom w:val="single" w:sz="8" w:color="CCEEFF"/>
            </w:tcBorders>
          </w:tcPr>
          <w:p>
            <w:pPr>
              <w:spacing w:after="0"/>
              <w:rPr>
                <w:sz w:val="14"/>
                <w:szCs w:val="14"/>
                <w:color w:val="auto"/>
              </w:rPr>
            </w:pPr>
          </w:p>
        </w:tc>
        <w:tc>
          <w:tcPr>
            <w:tcW w:w="36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2013</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2013</w:t>
            </w:r>
          </w:p>
        </w:tc>
        <w:tc>
          <w:tcPr>
            <w:tcW w:w="3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36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734,369</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775,294</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796,351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Cost of goods sold</w:t>
            </w:r>
          </w:p>
        </w:tc>
        <w:tc>
          <w:tcPr>
            <w:tcW w:w="36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335,438</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370,833</w:t>
            </w:r>
          </w:p>
        </w:tc>
        <w:tc>
          <w:tcPr>
            <w:tcW w:w="3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366,322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3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w w:val="86"/>
              </w:rPr>
              <w:t>398,931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404,461</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430,029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Operating expenses:</w:t>
            </w:r>
          </w:p>
        </w:tc>
        <w:tc>
          <w:tcPr>
            <w:tcW w:w="3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3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w w:val="86"/>
              </w:rPr>
              <w:t>279,052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273,685</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255,970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3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12"/>
              <w:spacing w:after="0"/>
              <w:rPr>
                <w:sz w:val="20"/>
                <w:szCs w:val="20"/>
                <w:color w:val="auto"/>
              </w:rPr>
            </w:pPr>
            <w:r>
              <w:rPr>
                <w:rFonts w:ascii="Arial" w:cs="Arial" w:eastAsia="Arial" w:hAnsi="Arial"/>
                <w:sz w:val="18"/>
                <w:szCs w:val="18"/>
                <w:color w:val="auto"/>
              </w:rPr>
              <w:t>39,989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42,319</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40,066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3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26,323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32,577</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36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10,686</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12,268</w:t>
            </w:r>
          </w:p>
        </w:tc>
        <w:tc>
          <w:tcPr>
            <w:tcW w:w="3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14,355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36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356,050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360,849</w:t>
            </w:r>
          </w:p>
        </w:tc>
        <w:tc>
          <w:tcPr>
            <w:tcW w:w="3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336,096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02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3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112"/>
              <w:spacing w:after="0"/>
              <w:rPr>
                <w:sz w:val="20"/>
                <w:szCs w:val="20"/>
                <w:color w:val="auto"/>
              </w:rPr>
            </w:pPr>
            <w:r>
              <w:rPr>
                <w:rFonts w:ascii="Arial" w:cs="Arial" w:eastAsia="Arial" w:hAnsi="Arial"/>
                <w:sz w:val="18"/>
                <w:szCs w:val="18"/>
                <w:color w:val="auto"/>
              </w:rPr>
              <w:t>42,881</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43,612</w:t>
            </w:r>
          </w:p>
        </w:tc>
        <w:tc>
          <w:tcPr>
            <w:tcW w:w="3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93,933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36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3,160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6,225</w:t>
            </w:r>
          </w:p>
        </w:tc>
        <w:tc>
          <w:tcPr>
            <w:tcW w:w="3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02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3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112"/>
              <w:spacing w:after="0"/>
              <w:rPr>
                <w:sz w:val="20"/>
                <w:szCs w:val="20"/>
                <w:color w:val="auto"/>
              </w:rPr>
            </w:pPr>
            <w:r>
              <w:rPr>
                <w:rFonts w:ascii="Arial" w:cs="Arial" w:eastAsia="Arial" w:hAnsi="Arial"/>
                <w:sz w:val="18"/>
                <w:szCs w:val="18"/>
                <w:color w:val="auto"/>
              </w:rPr>
              <w:t>46,041</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49,837</w:t>
            </w:r>
          </w:p>
        </w:tc>
        <w:tc>
          <w:tcPr>
            <w:tcW w:w="3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94,990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3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(7,168)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(315)</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Net income</w:t>
            </w:r>
          </w:p>
        </w:tc>
        <w:tc>
          <w:tcPr>
            <w:tcW w:w="36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020" w:type="dxa"/>
            <w:vAlign w:val="bottom"/>
            <w:gridSpan w:val="2"/>
            <w:vMerge w:val="continue"/>
          </w:tcPr>
          <w:p>
            <w:pPr>
              <w:spacing w:after="0"/>
              <w:rPr>
                <w:sz w:val="19"/>
                <w:szCs w:val="19"/>
                <w:color w:val="auto"/>
              </w:rPr>
            </w:pPr>
          </w:p>
        </w:tc>
        <w:tc>
          <w:tcPr>
            <w:tcW w:w="37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112"/>
              <w:spacing w:after="0"/>
              <w:rPr>
                <w:sz w:val="20"/>
                <w:szCs w:val="20"/>
                <w:color w:val="auto"/>
              </w:rPr>
            </w:pPr>
            <w:r>
              <w:rPr>
                <w:rFonts w:ascii="Arial" w:cs="Arial" w:eastAsia="Arial" w:hAnsi="Arial"/>
                <w:sz w:val="18"/>
                <w:szCs w:val="18"/>
                <w:color w:val="auto"/>
              </w:rPr>
              <w:t>53,209</w:t>
            </w:r>
          </w:p>
        </w:tc>
        <w:tc>
          <w:tcPr>
            <w:tcW w:w="240" w:type="dxa"/>
            <w:vAlign w:val="bottom"/>
            <w:gridSpan w:val="2"/>
          </w:tcPr>
          <w:p>
            <w:pPr>
              <w:ind w:left="14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50,152</w:t>
            </w:r>
          </w:p>
        </w:tc>
        <w:tc>
          <w:tcPr>
            <w:tcW w:w="34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94,543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3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3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0.11</w:t>
            </w:r>
          </w:p>
        </w:tc>
        <w:tc>
          <w:tcPr>
            <w:tcW w:w="2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0.10</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3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gridSpan w:val="2"/>
            <w:vMerge w:val="continue"/>
          </w:tcPr>
          <w:p>
            <w:pPr>
              <w:spacing w:after="0"/>
              <w:rPr>
                <w:sz w:val="18"/>
                <w:szCs w:val="18"/>
                <w:color w:val="auto"/>
              </w:rPr>
            </w:pPr>
          </w:p>
        </w:tc>
        <w:tc>
          <w:tcPr>
            <w:tcW w:w="37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112"/>
              <w:spacing w:after="0"/>
              <w:rPr>
                <w:sz w:val="20"/>
                <w:szCs w:val="20"/>
                <w:color w:val="auto"/>
              </w:rPr>
            </w:pPr>
            <w:r>
              <w:rPr>
                <w:rFonts w:ascii="Arial" w:cs="Arial" w:eastAsia="Arial" w:hAnsi="Arial"/>
                <w:sz w:val="18"/>
                <w:szCs w:val="18"/>
                <w:color w:val="auto"/>
              </w:rPr>
              <w:t>0.11</w:t>
            </w:r>
          </w:p>
        </w:tc>
        <w:tc>
          <w:tcPr>
            <w:tcW w:w="240" w:type="dxa"/>
            <w:vAlign w:val="bottom"/>
            <w:gridSpan w:val="2"/>
          </w:tcPr>
          <w:p>
            <w:pPr>
              <w:ind w:left="14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0.09</w:t>
            </w:r>
          </w:p>
        </w:tc>
        <w:tc>
          <w:tcPr>
            <w:tcW w:w="34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3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3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w w:val="86"/>
              </w:rPr>
              <w:t>502,180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525,804</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580,024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3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112"/>
              <w:spacing w:after="0"/>
              <w:rPr>
                <w:sz w:val="20"/>
                <w:szCs w:val="20"/>
                <w:color w:val="auto"/>
              </w:rPr>
            </w:pPr>
            <w:r>
              <w:rPr>
                <w:rFonts w:ascii="Arial" w:cs="Arial" w:eastAsia="Arial" w:hAnsi="Arial"/>
                <w:sz w:val="18"/>
                <w:szCs w:val="18"/>
                <w:color w:val="auto"/>
                <w:w w:val="86"/>
              </w:rPr>
              <w:t>505,387</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528,082</w:t>
            </w:r>
          </w:p>
        </w:tc>
        <w:tc>
          <w:tcPr>
            <w:tcW w:w="3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594,739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20" w:type="dxa"/>
            <w:vAlign w:val="bottom"/>
          </w:tcPr>
          <w:p>
            <w:pPr>
              <w:spacing w:after="0"/>
              <w:rPr>
                <w:sz w:val="24"/>
                <w:szCs w:val="24"/>
                <w:color w:val="auto"/>
              </w:rPr>
            </w:pPr>
          </w:p>
        </w:tc>
        <w:tc>
          <w:tcPr>
            <w:tcW w:w="5000" w:type="dxa"/>
            <w:vAlign w:val="bottom"/>
          </w:tcPr>
          <w:p>
            <w:pPr>
              <w:spacing w:after="0"/>
              <w:rPr>
                <w:sz w:val="24"/>
                <w:szCs w:val="24"/>
                <w:color w:val="auto"/>
              </w:rPr>
            </w:pPr>
          </w:p>
        </w:tc>
        <w:tc>
          <w:tcPr>
            <w:tcW w:w="3620" w:type="dxa"/>
            <w:vAlign w:val="bottom"/>
          </w:tcPr>
          <w:p>
            <w:pPr>
              <w:jc w:val="right"/>
              <w:ind w:right="2792"/>
              <w:spacing w:after="0"/>
              <w:rPr>
                <w:sz w:val="20"/>
                <w:szCs w:val="20"/>
                <w:color w:val="auto"/>
              </w:rPr>
            </w:pPr>
            <w:r>
              <w:rPr>
                <w:rFonts w:ascii="Arial" w:cs="Arial" w:eastAsia="Arial" w:hAnsi="Arial"/>
                <w:sz w:val="18"/>
                <w:szCs w:val="18"/>
                <w:color w:val="auto"/>
              </w:rPr>
              <w:t>6</w:t>
            </w: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ind w:left="100"/>
              <w:spacing w:after="0"/>
              <w:rPr>
                <w:sz w:val="20"/>
                <w:szCs w:val="20"/>
                <w:color w:val="auto"/>
              </w:rPr>
            </w:pPr>
            <w:r>
              <w:rPr>
                <w:rFonts w:ascii="Arial" w:cs="Arial" w:eastAsia="Arial" w:hAnsi="Arial"/>
                <w:sz w:val="14"/>
                <w:szCs w:val="14"/>
                <w:b w:val="1"/>
                <w:bCs w:val="1"/>
                <w:color w:val="auto"/>
              </w:rPr>
              <w:t>May 4,</w:t>
            </w:r>
          </w:p>
        </w:tc>
        <w:tc>
          <w:tcPr>
            <w:tcW w:w="14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40" w:type="dxa"/>
            <w:vAlign w:val="bottom"/>
            <w:tcBorders>
              <w:bottom w:val="single" w:sz="8" w:color="CCEEFF"/>
            </w:tcBorders>
          </w:tcPr>
          <w:p>
            <w:pPr>
              <w:spacing w:after="0"/>
              <w:rPr>
                <w:sz w:val="14"/>
                <w:szCs w:val="14"/>
                <w:color w:val="auto"/>
              </w:rPr>
            </w:pPr>
          </w:p>
        </w:tc>
        <w:tc>
          <w:tcPr>
            <w:tcW w:w="45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2013</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8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45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assets: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4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1,732,643</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1,918,990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370,350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330,238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270,652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250,420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45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79,269</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85,698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2,452,914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2,585,346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384,612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387,027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16,550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2,114,893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2,121,793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152,198</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150,829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466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5,121,167</w:t>
            </w:r>
          </w:p>
        </w:tc>
        <w:tc>
          <w:tcPr>
            <w:tcW w:w="2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5,261,764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liabilities: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4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307,393</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286,552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Accrued expenses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246,432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261,186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59,270</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60,150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45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613,095</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607,888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155,631</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169,281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liabilities</w:t>
            </w:r>
          </w:p>
        </w:tc>
        <w:tc>
          <w:tcPr>
            <w:tcW w:w="45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768,726</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777,169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5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Common stock</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988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Additional paid-in capital</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2,789,534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2,945,643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Accumulated other comprehensive income</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2,176</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Retained earnings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1,559,743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1,536,787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shareholders’ equity</w:t>
            </w:r>
          </w:p>
        </w:tc>
        <w:tc>
          <w:tcPr>
            <w:tcW w:w="456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4,352,441</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4,484,595</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4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5,121,167</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5,261,764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60" w:type="dxa"/>
            <w:vAlign w:val="bottom"/>
            <w:vMerge w:val="restart"/>
          </w:tcPr>
          <w:p>
            <w:pPr>
              <w:jc w:val="right"/>
              <w:ind w:right="3572"/>
              <w:spacing w:after="0"/>
              <w:rPr>
                <w:sz w:val="20"/>
                <w:szCs w:val="20"/>
                <w:color w:val="auto"/>
              </w:rPr>
            </w:pPr>
            <w:r>
              <w:rPr>
                <w:rFonts w:ascii="Arial" w:cs="Arial" w:eastAsia="Arial" w:hAnsi="Arial"/>
                <w:sz w:val="18"/>
                <w:szCs w:val="18"/>
                <w:color w:val="auto"/>
              </w:rPr>
              <w:t>7</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840" w:type="dxa"/>
            <w:vAlign w:val="bottom"/>
          </w:tcPr>
          <w:p>
            <w:pPr>
              <w:spacing w:after="0"/>
              <w:rPr>
                <w:sz w:val="24"/>
                <w:szCs w:val="24"/>
                <w:color w:val="auto"/>
              </w:rPr>
            </w:pPr>
          </w:p>
        </w:tc>
        <w:tc>
          <w:tcPr>
            <w:tcW w:w="45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00" w:type="dxa"/>
            <w:vAlign w:val="bottom"/>
            <w:gridSpan w:val="6"/>
          </w:tcPr>
          <w:p>
            <w:pPr>
              <w:jc w:val="right"/>
              <w:ind w:right="38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5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20" w:type="dxa"/>
            <w:vAlign w:val="bottom"/>
            <w:tcBorders>
              <w:top w:val="single" w:sz="8" w:color="auto"/>
            </w:tcBorders>
            <w:gridSpan w:val="2"/>
          </w:tcPr>
          <w:p>
            <w:pPr>
              <w:jc w:val="right"/>
              <w:ind w:right="340"/>
              <w:spacing w:after="0" w:line="129" w:lineRule="exact"/>
              <w:rPr>
                <w:sz w:val="20"/>
                <w:szCs w:val="20"/>
                <w:color w:val="auto"/>
              </w:rPr>
            </w:pPr>
            <w:r>
              <w:rPr>
                <w:rFonts w:ascii="Arial" w:cs="Arial" w:eastAsia="Arial" w:hAnsi="Arial"/>
                <w:sz w:val="14"/>
                <w:szCs w:val="14"/>
                <w:b w:val="1"/>
                <w:bCs w:val="1"/>
                <w:color w:val="auto"/>
              </w:rPr>
              <w:t>May 4,</w:t>
            </w:r>
          </w:p>
        </w:tc>
        <w:tc>
          <w:tcPr>
            <w:tcW w:w="1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jc w:val="right"/>
              <w:ind w:right="33"/>
              <w:spacing w:after="0" w:line="129" w:lineRule="exact"/>
              <w:rPr>
                <w:sz w:val="20"/>
                <w:szCs w:val="20"/>
                <w:color w:val="auto"/>
              </w:rPr>
            </w:pPr>
            <w:r>
              <w:rPr>
                <w:rFonts w:ascii="Arial" w:cs="Arial" w:eastAsia="Arial" w:hAnsi="Arial"/>
                <w:sz w:val="14"/>
                <w:szCs w:val="14"/>
                <w:b w:val="1"/>
                <w:bCs w:val="1"/>
                <w:color w:val="auto"/>
                <w:w w:val="90"/>
              </w:rPr>
              <w:t>April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5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2013</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95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tcPr>
          <w:p>
            <w:pPr>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53,209</w:t>
            </w:r>
          </w:p>
        </w:tc>
        <w:tc>
          <w:tcPr>
            <w:tcW w:w="180" w:type="dxa"/>
            <w:vAlign w:val="bottom"/>
          </w:tcPr>
          <w:p>
            <w:pPr>
              <w:spacing w:after="0"/>
              <w:rPr>
                <w:sz w:val="18"/>
                <w:szCs w:val="18"/>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94,543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24,966</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21,199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33,513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27,192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10,686</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14,355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 expense, net</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Changes in assets and liabilities: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tcPr>
          <w:p>
            <w:pPr>
              <w:ind w:left="860"/>
              <w:spacing w:after="0"/>
              <w:rPr>
                <w:sz w:val="20"/>
                <w:szCs w:val="20"/>
                <w:color w:val="auto"/>
              </w:rPr>
            </w:pPr>
            <w:r>
              <w:rPr>
                <w:rFonts w:ascii="Arial" w:cs="Arial" w:eastAsia="Arial" w:hAnsi="Arial"/>
                <w:sz w:val="18"/>
                <w:szCs w:val="18"/>
                <w:color w:val="auto"/>
              </w:rPr>
              <w:t>Accounts receivable</w:t>
            </w: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(40,112)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(10,119)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(20,123)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tcPr>
          <w:p>
            <w:pPr>
              <w:ind w:left="86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6,802</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4,242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28,936</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21,249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tcPr>
          <w:p>
            <w:pPr>
              <w:ind w:left="860"/>
              <w:spacing w:after="0"/>
              <w:rPr>
                <w:sz w:val="20"/>
                <w:szCs w:val="20"/>
                <w:color w:val="auto"/>
              </w:rPr>
            </w:pPr>
            <w:r>
              <w:rPr>
                <w:rFonts w:ascii="Arial" w:cs="Arial" w:eastAsia="Arial" w:hAnsi="Arial"/>
                <w:sz w:val="18"/>
                <w:szCs w:val="18"/>
                <w:color w:val="auto"/>
              </w:rPr>
              <w:t>Accrued expenses and other liabilities</w:t>
            </w: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(20,081)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18,143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4,423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(648)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50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100" w:type="dxa"/>
            <w:vAlign w:val="bottom"/>
          </w:tcPr>
          <w:p>
            <w:pPr>
              <w:spacing w:after="0"/>
              <w:rPr>
                <w:sz w:val="19"/>
                <w:szCs w:val="19"/>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(880)</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5,454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83,855</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198,673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available-for-sale securities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8"/>
              </w:rPr>
              <w:t>(306,838)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8"/>
              </w:rPr>
              <w:t>(421,652)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tcPr>
          <w:p>
            <w:pPr>
              <w:ind w:left="420"/>
              <w:spacing w:after="0"/>
              <w:rPr>
                <w:sz w:val="20"/>
                <w:szCs w:val="20"/>
                <w:color w:val="auto"/>
              </w:rPr>
            </w:pPr>
            <w:r>
              <w:rPr>
                <w:rFonts w:ascii="Arial" w:cs="Arial" w:eastAsia="Arial" w:hAnsi="Arial"/>
                <w:sz w:val="18"/>
                <w:szCs w:val="18"/>
                <w:color w:val="auto"/>
              </w:rPr>
              <w:t>Sales and maturities of available-for-sale securities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335,771</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558,777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strategic investments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tcPr>
          <w:p>
            <w:pPr>
              <w:ind w:left="420"/>
              <w:spacing w:after="0"/>
              <w:rPr>
                <w:sz w:val="20"/>
                <w:szCs w:val="20"/>
                <w:color w:val="auto"/>
              </w:rPr>
            </w:pPr>
            <w:r>
              <w:rPr>
                <w:rFonts w:ascii="Arial" w:cs="Arial" w:eastAsia="Arial" w:hAnsi="Arial"/>
                <w:sz w:val="18"/>
                <w:szCs w:val="18"/>
                <w:color w:val="auto"/>
              </w:rPr>
              <w:t>Cash paid for acquisitions, net</w:t>
            </w: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(2,551)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(5,860)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(2,045)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50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tcPr>
          <w:p>
            <w:pPr>
              <w:spacing w:after="0"/>
              <w:rPr>
                <w:sz w:val="19"/>
                <w:szCs w:val="19"/>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(20,080)</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(18,904)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investing activities</w:t>
            </w:r>
          </w:p>
        </w:tc>
        <w:tc>
          <w:tcPr>
            <w:tcW w:w="10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442</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111,176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Repurchase of common stock </w:t>
            </w:r>
            <w:r>
              <w:rPr>
                <w:rFonts w:ascii="Arial" w:cs="Arial" w:eastAsia="Arial" w:hAnsi="Arial"/>
                <w:sz w:val="18"/>
                <w:szCs w:val="18"/>
                <w:i w:val="1"/>
                <w:iCs w:val="1"/>
                <w:color w:val="auto"/>
              </w:rPr>
              <w:t>(a)</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8"/>
              </w:rPr>
              <w:t>(216,694)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8"/>
              </w:rPr>
              <w:t>(223,157)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tcPr>
          <w:p>
            <w:pPr>
              <w:ind w:left="42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19,805</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17,803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(9,378)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(8,879)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tcPr>
          <w:p>
            <w:pPr>
              <w:ind w:left="420"/>
              <w:spacing w:after="0"/>
              <w:rPr>
                <w:sz w:val="20"/>
                <w:szCs w:val="20"/>
                <w:color w:val="auto"/>
              </w:rPr>
            </w:pPr>
            <w:r>
              <w:rPr>
                <w:rFonts w:ascii="Arial" w:cs="Arial" w:eastAsia="Arial" w:hAnsi="Arial"/>
                <w:sz w:val="18"/>
                <w:szCs w:val="18"/>
                <w:color w:val="auto"/>
              </w:rPr>
              <w:t>Dividend payment to shareholders</w:t>
            </w: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(30,253)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Payment on technology license obligations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(5,317)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50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financing activities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8"/>
              </w:rPr>
              <w:t>(241,830)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8"/>
              </w:rPr>
              <w:t>(214,192)</w:t>
            </w:r>
          </w:p>
        </w:tc>
        <w:tc>
          <w:tcPr>
            <w:tcW w:w="0" w:type="dxa"/>
            <w:vAlign w:val="bottom"/>
          </w:tcPr>
          <w:p>
            <w:pPr>
              <w:spacing w:after="0"/>
              <w:rPr>
                <w:sz w:val="1"/>
                <w:szCs w:val="1"/>
                <w:color w:val="auto"/>
              </w:rPr>
            </w:pPr>
          </w:p>
        </w:tc>
      </w:tr>
      <w:tr>
        <w:trPr>
          <w:trHeight w:val="20"/>
        </w:trPr>
        <w:tc>
          <w:tcPr>
            <w:tcW w:w="9520" w:type="dxa"/>
            <w:vAlign w:val="bottom"/>
            <w:gridSpan w:val="2"/>
            <w:vMerge w:val="restart"/>
          </w:tcPr>
          <w:p>
            <w:pPr>
              <w:spacing w:after="0"/>
              <w:rPr>
                <w:sz w:val="20"/>
                <w:szCs w:val="20"/>
                <w:color w:val="auto"/>
              </w:rPr>
            </w:pPr>
            <w:r>
              <w:rPr>
                <w:rFonts w:ascii="Arial" w:cs="Arial" w:eastAsia="Arial" w:hAnsi="Arial"/>
                <w:sz w:val="18"/>
                <w:szCs w:val="18"/>
                <w:color w:val="auto"/>
              </w:rPr>
              <w:t>Net decrease in cash and cash equivalents</w:t>
            </w: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9520" w:type="dxa"/>
            <w:vAlign w:val="bottom"/>
            <w:gridSpan w:val="2"/>
            <w:vMerge w:val="continue"/>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w w:val="88"/>
              </w:rPr>
              <w:t>(157,533)</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95,657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751,953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784,902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52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594,420</w:t>
            </w:r>
          </w:p>
        </w:tc>
        <w:tc>
          <w:tcPr>
            <w:tcW w:w="180" w:type="dxa"/>
            <w:vAlign w:val="bottom"/>
          </w:tcPr>
          <w:p>
            <w:pPr>
              <w:spacing w:after="0"/>
              <w:rPr>
                <w:sz w:val="19"/>
                <w:szCs w:val="19"/>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880,559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6" w:lineRule="exact"/>
        <w:rPr>
          <w:sz w:val="20"/>
          <w:szCs w:val="20"/>
          <w:color w:val="auto"/>
        </w:rPr>
      </w:pPr>
    </w:p>
    <w:p>
      <w:pPr>
        <w:ind w:left="460" w:right="100" w:hanging="452"/>
        <w:spacing w:after="0" w:line="335" w:lineRule="auto"/>
        <w:tabs>
          <w:tab w:leader="none" w:pos="460" w:val="left"/>
        </w:tabs>
        <w:numPr>
          <w:ilvl w:val="0"/>
          <w:numId w:val="9"/>
        </w:numPr>
        <w:rPr>
          <w:rFonts w:ascii="Arial" w:cs="Arial" w:eastAsia="Arial" w:hAnsi="Arial"/>
          <w:sz w:val="15"/>
          <w:szCs w:val="15"/>
          <w:i w:val="1"/>
          <w:iCs w:val="1"/>
          <w:color w:val="auto"/>
        </w:rPr>
      </w:pPr>
      <w:r>
        <w:rPr>
          <w:rFonts w:ascii="Arial" w:cs="Arial" w:eastAsia="Arial" w:hAnsi="Arial"/>
          <w:sz w:val="15"/>
          <w:szCs w:val="15"/>
          <w:color w:val="auto"/>
        </w:rPr>
        <w:t>Marvell records all repurchases as well as investment purchases and sales, based on trade date in accordance with U.S. GAAP. Cash paid for repurchase of Marvell common shares includes a total of 19.9 million shares repurchased for $200.2 million in the first quarter of fiscal 2014, adjusted for repurchases made in the final three days of the current and previous quarters that are accrued but not yet paid due to the standard three-day settlement period.</w:t>
      </w:r>
    </w:p>
    <w:p>
      <w:pPr>
        <w:spacing w:after="0" w:line="7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274"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74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520" w:type="dxa"/>
            <w:vAlign w:val="bottom"/>
            <w:tcBorders>
              <w:bottom w:val="single" w:sz="8" w:color="auto"/>
            </w:tcBorders>
            <w:gridSpan w:val="4"/>
          </w:tcPr>
          <w:p>
            <w:pPr>
              <w:jc w:val="right"/>
              <w:ind w:right="240"/>
              <w:spacing w:after="0"/>
              <w:rPr>
                <w:sz w:val="20"/>
                <w:szCs w:val="20"/>
                <w:color w:val="auto"/>
              </w:rPr>
            </w:pPr>
            <w:r>
              <w:rPr>
                <w:rFonts w:ascii="Arial" w:cs="Arial" w:eastAsia="Arial" w:hAnsi="Arial"/>
                <w:sz w:val="14"/>
                <w:szCs w:val="14"/>
                <w:b w:val="1"/>
                <w:bCs w:val="1"/>
                <w:color w:val="auto"/>
                <w:w w:val="90"/>
              </w:rPr>
              <w:t>Three Months Ended</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74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80" w:type="dxa"/>
            <w:vAlign w:val="bottom"/>
            <w:gridSpan w:val="2"/>
          </w:tcPr>
          <w:p>
            <w:pPr>
              <w:jc w:val="right"/>
              <w:ind w:right="340"/>
              <w:spacing w:after="0" w:line="129" w:lineRule="exact"/>
              <w:rPr>
                <w:sz w:val="20"/>
                <w:szCs w:val="20"/>
                <w:color w:val="auto"/>
              </w:rPr>
            </w:pPr>
            <w:r>
              <w:rPr>
                <w:rFonts w:ascii="Arial" w:cs="Arial" w:eastAsia="Arial" w:hAnsi="Arial"/>
                <w:sz w:val="14"/>
                <w:szCs w:val="14"/>
                <w:b w:val="1"/>
                <w:bCs w:val="1"/>
                <w:color w:val="auto"/>
                <w:w w:val="98"/>
              </w:rPr>
              <w:t>May 4,</w:t>
            </w:r>
          </w:p>
        </w:tc>
        <w:tc>
          <w:tcPr>
            <w:tcW w:w="320" w:type="dxa"/>
            <w:vAlign w:val="bottom"/>
          </w:tcPr>
          <w:p>
            <w:pPr>
              <w:spacing w:after="0"/>
              <w:rPr>
                <w:sz w:val="11"/>
                <w:szCs w:val="11"/>
                <w:color w:val="auto"/>
              </w:rPr>
            </w:pPr>
          </w:p>
        </w:tc>
        <w:tc>
          <w:tcPr>
            <w:tcW w:w="12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68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rPr>
              <w:t>April 28,</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740" w:type="dxa"/>
            <w:vAlign w:val="bottom"/>
            <w:tcBorders>
              <w:bottom w:val="single" w:sz="8" w:color="CCEEFF"/>
            </w:tcBorders>
          </w:tcPr>
          <w:p>
            <w:pPr>
              <w:spacing w:after="0"/>
              <w:rPr>
                <w:sz w:val="14"/>
                <w:szCs w:val="14"/>
                <w:color w:val="auto"/>
              </w:rPr>
            </w:pPr>
          </w:p>
        </w:tc>
        <w:tc>
          <w:tcPr>
            <w:tcW w:w="2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ind w:left="120"/>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2013</w:t>
            </w:r>
          </w:p>
        </w:tc>
        <w:tc>
          <w:tcPr>
            <w:tcW w:w="5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vMerge w:val="restart"/>
          </w:tcPr>
          <w:p>
            <w:pPr>
              <w:spacing w:after="0"/>
              <w:rPr>
                <w:sz w:val="11"/>
                <w:szCs w:val="11"/>
                <w:color w:val="auto"/>
              </w:rPr>
            </w:pPr>
          </w:p>
        </w:tc>
        <w:tc>
          <w:tcPr>
            <w:tcW w:w="5740" w:type="dxa"/>
            <w:vAlign w:val="bottom"/>
            <w:shd w:val="clear" w:color="auto" w:fill="CCEEFF"/>
          </w:tcPr>
          <w:p>
            <w:pPr>
              <w:spacing w:after="0"/>
              <w:rPr>
                <w:sz w:val="11"/>
                <w:szCs w:val="11"/>
                <w:color w:val="auto"/>
              </w:rPr>
            </w:pPr>
          </w:p>
        </w:tc>
        <w:tc>
          <w:tcPr>
            <w:tcW w:w="24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3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tcPr>
          <w:p>
            <w:pPr>
              <w:spacing w:after="0"/>
              <w:rPr>
                <w:sz w:val="20"/>
                <w:szCs w:val="20"/>
                <w:color w:val="auto"/>
              </w:rPr>
            </w:pPr>
            <w:r>
              <w:rPr>
                <w:rFonts w:ascii="Arial" w:cs="Arial" w:eastAsia="Arial" w:hAnsi="Arial"/>
                <w:sz w:val="18"/>
                <w:szCs w:val="18"/>
                <w:color w:val="auto"/>
              </w:rPr>
              <w:t>GAAP net income</w:t>
            </w: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53,209</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50,152</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94,543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Stock-based compensation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33,513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36,486</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27,192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spacing w:after="0"/>
              <w:rPr>
                <w:sz w:val="20"/>
                <w:szCs w:val="20"/>
                <w:color w:val="auto"/>
              </w:rPr>
            </w:pPr>
            <w:r>
              <w:rPr>
                <w:rFonts w:ascii="Arial" w:cs="Arial" w:eastAsia="Arial" w:hAnsi="Arial"/>
                <w:sz w:val="18"/>
                <w:szCs w:val="18"/>
                <w:color w:val="auto"/>
              </w:rPr>
              <w:t>Amortization of acquired intangible assets</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10,686</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12,268</w:t>
            </w: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14,355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465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295</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2,456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spacing w:after="0"/>
              <w:rPr>
                <w:sz w:val="20"/>
                <w:szCs w:val="20"/>
                <w:color w:val="auto"/>
              </w:rPr>
            </w:pPr>
            <w:r>
              <w:rPr>
                <w:rFonts w:ascii="Arial" w:cs="Arial" w:eastAsia="Arial" w:hAnsi="Arial"/>
                <w:sz w:val="18"/>
                <w:szCs w:val="18"/>
                <w:color w:val="auto"/>
              </w:rPr>
              <w:t>Restructuring</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228</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154</w:t>
            </w: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5,008</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Non-GAAP net income</w:t>
            </w:r>
          </w:p>
        </w:tc>
        <w:tc>
          <w:tcPr>
            <w:tcW w:w="24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760" w:type="dxa"/>
            <w:vAlign w:val="bottom"/>
            <w:gridSpan w:val="2"/>
            <w:vMerge w:val="continue"/>
          </w:tcPr>
          <w:p>
            <w:pPr>
              <w:spacing w:after="0"/>
              <w:rPr>
                <w:sz w:val="19"/>
                <w:szCs w:val="19"/>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98,101</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w w:val="86"/>
              </w:rPr>
              <w:t>104,363</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138,661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GAAP weighted average shares - diluted</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505,387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528,082</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594,739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Non-GAAP adjustment</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17,094</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16,196</w:t>
            </w: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10,814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740" w:type="dxa"/>
            <w:vAlign w:val="bottom"/>
          </w:tcPr>
          <w:p>
            <w:pPr>
              <w:spacing w:after="0"/>
              <w:rPr>
                <w:sz w:val="2"/>
                <w:szCs w:val="2"/>
                <w:color w:val="auto"/>
              </w:rPr>
            </w:pPr>
          </w:p>
        </w:tc>
        <w:tc>
          <w:tcPr>
            <w:tcW w:w="2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(c)</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522,481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544,278</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605,553</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GAAP diluted net income per share</w:t>
            </w: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60" w:type="dxa"/>
            <w:vAlign w:val="bottom"/>
            <w:gridSpan w:val="2"/>
            <w:vMerge w:val="continue"/>
          </w:tcPr>
          <w:p>
            <w:pPr>
              <w:spacing w:after="0"/>
              <w:rPr>
                <w:sz w:val="18"/>
                <w:szCs w:val="18"/>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0.11</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0.09</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0.16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net income per share</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0.19</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0.19</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GAAP gross profit:</w:t>
            </w: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60" w:type="dxa"/>
            <w:vAlign w:val="bottom"/>
            <w:gridSpan w:val="2"/>
            <w:vMerge w:val="continue"/>
          </w:tcPr>
          <w:p>
            <w:pPr>
              <w:spacing w:after="0"/>
              <w:rPr>
                <w:sz w:val="18"/>
                <w:szCs w:val="18"/>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398,931</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w w:val="86"/>
              </w:rPr>
              <w:t>404,461</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430,029</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1,867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2,300</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2,123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1,929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5,698</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Non-GAAP gross profit</w:t>
            </w:r>
          </w:p>
        </w:tc>
        <w:tc>
          <w:tcPr>
            <w:tcW w:w="24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760" w:type="dxa"/>
            <w:vAlign w:val="bottom"/>
            <w:gridSpan w:val="2"/>
            <w:vMerge w:val="continue"/>
          </w:tcPr>
          <w:p>
            <w:pPr>
              <w:spacing w:after="0"/>
              <w:rPr>
                <w:sz w:val="19"/>
                <w:szCs w:val="19"/>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400,798</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w w:val="86"/>
              </w:rPr>
              <w:t>412,459</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434,081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GAAP gross margin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54.3%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52.2%</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0.3%</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60"/>
              <w:spacing w:after="0"/>
              <w:rPr>
                <w:sz w:val="20"/>
                <w:szCs w:val="20"/>
                <w:color w:val="auto"/>
              </w:rPr>
            </w:pPr>
            <w:r>
              <w:rPr>
                <w:rFonts w:ascii="Arial" w:cs="Arial" w:eastAsia="Arial" w:hAnsi="Arial"/>
                <w:sz w:val="18"/>
                <w:szCs w:val="18"/>
                <w:color w:val="auto"/>
              </w:rPr>
              <w:t>0.3%</w:t>
            </w: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60"/>
              <w:spacing w:after="0"/>
              <w:rPr>
                <w:sz w:val="20"/>
                <w:szCs w:val="20"/>
                <w:color w:val="auto"/>
              </w:rPr>
            </w:pPr>
            <w:r>
              <w:rPr>
                <w:rFonts w:ascii="Arial" w:cs="Arial" w:eastAsia="Arial" w:hAnsi="Arial"/>
                <w:sz w:val="18"/>
                <w:szCs w:val="18"/>
                <w:color w:val="auto"/>
              </w:rPr>
              <w:t>0.7%</w:t>
            </w:r>
          </w:p>
        </w:tc>
        <w:tc>
          <w:tcPr>
            <w:tcW w:w="100" w:type="dxa"/>
            <w:vAlign w:val="bottom"/>
          </w:tcPr>
          <w:p>
            <w:pPr>
              <w:spacing w:after="0"/>
              <w:rPr>
                <w:sz w:val="18"/>
                <w:szCs w:val="18"/>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740" w:type="dxa"/>
            <w:vAlign w:val="bottom"/>
          </w:tcPr>
          <w:p>
            <w:pPr>
              <w:spacing w:after="0"/>
              <w:rPr>
                <w:sz w:val="2"/>
                <w:szCs w:val="2"/>
                <w:color w:val="auto"/>
              </w:rPr>
            </w:pPr>
          </w:p>
        </w:tc>
        <w:tc>
          <w:tcPr>
            <w:tcW w:w="2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Non-GAAP gross margin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54.6%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53.2%</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54.5%</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GAAP research and development:</w:t>
            </w: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60" w:type="dxa"/>
            <w:vAlign w:val="bottom"/>
            <w:gridSpan w:val="2"/>
            <w:vMerge w:val="continue"/>
          </w:tcPr>
          <w:p>
            <w:pPr>
              <w:spacing w:after="0"/>
              <w:rPr>
                <w:sz w:val="18"/>
                <w:szCs w:val="18"/>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279,052</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w w:val="86"/>
              </w:rPr>
              <w:t>273,685</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255,970</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2"/>
              </w:rPr>
              <w:t>(23,279)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92"/>
              </w:rPr>
              <w:t>(24,997)</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2"/>
              </w:rPr>
              <w:t>(17,174)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(400)</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60"/>
              <w:spacing w:after="0"/>
              <w:rPr>
                <w:sz w:val="20"/>
                <w:szCs w:val="20"/>
                <w:color w:val="auto"/>
              </w:rPr>
            </w:pPr>
            <w:r>
              <w:rPr>
                <w:rFonts w:ascii="Arial" w:cs="Arial" w:eastAsia="Arial" w:hAnsi="Arial"/>
                <w:sz w:val="18"/>
                <w:szCs w:val="18"/>
                <w:color w:val="auto"/>
              </w:rPr>
              <w:t>(262)</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(442)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690</w:t>
            </w:r>
          </w:p>
        </w:tc>
        <w:tc>
          <w:tcPr>
            <w:tcW w:w="100" w:type="dxa"/>
            <w:vAlign w:val="bottom"/>
          </w:tcPr>
          <w:p>
            <w:pPr>
              <w:spacing w:after="0"/>
              <w:rPr>
                <w:sz w:val="18"/>
                <w:szCs w:val="18"/>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740" w:type="dxa"/>
            <w:vAlign w:val="bottom"/>
          </w:tcPr>
          <w:p>
            <w:pPr>
              <w:spacing w:after="0"/>
              <w:rPr>
                <w:sz w:val="2"/>
                <w:szCs w:val="2"/>
                <w:color w:val="auto"/>
              </w:rPr>
            </w:pPr>
          </w:p>
        </w:tc>
        <w:tc>
          <w:tcPr>
            <w:tcW w:w="2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Non-GAAP research and development</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255,373</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249,115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238,354</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GAAP selling and marketing:</w:t>
            </w: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60" w:type="dxa"/>
            <w:vAlign w:val="bottom"/>
            <w:gridSpan w:val="2"/>
            <w:vMerge w:val="continue"/>
          </w:tcPr>
          <w:p>
            <w:pPr>
              <w:spacing w:after="0"/>
              <w:rPr>
                <w:sz w:val="18"/>
                <w:szCs w:val="18"/>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39,989</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42,319</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40,066</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(3,392)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(3,683)</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(3,036)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(45)</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60"/>
              <w:spacing w:after="0"/>
              <w:rPr>
                <w:sz w:val="20"/>
                <w:szCs w:val="20"/>
                <w:color w:val="auto"/>
              </w:rPr>
            </w:pPr>
            <w:r>
              <w:rPr>
                <w:rFonts w:ascii="Arial" w:cs="Arial" w:eastAsia="Arial" w:hAnsi="Arial"/>
                <w:sz w:val="18"/>
                <w:szCs w:val="18"/>
                <w:color w:val="auto"/>
              </w:rPr>
              <w:t>(14)</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24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760" w:type="dxa"/>
            <w:vAlign w:val="bottom"/>
            <w:gridSpan w:val="2"/>
          </w:tcPr>
          <w:p>
            <w:pPr>
              <w:spacing w:after="0"/>
              <w:rPr>
                <w:sz w:val="20"/>
                <w:szCs w:val="20"/>
                <w:color w:val="auto"/>
              </w:rPr>
            </w:pPr>
            <w:r>
              <w:rPr>
                <w:rFonts w:ascii="Arial" w:cs="Arial" w:eastAsia="Arial" w:hAnsi="Arial"/>
                <w:sz w:val="18"/>
                <w:szCs w:val="18"/>
                <w:color w:val="auto"/>
              </w:rPr>
              <w:t>Non-GAAP selling and marketing</w:t>
            </w: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36,552</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38,622</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36,991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26,323</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32,577</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25,705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(4,975)</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60"/>
              <w:spacing w:after="0"/>
              <w:rPr>
                <w:sz w:val="20"/>
                <w:szCs w:val="20"/>
                <w:color w:val="auto"/>
              </w:rPr>
            </w:pPr>
            <w:r>
              <w:rPr>
                <w:rFonts w:ascii="Arial" w:cs="Arial" w:eastAsia="Arial" w:hAnsi="Arial"/>
                <w:sz w:val="18"/>
                <w:szCs w:val="18"/>
                <w:color w:val="auto"/>
              </w:rPr>
              <w:t>(5,506)</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(4,859)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(19)</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(228)</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60"/>
              <w:spacing w:after="0"/>
              <w:rPr>
                <w:sz w:val="20"/>
                <w:szCs w:val="20"/>
                <w:color w:val="auto"/>
              </w:rPr>
            </w:pPr>
            <w:r>
              <w:rPr>
                <w:rFonts w:ascii="Arial" w:cs="Arial" w:eastAsia="Arial" w:hAnsi="Arial"/>
                <w:sz w:val="18"/>
                <w:szCs w:val="18"/>
                <w:color w:val="auto"/>
              </w:rPr>
              <w:t>(153)</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(122)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740" w:type="dxa"/>
            <w:vAlign w:val="bottom"/>
          </w:tcPr>
          <w:p>
            <w:pPr>
              <w:spacing w:after="0"/>
              <w:rPr>
                <w:sz w:val="2"/>
                <w:szCs w:val="2"/>
                <w:color w:val="auto"/>
              </w:rPr>
            </w:pPr>
          </w:p>
        </w:tc>
        <w:tc>
          <w:tcPr>
            <w:tcW w:w="2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21,100</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26,899</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20,685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180" w:hanging="452"/>
        <w:spacing w:after="0" w:line="254" w:lineRule="auto"/>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Acquisition-related costs include the step-up in fair value of acquired inventory that was sold during the period, and the amortization of retention bonuses required by the terms of the acquisition.</w:t>
      </w:r>
    </w:p>
    <w:p>
      <w:pPr>
        <w:ind w:left="460" w:right="160" w:hanging="452"/>
        <w:spacing w:after="0" w:line="250" w:lineRule="auto"/>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Legal/Tax related matters during the three months ended February 2, 2013 includes an expense of $5.7 million related to an ongoing litigation matter. The amount recorded does not relate to Marvell’s litigation with Carnegie Mellon University (CMU).</w:t>
      </w:r>
    </w:p>
    <w:p>
      <w:pPr>
        <w:ind w:left="460" w:right="380" w:hanging="452"/>
        <w:spacing w:after="0" w:line="323" w:lineRule="auto"/>
        <w:tabs>
          <w:tab w:leader="none" w:pos="460" w:val="left"/>
        </w:tabs>
        <w:numPr>
          <w:ilvl w:val="0"/>
          <w:numId w:val="10"/>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potential benefits of stock-based compensation costs expected to be incurred in future periods but not yet recognized in the financial statements.</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274" w:right="23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Outlook</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3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86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89"/>
              </w:rPr>
              <w:t>Q2 FY2014</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3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6"/>
              </w:rPr>
              <w:t>Outlook</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93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Note : Amounts represent the midpoint of the expected range</w:t>
            </w:r>
          </w:p>
        </w:tc>
        <w:tc>
          <w:tcPr>
            <w:tcW w:w="12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GAAP gross margin</w:t>
            </w:r>
          </w:p>
        </w:tc>
        <w:tc>
          <w:tcPr>
            <w:tcW w:w="1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52.2%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 acquisition related costs, and other</w:t>
            </w:r>
          </w:p>
        </w:tc>
        <w:tc>
          <w:tcPr>
            <w:tcW w:w="1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0"/>
        </w:trPr>
        <w:tc>
          <w:tcPr>
            <w:tcW w:w="936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12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9360" w:type="dxa"/>
            <w:vAlign w:val="bottom"/>
            <w:gridSpan w:val="2"/>
            <w:vMerge w:val="continue"/>
          </w:tcPr>
          <w:p>
            <w:pPr>
              <w:spacing w:after="0"/>
              <w:rPr>
                <w:sz w:val="19"/>
                <w:szCs w:val="19"/>
                <w:color w:val="auto"/>
              </w:rPr>
            </w:pPr>
          </w:p>
        </w:tc>
        <w:tc>
          <w:tcPr>
            <w:tcW w:w="12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52.5%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20" w:type="dxa"/>
            <w:vAlign w:val="bottom"/>
          </w:tcPr>
          <w:p>
            <w:pPr>
              <w:spacing w:after="0"/>
              <w:rPr>
                <w:sz w:val="24"/>
                <w:szCs w:val="24"/>
                <w:color w:val="auto"/>
              </w:rPr>
            </w:pPr>
          </w:p>
        </w:tc>
        <w:tc>
          <w:tcPr>
            <w:tcW w:w="93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86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89"/>
              </w:rPr>
              <w:t>Q2 FY2014</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3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6"/>
              </w:rPr>
              <w:t>Outlook</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3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GAAP operating expenses</w:t>
            </w:r>
          </w:p>
        </w:tc>
        <w:tc>
          <w:tcPr>
            <w:tcW w:w="1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370</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420"/>
              <w:spacing w:after="0"/>
              <w:rPr>
                <w:sz w:val="20"/>
                <w:szCs w:val="20"/>
                <w:color w:val="auto"/>
              </w:rPr>
            </w:pPr>
            <w:r>
              <w:rPr>
                <w:rFonts w:ascii="Arial" w:cs="Arial" w:eastAsia="Arial" w:hAnsi="Arial"/>
                <w:sz w:val="18"/>
                <w:szCs w:val="18"/>
                <w:color w:val="auto"/>
              </w:rPr>
              <w:t>Stock-based compensation, acquisition-related costs, restructuring, amortization of intangible assets and other</w:t>
            </w:r>
          </w:p>
        </w:tc>
        <w:tc>
          <w:tcPr>
            <w:tcW w:w="1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93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Non-GAAP operating expenses</w:t>
            </w:r>
          </w:p>
        </w:tc>
        <w:tc>
          <w:tcPr>
            <w:tcW w:w="1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315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20" w:type="dxa"/>
            <w:vAlign w:val="bottom"/>
          </w:tcPr>
          <w:p>
            <w:pPr>
              <w:spacing w:after="0"/>
              <w:rPr>
                <w:sz w:val="24"/>
                <w:szCs w:val="24"/>
                <w:color w:val="auto"/>
              </w:rPr>
            </w:pPr>
          </w:p>
        </w:tc>
        <w:tc>
          <w:tcPr>
            <w:tcW w:w="93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86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89"/>
              </w:rPr>
              <w:t>Q2 FY2014</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3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6"/>
              </w:rPr>
              <w:t>Outlook</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3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GAAP diluted earnings per share</w:t>
            </w:r>
          </w:p>
        </w:tc>
        <w:tc>
          <w:tcPr>
            <w:tcW w:w="1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420"/>
              <w:spacing w:after="0"/>
              <w:rPr>
                <w:sz w:val="20"/>
                <w:szCs w:val="20"/>
                <w:color w:val="auto"/>
              </w:rPr>
            </w:pPr>
            <w:r>
              <w:rPr>
                <w:rFonts w:ascii="Arial" w:cs="Arial" w:eastAsia="Arial" w:hAnsi="Arial"/>
                <w:sz w:val="18"/>
                <w:szCs w:val="18"/>
                <w:color w:val="auto"/>
              </w:rPr>
              <w:t>Stock-based compensation, acquisition-related costs, restructuring, amortization of intangible assets and other</w:t>
            </w:r>
          </w:p>
        </w:tc>
        <w:tc>
          <w:tcPr>
            <w:tcW w:w="12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Non-GAAP earnings per share</w:t>
            </w:r>
          </w:p>
        </w:tc>
        <w:tc>
          <w:tcPr>
            <w:tcW w:w="1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0.19</w:t>
            </w:r>
          </w:p>
        </w:tc>
        <w:tc>
          <w:tcPr>
            <w:tcW w:w="0" w:type="dxa"/>
            <w:vAlign w:val="bottom"/>
          </w:tcPr>
          <w:p>
            <w:pPr>
              <w:spacing w:after="0"/>
              <w:rPr>
                <w:sz w:val="1"/>
                <w:szCs w:val="1"/>
                <w:color w:val="auto"/>
              </w:rPr>
            </w:pPr>
          </w:p>
        </w:tc>
      </w:tr>
      <w:tr>
        <w:trPr>
          <w:trHeight w:val="370"/>
        </w:trPr>
        <w:tc>
          <w:tcPr>
            <w:tcW w:w="9360" w:type="dxa"/>
            <w:vAlign w:val="bottom"/>
            <w:gridSpan w:val="2"/>
          </w:tcPr>
          <w:p>
            <w:pPr>
              <w:jc w:val="right"/>
              <w:ind w:right="3472"/>
              <w:spacing w:after="0"/>
              <w:rPr>
                <w:sz w:val="20"/>
                <w:szCs w:val="20"/>
                <w:color w:val="auto"/>
              </w:rPr>
            </w:pPr>
            <w:r>
              <w:rPr>
                <w:rFonts w:ascii="Arial" w:cs="Arial" w:eastAsia="Arial" w:hAnsi="Arial"/>
                <w:sz w:val="18"/>
                <w:szCs w:val="18"/>
                <w:color w:val="auto"/>
              </w:rPr>
              <w:t>10</w:t>
            </w:r>
          </w:p>
        </w:tc>
        <w:tc>
          <w:tcPr>
            <w:tcW w:w="1200" w:type="dxa"/>
            <w:vAlign w:val="bottom"/>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580" w:type="dxa"/>
            <w:vAlign w:val="bottom"/>
            <w:tcBorders>
              <w:top w:val="single" w:sz="8" w:color="auto"/>
            </w:tcBorders>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
      <w:numFmt w:val="bullet"/>
      <w:start w:val="1"/>
    </w:lvl>
  </w:abstractNum>
  <w:abstractNum w:abstractNumId="2">
    <w:nsid w:val="2EB141F2"/>
    <w:multiLevelType w:val="hybridMultilevel"/>
    <w:lvl w:ilvl="0">
      <w:lvlJc w:val="left"/>
      <w:lvlText w:val="•"/>
      <w:numFmt w:val="bullet"/>
      <w:start w:val="1"/>
    </w:lvl>
  </w:abstractNum>
  <w:abstractNum w:abstractNumId="3">
    <w:nsid w:val="41B71EFB"/>
    <w:multiLevelType w:val="hybridMultilevel"/>
    <w:lvl w:ilvl="0">
      <w:lvlJc w:val="left"/>
      <w:lvlText w:val="•"/>
      <w:numFmt w:val="bullet"/>
      <w:start w:val="1"/>
    </w:lvl>
  </w:abstractNum>
  <w:abstractNum w:abstractNumId="4">
    <w:nsid w:val="79E2A9E3"/>
    <w:multiLevelType w:val="hybridMultilevel"/>
    <w:lvl w:ilvl="0">
      <w:lvlJc w:val="left"/>
      <w:lvlText w:val="•"/>
      <w:numFmt w:val="bullet"/>
      <w:start w:val="1"/>
    </w:lvl>
  </w:abstractNum>
  <w:abstractNum w:abstractNumId="5">
    <w:nsid w:val="7545E146"/>
    <w:multiLevelType w:val="hybridMultilevel"/>
    <w:lvl w:ilvl="0">
      <w:lvlJc w:val="left"/>
      <w:lvlText w:val="(%1)"/>
      <w:numFmt w:val="lowerLetter"/>
      <w:start w:val="4"/>
    </w:lvl>
  </w:abstractNum>
  <w:abstractNum w:abstractNumId="6">
    <w:nsid w:val="515F007C"/>
    <w:multiLevelType w:val="hybridMultilevel"/>
    <w:lvl w:ilvl="0">
      <w:lvlJc w:val="left"/>
      <w:lvlText w:val="•"/>
      <w:numFmt w:val="bullet"/>
      <w:start w:val="1"/>
    </w:lvl>
  </w:abstractNum>
  <w:abstractNum w:abstractNumId="7">
    <w:nsid w:val="5BD062C2"/>
    <w:multiLevelType w:val="hybridMultilevel"/>
    <w:lvl w:ilvl="0">
      <w:lvlJc w:val="left"/>
      <w:lvlText w:val="•"/>
      <w:numFmt w:val="bullet"/>
      <w:start w:val="1"/>
    </w:lvl>
  </w:abstractNum>
  <w:abstractNum w:abstractNumId="8">
    <w:nsid w:val="12200854"/>
    <w:multiLevelType w:val="hybridMultilevel"/>
    <w:lvl w:ilvl="0">
      <w:lvlJc w:val="left"/>
      <w:lvlText w:val="(%1)"/>
      <w:numFmt w:val="lowerLetter"/>
      <w:start w:val="1"/>
    </w:lvl>
  </w:abstractNum>
  <w:abstractNum w:abstractNumId="9">
    <w:nsid w:val="4DB127F8"/>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2019-12-06T20:11:27Z</dcterms:created>
  <dcterms:modified xsi:type="dcterms:W3CDTF">2019-12-06T20:11:27Z</dcterms:modified>
</cp:coreProperties>
</file>