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ind w:left="380"/>
        <w:spacing w:after="0" w:line="23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36830</wp:posOffset>
            </wp:positionH>
            <wp:positionV relativeFrom="paragraph">
              <wp:posOffset>-238125</wp:posOffset>
            </wp:positionV>
            <wp:extent cx="133985" cy="133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6500" w:type="dxa"/>
            <w:vAlign w:val="bottom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5459095</wp:posOffset>
            </wp:positionH>
            <wp:positionV relativeFrom="paragraph">
              <wp:posOffset>-640080</wp:posOffset>
            </wp:positionV>
            <wp:extent cx="59055" cy="6534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4119880</wp:posOffset>
            </wp:positionH>
            <wp:positionV relativeFrom="paragraph">
              <wp:posOffset>-640080</wp:posOffset>
            </wp:positionV>
            <wp:extent cx="59055" cy="6534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-1723390</wp:posOffset>
            </wp:positionH>
            <wp:positionV relativeFrom="paragraph">
              <wp:posOffset>18415</wp:posOffset>
            </wp:positionV>
            <wp:extent cx="7324725" cy="58521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25" cy="5852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80"/>
            <w:col w:w="8820"/>
          </w:cols>
          <w:pgMar w:left="240" w:top="224" w:right="139" w:bottom="1440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KASSAKIAN JOHN G</w:t>
        </w:r>
      </w:hyperlink>
    </w:p>
    <w:p>
      <w:pPr>
        <w:spacing w:after="0" w:line="31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4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C/O 5488 MARVELL LANE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4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3"/>
          </w:tcPr>
          <w:p>
            <w:pPr>
              <w:spacing w:after="0" w:line="206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1"/>
                <w:szCs w:val="21"/>
                <w:color w:val="000000"/>
                <w:w w:val="99"/>
              </w:rPr>
              <w:t>[</w:t>
            </w:r>
          </w:p>
        </w:tc>
        <w:tc>
          <w:tcPr>
            <w:tcW w:w="19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2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2"/>
                <w:szCs w:val="2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2"/>
                  <w:szCs w:val="2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3"/>
                  <w:szCs w:val="3"/>
                  <w:color w:val="000000"/>
                </w:rPr>
                <w:t>]</w:t>
              </w:r>
            </w:hyperlink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20" w:type="dxa"/>
            <w:vAlign w:val="bottom"/>
          </w:tcPr>
          <w:p>
            <w:pPr>
              <w:ind w:left="340"/>
              <w:spacing w:after="0" w:line="11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37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06/26/2013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26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8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4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8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80" w:type="dxa"/>
            <w:vAlign w:val="bottom"/>
            <w:gridSpan w:val="4"/>
          </w:tcPr>
          <w:p>
            <w:pPr>
              <w:jc w:val="center"/>
              <w:ind w:left="16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 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</w:tcPr>
          <w:p>
            <w:pPr>
              <w:jc w:val="center"/>
              <w:ind w:left="713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</w:tcPr>
          <w:p>
            <w:pPr>
              <w:jc w:val="center"/>
              <w:ind w:left="7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06/26/2013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10,000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16,946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760" w:type="dxa"/>
            <w:vAlign w:val="bottom"/>
            <w:gridSpan w:val="11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21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(Instr. 3, 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5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10,000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06/26/2013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jc w:val="center"/>
              <w:ind w:right="338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10,000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06/26/2013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21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7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Acquire)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11.73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06/26/2013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jc w:val="center"/>
              <w:ind w:right="3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25,000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06/26/2023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25,000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25,000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7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  <w:w w:val="97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9,573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06/26/2013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ind w:right="358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4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9,573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06/26/2014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jc w:val="center"/>
              <w:ind w:right="1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99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9,573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Acquire)</w:t>
      </w:r>
    </w:p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1. Each restricted stock unit represented a contingent right to receive one Marvell Technology Group Ltd. ("Marvell") common share upon vesting.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2. These restricted stock units vested as to 100% of shares on June 26, 2013.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3. Vests 100% of shares on the earlier of the next annual general meeting of Marvell Technology Group Ltd. or the one year anniversary of the option grant date.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4. Each restricted stock unit represents a contingent right to receive one Marvell common share.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5. Vests 100% of shares on the earlier of the next annual general meeting of Marvell or the one year anniversary of the restricted stock unit grant date.</w:t>
      </w:r>
    </w:p>
    <w:p>
      <w:pPr>
        <w:spacing w:after="0" w:line="59" w:lineRule="exact"/>
        <w:rPr>
          <w:sz w:val="20"/>
          <w:szCs w:val="20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/s/ John G. Kassakian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06/28/2013</w:t>
            </w:r>
          </w:p>
        </w:tc>
      </w:tr>
      <w:tr>
        <w:trPr>
          <w:trHeight w:val="20"/>
        </w:trPr>
        <w:tc>
          <w:tcPr>
            <w:tcW w:w="6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  <w:tr>
        <w:trPr>
          <w:trHeight w:val="198"/>
        </w:trPr>
        <w:tc>
          <w:tcPr>
            <w:tcW w:w="91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198"/>
        </w:trPr>
        <w:tc>
          <w:tcPr>
            <w:tcW w:w="91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both"/>
        <w:ind w:left="40" w:right="3860" w:firstLine="5"/>
        <w:spacing w:after="0" w:line="315" w:lineRule="auto"/>
        <w:tabs>
          <w:tab w:leader="none" w:pos="17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01383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2019-12-17T15:58:31Z</dcterms:created>
  <dcterms:modified xsi:type="dcterms:W3CDTF">2019-12-17T15:58:31Z</dcterms:modified>
</cp:coreProperties>
</file>