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May 4, 2013</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44" w:lineRule="exact"/>
        <w:rPr>
          <w:sz w:val="24"/>
          <w:szCs w:val="24"/>
          <w:color w:val="auto"/>
        </w:rPr>
      </w:pPr>
    </w:p>
    <w:p>
      <w:pPr>
        <w:sectPr>
          <w:pgSz w:w="11900" w:h="16838" w:orient="portrait"/>
          <w:cols w:equalWidth="0" w:num="2">
            <w:col w:w="7500" w:space="720"/>
            <w:col w:w="3200"/>
          </w:cols>
          <w:pgMar w:left="240" w:top="230" w:right="239" w:bottom="1440" w:gutter="0" w:footer="0" w:header="0"/>
          <w:type w:val="continuous"/>
        </w:sectPr>
      </w:pPr>
    </w:p>
    <w:p>
      <w:pPr>
        <w:ind w:left="204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202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00" w:space="720"/>
            <w:col w:w="330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5"/>
              </w:rPr>
              <w:t>The number of common shares of the registrant outstanding as of May 30, 2013 was 492.1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20" w:type="dxa"/>
            <w:vAlign w:val="bottom"/>
            <w:gridSpan w:val="9"/>
            <w:vMerge w:val="restart"/>
          </w:tcPr>
          <w:p>
            <w:pPr>
              <w:ind w:left="1300"/>
              <w:spacing w:after="0"/>
              <w:rPr>
                <w:sz w:val="20"/>
                <w:szCs w:val="20"/>
                <w:color w:val="auto"/>
              </w:rPr>
            </w:pPr>
            <w:r>
              <w:rPr>
                <w:rFonts w:ascii="Arial" w:cs="Arial" w:eastAsia="Arial" w:hAnsi="Arial"/>
                <w:sz w:val="18"/>
                <w:szCs w:val="18"/>
                <w:b w:val="1"/>
                <w:bCs w:val="1"/>
                <w:color w:val="auto"/>
              </w:rPr>
              <w:t>PART I. FINANCIAL INFORMATION</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88"/>
        </w:trPr>
        <w:tc>
          <w:tcPr>
            <w:tcW w:w="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420" w:type="dxa"/>
            <w:vAlign w:val="bottom"/>
            <w:gridSpan w:val="9"/>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4"/>
        </w:trPr>
        <w:tc>
          <w:tcPr>
            <w:tcW w:w="880" w:type="dxa"/>
            <w:vAlign w:val="bottom"/>
            <w:gridSpan w:val="2"/>
          </w:tcPr>
          <w:p>
            <w:pPr>
              <w:spacing w:after="0" w:line="184" w:lineRule="exact"/>
              <w:rPr>
                <w:sz w:val="20"/>
                <w:szCs w:val="20"/>
                <w:color w:val="auto"/>
              </w:rPr>
            </w:pPr>
            <w:r>
              <w:rPr>
                <w:rFonts w:ascii="Arial" w:cs="Arial" w:eastAsia="Arial" w:hAnsi="Arial"/>
                <w:sz w:val="18"/>
                <w:szCs w:val="18"/>
                <w:color w:val="auto"/>
              </w:rPr>
              <w:t>Item 1.</w:t>
            </w:r>
          </w:p>
        </w:tc>
        <w:tc>
          <w:tcPr>
            <w:tcW w:w="10160" w:type="dxa"/>
            <w:vAlign w:val="bottom"/>
            <w:gridSpan w:val="16"/>
          </w:tcPr>
          <w:p>
            <w:pPr>
              <w:spacing w:after="0" w:line="184"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6"/>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May 4, 2013 and February 2, 2013</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6"/>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4, 2013 and</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4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91"/>
              </w:rPr>
            </w:pPr>
            <w:hyperlink w:anchor="page4">
              <w:r>
                <w:rPr>
                  <w:rFonts w:ascii="Arial" w:cs="Arial" w:eastAsia="Arial" w:hAnsi="Arial"/>
                  <w:sz w:val="18"/>
                  <w:szCs w:val="18"/>
                  <w:color w:val="0000EE"/>
                  <w:w w:val="91"/>
                </w:rPr>
                <w:t>April 28, 2012</w:t>
              </w:r>
            </w:hyperlink>
          </w:p>
        </w:tc>
        <w:tc>
          <w:tcPr>
            <w:tcW w:w="6460" w:type="dxa"/>
            <w:vAlign w:val="bottom"/>
            <w:tcBorders>
              <w:top w:val="single" w:sz="8" w:color="0000EE"/>
            </w:tcBorders>
            <w:gridSpan w:val="9"/>
          </w:tcPr>
          <w:p>
            <w:pPr>
              <w:spacing w:after="0"/>
              <w:rPr>
                <w:sz w:val="17"/>
                <w:szCs w:val="17"/>
                <w:color w:val="auto"/>
              </w:rPr>
            </w:pPr>
          </w:p>
        </w:tc>
        <w:tc>
          <w:tcPr>
            <w:tcW w:w="266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6"/>
          </w:tcPr>
          <w:p>
            <w:pPr>
              <w:spacing w:after="0"/>
              <w:rPr>
                <w:rFonts w:ascii="Arial" w:cs="Arial" w:eastAsia="Arial" w:hAnsi="Arial"/>
                <w:sz w:val="18"/>
                <w:szCs w:val="18"/>
                <w:color w:val="0000EE"/>
                <w:w w:val="94"/>
              </w:rPr>
            </w:pPr>
            <w:hyperlink w:anchor="page5">
              <w:r>
                <w:rPr>
                  <w:rFonts w:ascii="Arial" w:cs="Arial" w:eastAsia="Arial" w:hAnsi="Arial"/>
                  <w:sz w:val="18"/>
                  <w:szCs w:val="18"/>
                  <w:color w:val="0000EE"/>
                  <w:w w:val="94"/>
                </w:rPr>
                <w:t>Unaudited Condensed Consolidated Statements of Comprehensive Income for the three months ended May 4, 2013 and April 28, 2012</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480" w:type="dxa"/>
            <w:vAlign w:val="bottom"/>
            <w:tcBorders>
              <w:top w:val="single" w:sz="8" w:color="0000EE"/>
            </w:tcBorders>
            <w:gridSpan w:val="15"/>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three months ended May 4, 2013 and</w:t>
              </w:r>
            </w:hyperlink>
          </w:p>
        </w:tc>
        <w:tc>
          <w:tcPr>
            <w:tcW w:w="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4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91"/>
              </w:rPr>
            </w:pPr>
            <w:hyperlink w:anchor="page6">
              <w:r>
                <w:rPr>
                  <w:rFonts w:ascii="Arial" w:cs="Arial" w:eastAsia="Arial" w:hAnsi="Arial"/>
                  <w:sz w:val="18"/>
                  <w:szCs w:val="18"/>
                  <w:color w:val="0000EE"/>
                  <w:w w:val="91"/>
                </w:rPr>
                <w:t>April 28, 2012</w:t>
              </w:r>
            </w:hyperlink>
          </w:p>
        </w:tc>
        <w:tc>
          <w:tcPr>
            <w:tcW w:w="6520" w:type="dxa"/>
            <w:vAlign w:val="bottom"/>
            <w:tcBorders>
              <w:top w:val="single" w:sz="8" w:color="0000EE"/>
            </w:tcBorders>
            <w:gridSpan w:val="10"/>
          </w:tcPr>
          <w:p>
            <w:pPr>
              <w:spacing w:after="0"/>
              <w:rPr>
                <w:sz w:val="17"/>
                <w:szCs w:val="17"/>
                <w:color w:val="auto"/>
              </w:rPr>
            </w:pPr>
          </w:p>
        </w:tc>
        <w:tc>
          <w:tcPr>
            <w:tcW w:w="260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548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6"/>
          </w:tcPr>
          <w:p>
            <w:pPr>
              <w:spacing w:after="0"/>
              <w:rPr>
                <w:rFonts w:ascii="Arial" w:cs="Arial" w:eastAsia="Arial" w:hAnsi="Arial"/>
                <w:sz w:val="18"/>
                <w:szCs w:val="18"/>
                <w:color w:val="0000EE"/>
              </w:rPr>
            </w:pPr>
            <w:hyperlink w:anchor="page22">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9"/>
              </w:rPr>
            </w:pPr>
            <w:hyperlink w:anchor="page2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4"/>
                <w:szCs w:val="24"/>
                <w:color w:val="auto"/>
              </w:rPr>
            </w:pPr>
          </w:p>
        </w:tc>
        <w:tc>
          <w:tcPr>
            <w:tcW w:w="38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60" w:type="dxa"/>
            <w:vAlign w:val="bottom"/>
            <w:gridSpan w:val="16"/>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343"/>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26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420" w:type="dxa"/>
            <w:vAlign w:val="bottom"/>
            <w:gridSpan w:val="9"/>
          </w:tcPr>
          <w:p>
            <w:pPr>
              <w:ind w:left="188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6"/>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60" w:type="dxa"/>
            <w:vAlign w:val="bottom"/>
            <w:gridSpan w:val="16"/>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Risk Factors</w:t>
              </w:r>
            </w:hyperlink>
          </w:p>
        </w:tc>
        <w:tc>
          <w:tcPr>
            <w:tcW w:w="8860" w:type="dxa"/>
            <w:vAlign w:val="bottom"/>
            <w:gridSpan w:val="11"/>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5"/>
          </w:tcPr>
          <w:p>
            <w:pPr>
              <w:spacing w:after="0" w:line="20" w:lineRule="exact"/>
              <w:rPr>
                <w:sz w:val="1"/>
                <w:szCs w:val="1"/>
                <w:color w:val="auto"/>
              </w:rPr>
            </w:pPr>
          </w:p>
        </w:tc>
        <w:tc>
          <w:tcPr>
            <w:tcW w:w="592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6"/>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8"/>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Exhibits</w:t>
              </w:r>
            </w:hyperlink>
          </w:p>
        </w:tc>
        <w:tc>
          <w:tcPr>
            <w:tcW w:w="5920" w:type="dxa"/>
            <w:vAlign w:val="bottom"/>
            <w:gridSpan w:val="8"/>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6">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5"/>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40" w:type="dxa"/>
            <w:vAlign w:val="bottom"/>
            <w:gridSpan w:val="18"/>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220" w:type="dxa"/>
            <w:vAlign w:val="bottom"/>
            <w:gridSpan w:val="10"/>
          </w:tcPr>
          <w:p>
            <w:pPr>
              <w:jc w:val="right"/>
              <w:ind w:right="1420"/>
              <w:spacing w:after="0"/>
              <w:rPr>
                <w:sz w:val="20"/>
                <w:szCs w:val="20"/>
                <w:color w:val="auto"/>
              </w:rPr>
            </w:pPr>
            <w:r>
              <w:rPr>
                <w:rFonts w:ascii="Arial" w:cs="Arial" w:eastAsia="Arial" w:hAnsi="Arial"/>
                <w:sz w:val="18"/>
                <w:szCs w:val="18"/>
                <w:color w:val="auto"/>
              </w:rPr>
              <w:t>1</w:t>
            </w:r>
          </w:p>
        </w:tc>
        <w:tc>
          <w:tcPr>
            <w:tcW w:w="2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420" w:type="dxa"/>
            <w:vAlign w:val="bottom"/>
            <w:gridSpan w:val="2"/>
          </w:tcPr>
          <w:p>
            <w:pPr>
              <w:spacing w:after="0"/>
              <w:rPr>
                <w:sz w:val="20"/>
                <w:szCs w:val="20"/>
                <w:color w:val="auto"/>
              </w:rPr>
            </w:pPr>
            <w:r>
              <w:rPr>
                <w:rFonts w:ascii="Arial" w:cs="Arial" w:eastAsia="Arial" w:hAnsi="Arial"/>
                <w:sz w:val="18"/>
                <w:szCs w:val="18"/>
                <w:b w:val="1"/>
                <w:bCs w:val="1"/>
                <w:color w:val="auto"/>
              </w:rPr>
              <w:t>PART I: FINANCIAL INFORMATION</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7"/>
        </w:trPr>
        <w:tc>
          <w:tcPr>
            <w:tcW w:w="780" w:type="dxa"/>
            <w:vAlign w:val="bottom"/>
          </w:tcPr>
          <w:p>
            <w:pPr>
              <w:spacing w:after="0"/>
              <w:rPr>
                <w:sz w:val="20"/>
                <w:szCs w:val="20"/>
                <w:color w:val="auto"/>
              </w:rPr>
            </w:pPr>
            <w:r>
              <w:rPr>
                <w:rFonts w:ascii="Arial" w:cs="Arial" w:eastAsia="Arial" w:hAnsi="Arial"/>
                <w:sz w:val="18"/>
                <w:szCs w:val="18"/>
                <w:b w:val="1"/>
                <w:bCs w:val="1"/>
                <w:color w:val="auto"/>
              </w:rPr>
              <w:t>Item 1.</w:t>
            </w:r>
          </w:p>
        </w:tc>
        <w:tc>
          <w:tcPr>
            <w:tcW w:w="8640" w:type="dxa"/>
            <w:vAlign w:val="bottom"/>
          </w:tcPr>
          <w:p>
            <w:pPr>
              <w:ind w:left="260"/>
              <w:spacing w:after="0"/>
              <w:rPr>
                <w:sz w:val="20"/>
                <w:szCs w:val="20"/>
                <w:color w:val="auto"/>
              </w:rPr>
            </w:pPr>
            <w:r>
              <w:rPr>
                <w:rFonts w:ascii="Arial" w:cs="Arial" w:eastAsia="Arial" w:hAnsi="Arial"/>
                <w:sz w:val="18"/>
                <w:szCs w:val="18"/>
                <w:b w:val="1"/>
                <w:bCs w:val="1"/>
                <w:i w:val="1"/>
                <w:iCs w:val="1"/>
                <w:color w:val="auto"/>
              </w:rPr>
              <w:t>Financial Statements</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6"/>
        </w:trPr>
        <w:tc>
          <w:tcPr>
            <w:tcW w:w="780" w:type="dxa"/>
            <w:vAlign w:val="bottom"/>
          </w:tcPr>
          <w:p>
            <w:pPr>
              <w:spacing w:after="0"/>
              <w:rPr>
                <w:sz w:val="24"/>
                <w:szCs w:val="24"/>
                <w:color w:val="auto"/>
              </w:rPr>
            </w:pPr>
          </w:p>
        </w:tc>
        <w:tc>
          <w:tcPr>
            <w:tcW w:w="8640" w:type="dxa"/>
            <w:vAlign w:val="bottom"/>
          </w:tcPr>
          <w:p>
            <w:pPr>
              <w:jc w:val="center"/>
              <w:ind w:left="1152"/>
              <w:spacing w:after="0"/>
              <w:rPr>
                <w:sz w:val="20"/>
                <w:szCs w:val="20"/>
                <w:color w:val="auto"/>
              </w:rPr>
            </w:pPr>
            <w:r>
              <w:rPr>
                <w:rFonts w:ascii="Arial" w:cs="Arial" w:eastAsia="Arial" w:hAnsi="Arial"/>
                <w:sz w:val="18"/>
                <w:szCs w:val="18"/>
                <w:b w:val="1"/>
                <w:bCs w:val="1"/>
                <w:color w:val="auto"/>
                <w:w w:val="99"/>
              </w:rPr>
              <w:t>MARVELL TECHNOLOGY GROUP LTD.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780" w:type="dxa"/>
            <w:vAlign w:val="bottom"/>
          </w:tcPr>
          <w:p>
            <w:pPr>
              <w:spacing w:after="0"/>
              <w:rPr>
                <w:sz w:val="18"/>
                <w:szCs w:val="18"/>
                <w:color w:val="auto"/>
              </w:rPr>
            </w:pPr>
          </w:p>
        </w:tc>
        <w:tc>
          <w:tcPr>
            <w:tcW w:w="8640" w:type="dxa"/>
            <w:vAlign w:val="bottom"/>
          </w:tcPr>
          <w:p>
            <w:pPr>
              <w:jc w:val="center"/>
              <w:ind w:left="113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780" w:type="dxa"/>
            <w:vAlign w:val="bottom"/>
          </w:tcPr>
          <w:p>
            <w:pPr>
              <w:spacing w:after="0"/>
              <w:rPr>
                <w:sz w:val="19"/>
                <w:szCs w:val="19"/>
                <w:color w:val="auto"/>
              </w:rPr>
            </w:pPr>
          </w:p>
        </w:tc>
        <w:tc>
          <w:tcPr>
            <w:tcW w:w="8640" w:type="dxa"/>
            <w:vAlign w:val="bottom"/>
          </w:tcPr>
          <w:p>
            <w:pPr>
              <w:jc w:val="center"/>
              <w:ind w:left="1152"/>
              <w:spacing w:after="0"/>
              <w:rPr>
                <w:sz w:val="20"/>
                <w:szCs w:val="20"/>
                <w:color w:val="auto"/>
              </w:rPr>
            </w:pPr>
            <w:r>
              <w:rPr>
                <w:rFonts w:ascii="Arial" w:cs="Arial" w:eastAsia="Arial" w:hAnsi="Arial"/>
                <w:sz w:val="18"/>
                <w:szCs w:val="18"/>
                <w:b w:val="1"/>
                <w:bCs w:val="1"/>
                <w:color w:val="auto"/>
                <w:w w:val="87"/>
              </w:rPr>
              <w:t>(In thousands)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0"/>
        </w:trPr>
        <w:tc>
          <w:tcPr>
            <w:tcW w:w="780" w:type="dxa"/>
            <w:vAlign w:val="bottom"/>
          </w:tcPr>
          <w:p>
            <w:pPr>
              <w:spacing w:after="0"/>
              <w:rPr>
                <w:sz w:val="24"/>
                <w:szCs w:val="24"/>
                <w:color w:val="auto"/>
              </w:rPr>
            </w:pPr>
          </w:p>
        </w:tc>
        <w:tc>
          <w:tcPr>
            <w:tcW w:w="8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4,</w:t>
            </w:r>
          </w:p>
        </w:tc>
        <w:tc>
          <w:tcPr>
            <w:tcW w:w="140" w:type="dxa"/>
            <w:vAlign w:val="bottom"/>
          </w:tcPr>
          <w:p>
            <w:pPr>
              <w:spacing w:after="0"/>
              <w:rPr>
                <w:sz w:val="24"/>
                <w:szCs w:val="2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780" w:type="dxa"/>
            <w:vAlign w:val="bottom"/>
            <w:tcBorders>
              <w:bottom w:val="single" w:sz="8" w:color="CCEEFF"/>
            </w:tcBorders>
          </w:tcPr>
          <w:p>
            <w:pPr>
              <w:spacing w:after="0"/>
              <w:rPr>
                <w:sz w:val="14"/>
                <w:szCs w:val="14"/>
                <w:color w:val="auto"/>
              </w:rPr>
            </w:pPr>
          </w:p>
        </w:tc>
        <w:tc>
          <w:tcPr>
            <w:tcW w:w="86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2013</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0" w:type="dxa"/>
            <w:vAlign w:val="bottom"/>
            <w:shd w:val="clear" w:color="auto" w:fill="CCEEFF"/>
          </w:tcPr>
          <w:p>
            <w:pPr>
              <w:spacing w:after="0"/>
              <w:rPr>
                <w:sz w:val="17"/>
                <w:szCs w:val="17"/>
                <w:color w:val="auto"/>
              </w:rPr>
            </w:pPr>
          </w:p>
        </w:tc>
        <w:tc>
          <w:tcPr>
            <w:tcW w:w="8640" w:type="dxa"/>
            <w:vAlign w:val="bottom"/>
            <w:shd w:val="clear" w:color="auto" w:fill="CCEEFF"/>
          </w:tcPr>
          <w:p>
            <w:pPr>
              <w:ind w:left="350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594,420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1,138,223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370,350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270,652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70,853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77,282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8,416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18"/>
                <w:szCs w:val="18"/>
                <w:color w:val="auto"/>
              </w:rPr>
            </w:pPr>
          </w:p>
        </w:tc>
        <w:tc>
          <w:tcPr>
            <w:tcW w:w="86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2,452,914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384,612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387,027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16,550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0" w:type="dxa"/>
            <w:vAlign w:val="bottom"/>
          </w:tcPr>
          <w:p>
            <w:pPr>
              <w:spacing w:after="0"/>
              <w:rPr>
                <w:sz w:val="20"/>
                <w:szCs w:val="20"/>
                <w:color w:val="auto"/>
              </w:rPr>
            </w:pPr>
            <w:r>
              <w:rPr>
                <w:rFonts w:ascii="Arial" w:cs="Arial" w:eastAsia="Arial" w:hAnsi="Arial"/>
                <w:sz w:val="18"/>
                <w:szCs w:val="18"/>
                <w:color w:val="auto"/>
              </w:rPr>
              <w:t>Goodwill</w:t>
            </w:r>
          </w:p>
        </w:tc>
        <w:tc>
          <w:tcPr>
            <w:tcW w:w="8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2,032,538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2,032,138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82,355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152,198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18"/>
                <w:szCs w:val="18"/>
                <w:color w:val="auto"/>
              </w:rPr>
            </w:pPr>
          </w:p>
        </w:tc>
        <w:tc>
          <w:tcPr>
            <w:tcW w:w="86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5,121,167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0" w:type="dxa"/>
            <w:vAlign w:val="bottom"/>
          </w:tcPr>
          <w:p>
            <w:pPr>
              <w:spacing w:after="0" w:line="20" w:lineRule="exact"/>
              <w:rPr>
                <w:sz w:val="1"/>
                <w:szCs w:val="1"/>
                <w:color w:val="auto"/>
              </w:rPr>
            </w:pPr>
          </w:p>
        </w:tc>
        <w:tc>
          <w:tcPr>
            <w:tcW w:w="8640" w:type="dxa"/>
            <w:vAlign w:val="bottom"/>
            <w:vMerge w:val="restart"/>
          </w:tcPr>
          <w:p>
            <w:pPr>
              <w:ind w:left="192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80" w:type="dxa"/>
            <w:vAlign w:val="bottom"/>
          </w:tcPr>
          <w:p>
            <w:pPr>
              <w:spacing w:after="0"/>
              <w:rPr>
                <w:sz w:val="18"/>
                <w:szCs w:val="18"/>
                <w:color w:val="auto"/>
              </w:rPr>
            </w:pPr>
          </w:p>
        </w:tc>
        <w:tc>
          <w:tcPr>
            <w:tcW w:w="86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307,393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124,814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121,618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117,195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59,270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80" w:type="dxa"/>
            <w:vAlign w:val="bottom"/>
          </w:tcPr>
          <w:p>
            <w:pPr>
              <w:spacing w:after="0"/>
              <w:rPr>
                <w:sz w:val="19"/>
                <w:szCs w:val="19"/>
                <w:color w:val="auto"/>
              </w:rPr>
            </w:pPr>
          </w:p>
        </w:tc>
        <w:tc>
          <w:tcPr>
            <w:tcW w:w="8640" w:type="dxa"/>
            <w:vAlign w:val="bottom"/>
          </w:tcPr>
          <w:p>
            <w:pPr>
              <w:ind w:left="10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613,095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102,403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gridSpan w:val="2"/>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53,228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56,410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18"/>
                <w:szCs w:val="18"/>
                <w:color w:val="auto"/>
              </w:rPr>
            </w:pPr>
          </w:p>
        </w:tc>
        <w:tc>
          <w:tcPr>
            <w:tcW w:w="86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768,726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spacing w:after="0"/>
              <w:rPr>
                <w:sz w:val="20"/>
                <w:szCs w:val="20"/>
                <w:color w:val="auto"/>
              </w:rPr>
            </w:pPr>
            <w:r>
              <w:rPr>
                <w:rFonts w:ascii="Arial" w:cs="Arial" w:eastAsia="Arial" w:hAnsi="Arial"/>
                <w:sz w:val="18"/>
                <w:szCs w:val="18"/>
                <w:color w:val="auto"/>
              </w:rPr>
              <w:t>Commitments and contingencies (Note 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988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2,789,534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2,176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1,559,743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80" w:type="dxa"/>
            <w:vAlign w:val="bottom"/>
          </w:tcPr>
          <w:p>
            <w:pPr>
              <w:spacing w:after="0"/>
              <w:rPr>
                <w:sz w:val="20"/>
                <w:szCs w:val="20"/>
                <w:color w:val="auto"/>
              </w:rPr>
            </w:pPr>
          </w:p>
        </w:tc>
        <w:tc>
          <w:tcPr>
            <w:tcW w:w="8640" w:type="dxa"/>
            <w:vAlign w:val="bottom"/>
          </w:tcPr>
          <w:p>
            <w:pPr>
              <w:ind w:left="10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4,352,441</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18"/>
                <w:szCs w:val="18"/>
                <w:color w:val="auto"/>
              </w:rPr>
            </w:pPr>
          </w:p>
        </w:tc>
        <w:tc>
          <w:tcPr>
            <w:tcW w:w="86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5,121,167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0" w:type="dxa"/>
            <w:vAlign w:val="bottom"/>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80" w:type="dxa"/>
            <w:vAlign w:val="bottom"/>
            <w:gridSpan w:val="5"/>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6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98"/>
              </w:rPr>
              <w:t>May 4,</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6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3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734,369</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796,351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335,438</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366,322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279,052</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255,970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39,989</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26,323</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25,705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10,686</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64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691,488</w:t>
            </w:r>
          </w:p>
        </w:tc>
        <w:tc>
          <w:tcPr>
            <w:tcW w:w="34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702,418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42,881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93,933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3,160</w:t>
            </w:r>
          </w:p>
        </w:tc>
        <w:tc>
          <w:tcPr>
            <w:tcW w:w="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46,041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94,990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80" w:type="dxa"/>
            <w:vAlign w:val="bottom"/>
          </w:tcPr>
          <w:p>
            <w:pPr>
              <w:spacing w:after="0"/>
              <w:rPr>
                <w:sz w:val="19"/>
                <w:szCs w:val="19"/>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(7,168)</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53,209</w:t>
            </w:r>
          </w:p>
        </w:tc>
        <w:tc>
          <w:tcPr>
            <w:tcW w:w="3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94,543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640" w:type="dxa"/>
            <w:vAlign w:val="bottom"/>
            <w:vMerge w:val="continue"/>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34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502,180</w:t>
            </w:r>
          </w:p>
        </w:tc>
        <w:tc>
          <w:tcPr>
            <w:tcW w:w="34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580,024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505,387</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594,739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580" w:type="dxa"/>
            <w:vAlign w:val="bottom"/>
            <w:gridSpan w:val="5"/>
          </w:tcPr>
          <w:p>
            <w:pPr>
              <w:jc w:val="right"/>
              <w:ind w:right="22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7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rPr>
              <w:t>May 4,</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318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c>
          <w:tcPr>
            <w:tcW w:w="700" w:type="dxa"/>
            <w:vAlign w:val="bottom"/>
            <w:gridSpan w:val="2"/>
          </w:tcPr>
          <w:p>
            <w:pPr>
              <w:jc w:val="right"/>
              <w:ind w:right="59"/>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26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$53,209</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$94,543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2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33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1,052</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3380" w:type="dxa"/>
            <w:vAlign w:val="bottom"/>
            <w:gridSpan w:val="3"/>
          </w:tcPr>
          <w:p>
            <w:pPr>
              <w:jc w:val="right"/>
              <w:ind w:right="200"/>
              <w:spacing w:after="0"/>
              <w:rPr>
                <w:sz w:val="20"/>
                <w:szCs w:val="20"/>
                <w:color w:val="auto"/>
              </w:rPr>
            </w:pPr>
            <w:r>
              <w:rPr>
                <w:rFonts w:ascii="Arial" w:cs="Arial" w:eastAsia="Arial" w:hAnsi="Arial"/>
                <w:sz w:val="18"/>
                <w:szCs w:val="18"/>
                <w:color w:val="auto"/>
              </w:rPr>
              <w:t>81</w:t>
            </w:r>
          </w:p>
        </w:tc>
        <w:tc>
          <w:tcPr>
            <w:tcW w:w="120" w:type="dxa"/>
            <w:vAlign w:val="bottom"/>
          </w:tcPr>
          <w:p>
            <w:pPr>
              <w:spacing w:after="0"/>
              <w:rPr>
                <w:sz w:val="18"/>
                <w:szCs w:val="18"/>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26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net</w:t>
            </w:r>
          </w:p>
        </w:tc>
        <w:tc>
          <w:tcPr>
            <w:tcW w:w="26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220" w:type="dxa"/>
            <w:vAlign w:val="bottom"/>
            <w:vMerge w:val="continue"/>
          </w:tcPr>
          <w:p>
            <w:pPr>
              <w:spacing w:after="0"/>
              <w:rPr>
                <w:sz w:val="19"/>
                <w:szCs w:val="19"/>
                <w:color w:val="auto"/>
              </w:rPr>
            </w:pPr>
          </w:p>
        </w:tc>
        <w:tc>
          <w:tcPr>
            <w:tcW w:w="26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1,028</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1,541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220" w:type="dxa"/>
            <w:vAlign w:val="bottom"/>
          </w:tcPr>
          <w:p>
            <w:pPr>
              <w:spacing w:after="0"/>
              <w:rPr>
                <w:sz w:val="2"/>
                <w:szCs w:val="2"/>
                <w:color w:val="auto"/>
              </w:rPr>
            </w:pPr>
          </w:p>
        </w:tc>
        <w:tc>
          <w:tcPr>
            <w:tcW w:w="26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33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54,237</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96,084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5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rPr>
              <w:t>May 4,</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33"/>
              <w:spacing w:after="0" w:line="129" w:lineRule="exact"/>
              <w:rPr>
                <w:sz w:val="20"/>
                <w:szCs w:val="20"/>
                <w:color w:val="auto"/>
              </w:rPr>
            </w:pPr>
            <w:r>
              <w:rPr>
                <w:rFonts w:ascii="Arial" w:cs="Arial" w:eastAsia="Arial" w:hAnsi="Arial"/>
                <w:sz w:val="14"/>
                <w:szCs w:val="14"/>
                <w:b w:val="1"/>
                <w:bCs w:val="1"/>
                <w:color w:val="auto"/>
                <w:w w:val="90"/>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5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52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53,209</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94,543</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52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24,966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21,199</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33,513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27,192</w:t>
            </w:r>
          </w:p>
        </w:tc>
        <w:tc>
          <w:tcPr>
            <w:tcW w:w="0" w:type="dxa"/>
            <w:vAlign w:val="bottom"/>
          </w:tcPr>
          <w:p>
            <w:pPr>
              <w:spacing w:after="0"/>
              <w:rPr>
                <w:sz w:val="1"/>
                <w:szCs w:val="1"/>
                <w:color w:val="auto"/>
              </w:rPr>
            </w:pPr>
          </w:p>
        </w:tc>
      </w:tr>
      <w:tr>
        <w:trPr>
          <w:trHeight w:val="216"/>
        </w:trPr>
        <w:tc>
          <w:tcPr>
            <w:tcW w:w="952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10,686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14,355</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2,903</w:t>
            </w:r>
          </w:p>
        </w:tc>
        <w:tc>
          <w:tcPr>
            <w:tcW w:w="0" w:type="dxa"/>
            <w:vAlign w:val="bottom"/>
          </w:tcPr>
          <w:p>
            <w:pPr>
              <w:spacing w:after="0"/>
              <w:rPr>
                <w:sz w:val="1"/>
                <w:szCs w:val="1"/>
                <w:color w:val="auto"/>
              </w:rPr>
            </w:pPr>
          </w:p>
        </w:tc>
      </w:tr>
      <w:tr>
        <w:trPr>
          <w:trHeight w:val="216"/>
        </w:trPr>
        <w:tc>
          <w:tcPr>
            <w:tcW w:w="952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52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(40,112)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(10,119)</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(20,123)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201</w:t>
            </w:r>
          </w:p>
        </w:tc>
        <w:tc>
          <w:tcPr>
            <w:tcW w:w="0" w:type="dxa"/>
            <w:vAlign w:val="bottom"/>
          </w:tcPr>
          <w:p>
            <w:pPr>
              <w:spacing w:after="0"/>
              <w:rPr>
                <w:sz w:val="1"/>
                <w:szCs w:val="1"/>
                <w:color w:val="auto"/>
              </w:rPr>
            </w:pPr>
          </w:p>
        </w:tc>
      </w:tr>
      <w:tr>
        <w:trPr>
          <w:trHeight w:val="216"/>
        </w:trPr>
        <w:tc>
          <w:tcPr>
            <w:tcW w:w="952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6,802</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4,242</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28,936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21,249</w:t>
            </w:r>
          </w:p>
        </w:tc>
        <w:tc>
          <w:tcPr>
            <w:tcW w:w="0" w:type="dxa"/>
            <w:vAlign w:val="bottom"/>
          </w:tcPr>
          <w:p>
            <w:pPr>
              <w:spacing w:after="0"/>
              <w:rPr>
                <w:sz w:val="1"/>
                <w:szCs w:val="1"/>
                <w:color w:val="auto"/>
              </w:rPr>
            </w:pPr>
          </w:p>
        </w:tc>
      </w:tr>
      <w:tr>
        <w:trPr>
          <w:trHeight w:val="216"/>
        </w:trPr>
        <w:tc>
          <w:tcPr>
            <w:tcW w:w="952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(20,081)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18,143</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(648)</w:t>
            </w:r>
          </w:p>
        </w:tc>
        <w:tc>
          <w:tcPr>
            <w:tcW w:w="0" w:type="dxa"/>
            <w:vAlign w:val="bottom"/>
          </w:tcPr>
          <w:p>
            <w:pPr>
              <w:spacing w:after="0"/>
              <w:rPr>
                <w:sz w:val="1"/>
                <w:szCs w:val="1"/>
                <w:color w:val="auto"/>
              </w:rPr>
            </w:pPr>
          </w:p>
        </w:tc>
      </w:tr>
      <w:tr>
        <w:trPr>
          <w:trHeight w:val="223"/>
        </w:trPr>
        <w:tc>
          <w:tcPr>
            <w:tcW w:w="952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(880)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5,454</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83,855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198,673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52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(306,838)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(421,652)</w:t>
            </w:r>
          </w:p>
        </w:tc>
        <w:tc>
          <w:tcPr>
            <w:tcW w:w="0" w:type="dxa"/>
            <w:vAlign w:val="bottom"/>
          </w:tcPr>
          <w:p>
            <w:pPr>
              <w:spacing w:after="0"/>
              <w:rPr>
                <w:sz w:val="1"/>
                <w:szCs w:val="1"/>
                <w:color w:val="auto"/>
              </w:rPr>
            </w:pPr>
          </w:p>
        </w:tc>
      </w:tr>
      <w:tr>
        <w:trPr>
          <w:trHeight w:val="216"/>
        </w:trPr>
        <w:tc>
          <w:tcPr>
            <w:tcW w:w="952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335,771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558,777</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952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(2,551)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(5,860)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(2,045)</w:t>
            </w:r>
          </w:p>
        </w:tc>
        <w:tc>
          <w:tcPr>
            <w:tcW w:w="0" w:type="dxa"/>
            <w:vAlign w:val="bottom"/>
          </w:tcPr>
          <w:p>
            <w:pPr>
              <w:spacing w:after="0"/>
              <w:rPr>
                <w:sz w:val="1"/>
                <w:szCs w:val="1"/>
                <w:color w:val="auto"/>
              </w:rPr>
            </w:pPr>
          </w:p>
        </w:tc>
      </w:tr>
      <w:tr>
        <w:trPr>
          <w:trHeight w:val="223"/>
        </w:trPr>
        <w:tc>
          <w:tcPr>
            <w:tcW w:w="952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9"/>
                <w:szCs w:val="19"/>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(20,080)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(18,904)</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investing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111,176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52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(216,694)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(223,157)</w:t>
            </w:r>
          </w:p>
        </w:tc>
        <w:tc>
          <w:tcPr>
            <w:tcW w:w="0" w:type="dxa"/>
            <w:vAlign w:val="bottom"/>
          </w:tcPr>
          <w:p>
            <w:pPr>
              <w:spacing w:after="0"/>
              <w:rPr>
                <w:sz w:val="1"/>
                <w:szCs w:val="1"/>
                <w:color w:val="auto"/>
              </w:rPr>
            </w:pPr>
          </w:p>
        </w:tc>
      </w:tr>
      <w:tr>
        <w:trPr>
          <w:trHeight w:val="216"/>
        </w:trPr>
        <w:tc>
          <w:tcPr>
            <w:tcW w:w="952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19,805</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17,803</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(9,378)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(8,879)</w:t>
            </w:r>
          </w:p>
        </w:tc>
        <w:tc>
          <w:tcPr>
            <w:tcW w:w="0" w:type="dxa"/>
            <w:vAlign w:val="bottom"/>
          </w:tcPr>
          <w:p>
            <w:pPr>
              <w:spacing w:after="0"/>
              <w:rPr>
                <w:sz w:val="1"/>
                <w:szCs w:val="1"/>
                <w:color w:val="auto"/>
              </w:rPr>
            </w:pPr>
          </w:p>
        </w:tc>
      </w:tr>
      <w:tr>
        <w:trPr>
          <w:trHeight w:val="216"/>
        </w:trPr>
        <w:tc>
          <w:tcPr>
            <w:tcW w:w="952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(30,253)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9520" w:type="dxa"/>
            <w:vAlign w:val="bottom"/>
          </w:tcPr>
          <w:p>
            <w:pPr>
              <w:ind w:left="44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(241,830)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(214,192)</w:t>
            </w:r>
          </w:p>
        </w:tc>
        <w:tc>
          <w:tcPr>
            <w:tcW w:w="0" w:type="dxa"/>
            <w:vAlign w:val="bottom"/>
          </w:tcPr>
          <w:p>
            <w:pPr>
              <w:spacing w:after="0"/>
              <w:rPr>
                <w:sz w:val="1"/>
                <w:szCs w:val="1"/>
                <w:color w:val="auto"/>
              </w:rPr>
            </w:pPr>
          </w:p>
        </w:tc>
      </w:tr>
      <w:tr>
        <w:trPr>
          <w:trHeight w:val="20"/>
        </w:trPr>
        <w:tc>
          <w:tcPr>
            <w:tcW w:w="9520" w:type="dxa"/>
            <w:vAlign w:val="bottom"/>
            <w:vMerge w:val="restart"/>
          </w:tcPr>
          <w:p>
            <w:pPr>
              <w:spacing w:after="0"/>
              <w:rPr>
                <w:sz w:val="20"/>
                <w:szCs w:val="20"/>
                <w:color w:val="auto"/>
              </w:rPr>
            </w:pPr>
            <w:r>
              <w:rPr>
                <w:rFonts w:ascii="Arial" w:cs="Arial" w:eastAsia="Arial" w:hAnsi="Arial"/>
                <w:sz w:val="18"/>
                <w:szCs w:val="18"/>
                <w:color w:val="auto"/>
              </w:rPr>
              <w:t>Net (decrease) increase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52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w w:val="88"/>
              </w:rPr>
              <w:t>(157,533)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95,657</w:t>
            </w:r>
          </w:p>
        </w:tc>
        <w:tc>
          <w:tcPr>
            <w:tcW w:w="0" w:type="dxa"/>
            <w:vAlign w:val="bottom"/>
          </w:tcPr>
          <w:p>
            <w:pPr>
              <w:spacing w:after="0"/>
              <w:rPr>
                <w:sz w:val="1"/>
                <w:szCs w:val="1"/>
                <w:color w:val="auto"/>
              </w:rPr>
            </w:pPr>
          </w:p>
        </w:tc>
      </w:tr>
      <w:tr>
        <w:trPr>
          <w:trHeight w:val="218"/>
        </w:trPr>
        <w:tc>
          <w:tcPr>
            <w:tcW w:w="95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52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594,420</w:t>
            </w:r>
          </w:p>
        </w:tc>
        <w:tc>
          <w:tcPr>
            <w:tcW w:w="18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880,559</w:t>
            </w:r>
          </w:p>
        </w:tc>
        <w:tc>
          <w:tcPr>
            <w:tcW w:w="0" w:type="dxa"/>
            <w:vAlign w:val="bottom"/>
          </w:tcPr>
          <w:p>
            <w:pPr>
              <w:spacing w:after="0"/>
              <w:rPr>
                <w:sz w:val="1"/>
                <w:szCs w:val="1"/>
                <w:color w:val="auto"/>
              </w:rPr>
            </w:pPr>
          </w:p>
        </w:tc>
      </w:tr>
      <w:tr>
        <w:trPr>
          <w:trHeight w:val="20"/>
        </w:trPr>
        <w:tc>
          <w:tcPr>
            <w:tcW w:w="9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2014 has a 52-week period and fiscal 2013 had a 53-week period.</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May 4, 2013, the results of its operations for the three months ended May 4, 2013 and April 28, 2012, and its cash flows for the three months ended May 4, 2013 and April 28, 2012. The February 2, 2013 condensed consolidated balance sheet data was derived from the audited consolidated financial statements included in the Company’s Annual Report on Form 10-K for the fiscal year ended February 2, 2013, but does not include all disclosures required for annual periods.</w:t>
      </w:r>
    </w:p>
    <w:p>
      <w:pPr>
        <w:spacing w:after="0" w:line="118" w:lineRule="exact"/>
        <w:rPr>
          <w:sz w:val="20"/>
          <w:szCs w:val="20"/>
          <w:color w:val="auto"/>
        </w:rPr>
      </w:pPr>
    </w:p>
    <w:p>
      <w:pPr>
        <w:jc w:val="both"/>
        <w:ind w:right="40"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2, 2013 as filed on March 29, 2013 with the Securities and Exchange Commission. The results of operations for the three months ended May 4, 2013 are not necessarily indicative of the results that may be expected for any other interim period or for the full fiscal year.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adopted the new accounting standard regarding the testing of indefinite-lived intangible assets for impairment at the beginning of fiscal 2014.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The adoption of this guidance had no impact on the Company’s financial statements.</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adopted the new accounting standard regarding the reporting of amounts reclassified out of accumulated other comprehensive income. The amendments require an entity to provide information about the amounts reclassified out of accumulated other comprehensive income by component. In addition, an entity is required to present, either in the financial statements or in the notes, significant amounts reclassified out of accumulated other comprehensive income by the respective line items of net income. The Company elected to disclose the information in the Notes to Unaudited Condensed Consolidated Financial Statements beginning in fiscal 2014.</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As of May 4,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568,858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3,724</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572,447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330,362</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226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330,570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138,000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76,669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57</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10,221</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1,134,429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(226)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1,138,223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414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(2,600)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16,550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(2,600)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20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1,153,579</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4,020</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(2,826)</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1,154,773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3"/>
              </w:rPr>
              <w:t>As of February 2,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577,120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318,226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76,629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1,164,295</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3,194</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(452)</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4540" w:type="dxa"/>
            <w:vAlign w:val="bottom"/>
          </w:tcPr>
          <w:p>
            <w:pPr>
              <w:spacing w:after="0"/>
              <w:rPr>
                <w:sz w:val="9"/>
                <w:szCs w:val="9"/>
                <w:color w:val="auto"/>
              </w:rPr>
            </w:pPr>
          </w:p>
        </w:tc>
        <w:tc>
          <w:tcPr>
            <w:tcW w:w="152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(2,681)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19,450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(2,681)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1,183,745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3,194</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(3,133)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As of May 4, 2013, the Company’s investment portfolio included auction rate securities with an aggregate par value of $19.2 million.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May 4, 2013 was $2.6 million less than the par value and was recorded in long-term investments. Based on the Company’s balance of approximately $1.7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May 4, 2013</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February 2, 2013</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4"/>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424,505</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424,901</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519,006</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519,537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697,311</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700,709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627,769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629,991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31,763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29,163</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36,970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1,153,579</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1,154,773</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1,183,745</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vMerge w:val="restart"/>
          </w:tcPr>
          <w:p>
            <w:pPr>
              <w:jc w:val="right"/>
              <w:ind w:right="61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For individual securities that are in an unrealized loss position, the fair value and gross unrealized loss for these securities aggregated by investment category and length of time in an unrealized position are presented in the following tables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9"/>
              </w:rPr>
              <w:t>May 4, 2013</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gridSpan w:val="2"/>
          </w:tcPr>
          <w:p>
            <w:pPr>
              <w:ind w:left="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U.S. govement and agency debt</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95,848</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$ 95,848</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56,856</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(135)</w:t>
            </w:r>
          </w:p>
        </w:tc>
        <w:tc>
          <w:tcPr>
            <w:tcW w:w="80" w:type="dxa"/>
            <w:vAlign w:val="bottom"/>
          </w:tcPr>
          <w:p>
            <w:pPr>
              <w:spacing w:after="0"/>
              <w:rPr>
                <w:sz w:val="18"/>
                <w:szCs w:val="18"/>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56,856</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40,916</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(67)</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40,916</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5,995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w:t>
            </w:r>
          </w:p>
        </w:tc>
        <w:tc>
          <w:tcPr>
            <w:tcW w:w="80" w:type="dxa"/>
            <w:vAlign w:val="bottom"/>
          </w:tcPr>
          <w:p>
            <w:pPr>
              <w:spacing w:after="0"/>
              <w:rPr>
                <w:sz w:val="18"/>
                <w:szCs w:val="18"/>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5,995</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2,571</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2,571</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ind w:right="59"/>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35"/>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16,550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(2,600)</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16,550</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(2,600)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202,186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16,550</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(2,600)</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218,736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(2,826)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59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90"/>
              </w:rPr>
              <w:t>February 2, 2013</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gridSpan w:val="2"/>
          </w:tcPr>
          <w:p>
            <w:pPr>
              <w:ind w:left="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141,915</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$141,915</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Asset backed securities</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43,882</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(64)</w:t>
            </w:r>
          </w:p>
        </w:tc>
        <w:tc>
          <w:tcPr>
            <w:tcW w:w="80" w:type="dxa"/>
            <w:vAlign w:val="bottom"/>
          </w:tcPr>
          <w:p>
            <w:pPr>
              <w:spacing w:after="0"/>
              <w:rPr>
                <w:sz w:val="18"/>
                <w:szCs w:val="18"/>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43,882</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U.S. government and agency debt</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14,677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14,677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4,319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(1)</w:t>
            </w:r>
          </w:p>
        </w:tc>
        <w:tc>
          <w:tcPr>
            <w:tcW w:w="80" w:type="dxa"/>
            <w:vAlign w:val="bottom"/>
          </w:tcPr>
          <w:p>
            <w:pPr>
              <w:spacing w:after="0"/>
              <w:rPr>
                <w:sz w:val="18"/>
                <w:szCs w:val="18"/>
                <w:color w:val="auto"/>
              </w:rPr>
            </w:pPr>
          </w:p>
        </w:tc>
        <w:tc>
          <w:tcPr>
            <w:tcW w:w="8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4,319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16,769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(2,681)</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16,769</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(2,681)</w:t>
            </w:r>
          </w:p>
        </w:tc>
        <w:tc>
          <w:tcPr>
            <w:tcW w:w="0" w:type="dxa"/>
            <w:vAlign w:val="bottom"/>
          </w:tcPr>
          <w:p>
            <w:pPr>
              <w:spacing w:after="0"/>
              <w:rPr>
                <w:sz w:val="1"/>
                <w:szCs w:val="1"/>
                <w:color w:val="auto"/>
              </w:rPr>
            </w:pPr>
          </w:p>
        </w:tc>
      </w:tr>
      <w:tr>
        <w:trPr>
          <w:trHeight w:val="20"/>
        </w:trPr>
        <w:tc>
          <w:tcPr>
            <w:tcW w:w="592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204,793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(452)</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16,769</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(2,681)</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221,562</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(3,133)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5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8"/>
              </w:rPr>
              <w:t>May 4,</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3900" w:type="dxa"/>
            <w:vAlign w:val="bottom"/>
            <w:tcBorders>
              <w:bottom w:val="single" w:sz="8" w:color="CCEEFF"/>
            </w:tcBorders>
          </w:tcPr>
          <w:p>
            <w:pPr>
              <w:spacing w:after="0"/>
              <w:rPr>
                <w:sz w:val="14"/>
                <w:szCs w:val="14"/>
                <w:color w:val="auto"/>
              </w:rPr>
            </w:pPr>
          </w:p>
        </w:tc>
        <w:tc>
          <w:tcPr>
            <w:tcW w:w="266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7"/>
              <w:spacing w:after="0"/>
              <w:rPr>
                <w:sz w:val="20"/>
                <w:szCs w:val="20"/>
                <w:color w:val="auto"/>
              </w:rPr>
            </w:pPr>
            <w:r>
              <w:rPr>
                <w:rFonts w:ascii="Arial" w:cs="Arial" w:eastAsia="Arial" w:hAnsi="Arial"/>
                <w:sz w:val="14"/>
                <w:szCs w:val="14"/>
                <w:b w:val="1"/>
                <w:bCs w:val="1"/>
                <w:color w:val="auto"/>
              </w:rPr>
              <w:t>2013</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2013</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6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2780" w:type="dxa"/>
            <w:vAlign w:val="bottom"/>
            <w:gridSpan w:val="3"/>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179,907</w:t>
            </w:r>
          </w:p>
        </w:tc>
        <w:tc>
          <w:tcPr>
            <w:tcW w:w="280" w:type="dxa"/>
            <w:vAlign w:val="bottom"/>
          </w:tcPr>
          <w:p>
            <w:pPr>
              <w:spacing w:after="0"/>
              <w:rPr>
                <w:sz w:val="18"/>
                <w:szCs w:val="18"/>
                <w:color w:val="auto"/>
              </w:rPr>
            </w:pPr>
          </w:p>
        </w:tc>
        <w:tc>
          <w:tcPr>
            <w:tcW w:w="3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140,805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66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90,745</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8"/>
              </w:rPr>
              <w:t>109,615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Inventories</w:t>
            </w:r>
          </w:p>
        </w:tc>
        <w:tc>
          <w:tcPr>
            <w:tcW w:w="2780" w:type="dxa"/>
            <w:vAlign w:val="bottom"/>
            <w:gridSpan w:val="3"/>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270,652</w:t>
            </w:r>
          </w:p>
        </w:tc>
        <w:tc>
          <w:tcPr>
            <w:tcW w:w="280" w:type="dxa"/>
            <w:vAlign w:val="bottom"/>
          </w:tcPr>
          <w:p>
            <w:pPr>
              <w:spacing w:after="0"/>
              <w:rPr>
                <w:sz w:val="19"/>
                <w:szCs w:val="19"/>
                <w:color w:val="auto"/>
              </w:rPr>
            </w:pPr>
          </w:p>
        </w:tc>
        <w:tc>
          <w:tcPr>
            <w:tcW w:w="3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250,420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2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May 4,</w:t>
            </w: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4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3900" w:type="dxa"/>
            <w:vAlign w:val="bottom"/>
            <w:tcBorders>
              <w:bottom w:val="single" w:sz="8" w:color="CCEEFF"/>
            </w:tcBorders>
          </w:tcPr>
          <w:p>
            <w:pPr>
              <w:spacing w:after="0"/>
              <w:rPr>
                <w:sz w:val="14"/>
                <w:szCs w:val="14"/>
                <w:color w:val="auto"/>
              </w:rPr>
            </w:pPr>
          </w:p>
        </w:tc>
        <w:tc>
          <w:tcPr>
            <w:tcW w:w="26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2013</w:t>
            </w: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6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2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542,219</w:t>
            </w:r>
          </w:p>
        </w:tc>
        <w:tc>
          <w:tcPr>
            <w:tcW w:w="280" w:type="dxa"/>
            <w:vAlign w:val="bottom"/>
          </w:tcPr>
          <w:p>
            <w:pPr>
              <w:spacing w:after="0"/>
              <w:rPr>
                <w:sz w:val="18"/>
                <w:szCs w:val="18"/>
                <w:color w:val="auto"/>
              </w:rPr>
            </w:pPr>
          </w:p>
        </w:tc>
        <w:tc>
          <w:tcPr>
            <w:tcW w:w="960" w:type="dxa"/>
            <w:vAlign w:val="bottom"/>
            <w:gridSpan w:val="4"/>
          </w:tcPr>
          <w:p>
            <w:pPr>
              <w:jc w:val="right"/>
              <w:spacing w:after="0"/>
              <w:rPr>
                <w:sz w:val="20"/>
                <w:szCs w:val="20"/>
                <w:color w:val="auto"/>
              </w:rPr>
            </w:pPr>
            <w:r>
              <w:rPr>
                <w:rFonts w:ascii="Arial" w:cs="Arial" w:eastAsia="Arial" w:hAnsi="Arial"/>
                <w:sz w:val="18"/>
                <w:szCs w:val="18"/>
                <w:color w:val="auto"/>
              </w:rPr>
              <w:t>$ 532,420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144,320</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2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91,241</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89,548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2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49,555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49,516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47,262</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46,205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25,733</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25,301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3,553</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2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973,129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961,889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(588,517)</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8"/>
              </w:rPr>
              <w:t>(574,862)</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2700" w:type="dxa"/>
            <w:vAlign w:val="bottom"/>
            <w:gridSpan w:val="2"/>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900" w:type="dxa"/>
            <w:vAlign w:val="bottom"/>
            <w:vMerge w:val="continue"/>
          </w:tcPr>
          <w:p>
            <w:pPr>
              <w:spacing w:after="0"/>
              <w:rPr>
                <w:sz w:val="19"/>
                <w:szCs w:val="19"/>
                <w:color w:val="auto"/>
              </w:rPr>
            </w:pPr>
          </w:p>
        </w:tc>
        <w:tc>
          <w:tcPr>
            <w:tcW w:w="2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384,612</w:t>
            </w:r>
          </w:p>
        </w:tc>
        <w:tc>
          <w:tcPr>
            <w:tcW w:w="280" w:type="dxa"/>
            <w:vAlign w:val="bottom"/>
          </w:tcPr>
          <w:p>
            <w:pPr>
              <w:spacing w:after="0"/>
              <w:rPr>
                <w:sz w:val="19"/>
                <w:szCs w:val="19"/>
                <w:color w:val="auto"/>
              </w:rPr>
            </w:pPr>
          </w:p>
        </w:tc>
        <w:tc>
          <w:tcPr>
            <w:tcW w:w="960" w:type="dxa"/>
            <w:vAlign w:val="bottom"/>
            <w:gridSpan w:val="4"/>
          </w:tcPr>
          <w:p>
            <w:pPr>
              <w:jc w:val="right"/>
              <w:spacing w:after="0"/>
              <w:rPr>
                <w:sz w:val="20"/>
                <w:szCs w:val="20"/>
                <w:color w:val="auto"/>
              </w:rPr>
            </w:pPr>
            <w:r>
              <w:rPr>
                <w:rFonts w:ascii="Arial" w:cs="Arial" w:eastAsia="Arial" w:hAnsi="Arial"/>
                <w:sz w:val="18"/>
                <w:szCs w:val="18"/>
                <w:color w:val="auto"/>
              </w:rPr>
              <w:t>$ 387,027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660" w:type="dxa"/>
            <w:vAlign w:val="bottom"/>
            <w:vMerge w:val="restart"/>
          </w:tcPr>
          <w:p>
            <w:pPr>
              <w:jc w:val="right"/>
              <w:ind w:right="2092"/>
              <w:spacing w:after="0"/>
              <w:rPr>
                <w:sz w:val="20"/>
                <w:szCs w:val="20"/>
                <w:color w:val="auto"/>
              </w:rPr>
            </w:pPr>
            <w:r>
              <w:rPr>
                <w:rFonts w:ascii="Arial" w:cs="Arial" w:eastAsia="Arial" w:hAnsi="Arial"/>
                <w:sz w:val="18"/>
                <w:szCs w:val="18"/>
                <w:color w:val="auto"/>
              </w:rPr>
              <w:t>9</w:t>
            </w: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660" w:type="dxa"/>
            <w:vAlign w:val="bottom"/>
            <w:vMerge w:val="continue"/>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8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3"/>
              </w:rPr>
              <w:t>May 4,</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67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89"/>
              </w:rPr>
              <w:t>2013</w:t>
            </w: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67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84,655</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81,523</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25,038</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26,291</w:t>
            </w:r>
          </w:p>
        </w:tc>
        <w:tc>
          <w:tcPr>
            <w:tcW w:w="100" w:type="dxa"/>
            <w:vAlign w:val="bottom"/>
            <w:shd w:val="clear" w:color="auto" w:fill="CCEEFF"/>
          </w:tcPr>
          <w:p>
            <w:pPr>
              <w:spacing w:after="0"/>
              <w:rPr>
                <w:sz w:val="18"/>
                <w:szCs w:val="18"/>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Investments in privately held companies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13,196</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14,486</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Deposits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10,606</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10,451</w:t>
            </w:r>
          </w:p>
        </w:tc>
        <w:tc>
          <w:tcPr>
            <w:tcW w:w="100" w:type="dxa"/>
            <w:vAlign w:val="bottom"/>
            <w:shd w:val="clear" w:color="auto" w:fill="CCEEFF"/>
          </w:tcPr>
          <w:p>
            <w:pPr>
              <w:spacing w:after="0"/>
              <w:rPr>
                <w:sz w:val="18"/>
                <w:szCs w:val="18"/>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Deferred compensation</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3,083</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3,220</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15,620</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14,858</w:t>
            </w:r>
          </w:p>
        </w:tc>
        <w:tc>
          <w:tcPr>
            <w:tcW w:w="100" w:type="dxa"/>
            <w:vAlign w:val="bottom"/>
            <w:shd w:val="clear" w:color="auto" w:fill="CCEEFF"/>
          </w:tcPr>
          <w:p>
            <w:pPr>
              <w:spacing w:after="0"/>
              <w:rPr>
                <w:sz w:val="18"/>
                <w:szCs w:val="18"/>
                <w:color w:val="auto"/>
              </w:rPr>
            </w:pPr>
          </w:p>
        </w:tc>
      </w:tr>
      <w:tr>
        <w:trPr>
          <w:trHeight w:val="222"/>
        </w:trPr>
        <w:tc>
          <w:tcPr>
            <w:tcW w:w="67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152,198</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$ 150,829</w:t>
            </w:r>
          </w:p>
        </w:tc>
        <w:tc>
          <w:tcPr>
            <w:tcW w:w="100" w:type="dxa"/>
            <w:vAlign w:val="bottom"/>
          </w:tcPr>
          <w:p>
            <w:pPr>
              <w:spacing w:after="0"/>
              <w:rPr>
                <w:sz w:val="19"/>
                <w:szCs w:val="19"/>
                <w:color w:val="auto"/>
              </w:rPr>
            </w:pPr>
          </w:p>
        </w:tc>
      </w:tr>
      <w:tr>
        <w:trPr>
          <w:trHeight w:val="20"/>
        </w:trPr>
        <w:tc>
          <w:tcPr>
            <w:tcW w:w="6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6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3"/>
              </w:rPr>
              <w:t>May 4,</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67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89"/>
              </w:rPr>
              <w:t>2013</w:t>
            </w: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67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Accrued rebates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43,640</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51,712</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18,334</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18,357</w:t>
            </w:r>
          </w:p>
        </w:tc>
        <w:tc>
          <w:tcPr>
            <w:tcW w:w="100" w:type="dxa"/>
            <w:vAlign w:val="bottom"/>
            <w:shd w:val="clear" w:color="auto" w:fill="CCEEFF"/>
          </w:tcPr>
          <w:p>
            <w:pPr>
              <w:spacing w:after="0"/>
              <w:rPr>
                <w:sz w:val="18"/>
                <w:szCs w:val="18"/>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Accrued royalties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16,141</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12,695</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11,269</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9,865</w:t>
            </w:r>
          </w:p>
        </w:tc>
        <w:tc>
          <w:tcPr>
            <w:tcW w:w="100" w:type="dxa"/>
            <w:vAlign w:val="bottom"/>
            <w:shd w:val="clear" w:color="auto" w:fill="CCEEFF"/>
          </w:tcPr>
          <w:p>
            <w:pPr>
              <w:spacing w:after="0"/>
              <w:rPr>
                <w:sz w:val="18"/>
                <w:szCs w:val="18"/>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Accrued share repurchases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5,645</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22,152</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29,785</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29,210</w:t>
            </w:r>
          </w:p>
        </w:tc>
        <w:tc>
          <w:tcPr>
            <w:tcW w:w="100" w:type="dxa"/>
            <w:vAlign w:val="bottom"/>
            <w:shd w:val="clear" w:color="auto" w:fill="CCEEFF"/>
          </w:tcPr>
          <w:p>
            <w:pPr>
              <w:spacing w:after="0"/>
              <w:rPr>
                <w:sz w:val="18"/>
                <w:szCs w:val="18"/>
                <w:color w:val="auto"/>
              </w:rPr>
            </w:pPr>
          </w:p>
        </w:tc>
      </w:tr>
      <w:tr>
        <w:trPr>
          <w:trHeight w:val="222"/>
        </w:trPr>
        <w:tc>
          <w:tcPr>
            <w:tcW w:w="6700" w:type="dxa"/>
            <w:vAlign w:val="bottom"/>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124,814</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$ 143,991</w:t>
            </w:r>
          </w:p>
        </w:tc>
        <w:tc>
          <w:tcPr>
            <w:tcW w:w="100" w:type="dxa"/>
            <w:vAlign w:val="bottom"/>
          </w:tcPr>
          <w:p>
            <w:pPr>
              <w:spacing w:after="0"/>
              <w:rPr>
                <w:sz w:val="19"/>
                <w:szCs w:val="19"/>
                <w:color w:val="auto"/>
              </w:rPr>
            </w:pPr>
          </w:p>
        </w:tc>
      </w:tr>
      <w:tr>
        <w:trPr>
          <w:trHeight w:val="20"/>
        </w:trPr>
        <w:tc>
          <w:tcPr>
            <w:tcW w:w="6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Accrued share repurchases represent amounts due for the Company’s repurchases of its common shares made in the final three days of the fiscal quarter.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The repurchased shares are retired immediately after the repurchases are completed.</w:t>
      </w:r>
    </w:p>
    <w:p>
      <w:pPr>
        <w:spacing w:after="0" w:line="242"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620" w:type="dxa"/>
            <w:vAlign w:val="bottom"/>
          </w:tcPr>
          <w:p>
            <w:pPr>
              <w:jc w:val="right"/>
              <w:ind w:right="42"/>
              <w:spacing w:after="0"/>
              <w:rPr>
                <w:sz w:val="20"/>
                <w:szCs w:val="20"/>
                <w:color w:val="auto"/>
              </w:rPr>
            </w:pPr>
            <w:r>
              <w:rPr>
                <w:rFonts w:ascii="Arial" w:cs="Arial" w:eastAsia="Arial" w:hAnsi="Arial"/>
                <w:sz w:val="14"/>
                <w:szCs w:val="14"/>
                <w:b w:val="1"/>
                <w:bCs w:val="1"/>
                <w:color w:val="auto"/>
              </w:rPr>
              <w:t>May 4,</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2460" w:type="dxa"/>
            <w:vAlign w:val="bottom"/>
            <w:gridSpan w:val="2"/>
          </w:tcPr>
          <w:p>
            <w:pPr>
              <w:jc w:val="right"/>
              <w:ind w:right="102"/>
              <w:spacing w:after="0"/>
              <w:rPr>
                <w:sz w:val="20"/>
                <w:szCs w:val="20"/>
                <w:color w:val="auto"/>
              </w:rPr>
            </w:pPr>
            <w:r>
              <w:rPr>
                <w:rFonts w:ascii="Arial" w:cs="Arial" w:eastAsia="Arial" w:hAnsi="Arial"/>
                <w:sz w:val="14"/>
                <w:szCs w:val="14"/>
                <w:b w:val="1"/>
                <w:bCs w:val="1"/>
                <w:color w:val="auto"/>
              </w:rPr>
              <w:t>2013</w:t>
            </w: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84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$ 32,131</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34,270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6,103</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6,205</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Other</w:t>
            </w:r>
          </w:p>
        </w:tc>
        <w:tc>
          <w:tcPr>
            <w:tcW w:w="1840" w:type="dxa"/>
            <w:vAlign w:val="bottom"/>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14,994</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15,935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$ 53,228</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56,410</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by component are presented in the following tables (in thousands):</w:t>
      </w:r>
    </w:p>
    <w:p>
      <w:pPr>
        <w:sectPr>
          <w:pgSz w:w="11900" w:h="16838" w:orient="portrait"/>
          <w:cols w:equalWidth="0" w:num="1">
            <w:col w:w="11180"/>
          </w:cols>
          <w:pgMar w:left="240" w:top="459" w:right="4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2, 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-125730</wp:posOffset>
            </wp:positionV>
            <wp:extent cx="6663690"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63690" cy="146050"/>
                    </a:xfrm>
                    <a:prstGeom prst="rect">
                      <a:avLst/>
                    </a:prstGeom>
                    <a:noFill/>
                  </pic:spPr>
                </pic:pic>
              </a:graphicData>
            </a:graphic>
          </wp:anchor>
        </w:drawing>
      </w:r>
    </w:p>
    <w:p>
      <w:pPr>
        <w:spacing w:after="0" w:line="3" w:lineRule="exact"/>
        <w:rPr>
          <w:sz w:val="20"/>
          <w:szCs w:val="20"/>
          <w:color w:val="auto"/>
        </w:rPr>
      </w:pPr>
    </w:p>
    <w:p>
      <w:pPr>
        <w:ind w:left="900"/>
        <w:spacing w:after="0" w:line="299" w:lineRule="auto"/>
        <w:rPr>
          <w:sz w:val="20"/>
          <w:szCs w:val="20"/>
          <w:color w:val="auto"/>
        </w:rPr>
      </w:pPr>
      <w:r>
        <w:rPr>
          <w:rFonts w:ascii="Arial" w:cs="Arial" w:eastAsia="Arial" w:hAnsi="Arial"/>
          <w:sz w:val="16"/>
          <w:szCs w:val="16"/>
          <w:color w:val="auto"/>
        </w:rPr>
        <w:t>Other comprehensive income (loss) before reclassifications Amounts reclassified from accumulated other comprehensive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-147955</wp:posOffset>
            </wp:positionV>
            <wp:extent cx="6663690" cy="13716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66369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5"/>
              </w:rPr>
              <w:t>Unrealized Gain (Loss)</w:t>
            </w:r>
          </w:p>
        </w:tc>
        <w:tc>
          <w:tcPr>
            <w:tcW w:w="122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12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0"/>
              </w:rPr>
              <w:t>Unrealized Gain</w:t>
            </w:r>
          </w:p>
        </w:tc>
        <w:tc>
          <w:tcPr>
            <w:tcW w:w="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9"/>
              </w:rPr>
              <w:t>on Marketable</w:t>
            </w:r>
          </w:p>
        </w:tc>
        <w:tc>
          <w:tcPr>
            <w:tcW w:w="12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(Loss) on Auction</w:t>
            </w:r>
          </w:p>
        </w:tc>
        <w:tc>
          <w:tcPr>
            <w:tcW w:w="130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84"/>
              </w:rPr>
              <w:t>(Loss) on Cash Flow</w:t>
            </w:r>
          </w:p>
        </w:tc>
        <w:tc>
          <w:tcPr>
            <w:tcW w:w="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3"/>
              </w:rPr>
              <w:t>Securities</w:t>
            </w:r>
          </w:p>
        </w:tc>
        <w:tc>
          <w:tcPr>
            <w:tcW w:w="122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4"/>
              </w:rPr>
              <w:t>Rate Securities</w:t>
            </w:r>
          </w:p>
        </w:tc>
        <w:tc>
          <w:tcPr>
            <w:tcW w:w="100" w:type="dxa"/>
            <w:vAlign w:val="bottom"/>
          </w:tcPr>
          <w:p>
            <w:pPr>
              <w:spacing w:after="0"/>
              <w:rPr>
                <w:sz w:val="14"/>
                <w:szCs w:val="14"/>
                <w:color w:val="auto"/>
              </w:rPr>
            </w:pPr>
          </w:p>
        </w:tc>
        <w:tc>
          <w:tcPr>
            <w:tcW w:w="12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Hedges</w:t>
            </w:r>
          </w:p>
        </w:tc>
        <w:tc>
          <w:tcPr>
            <w:tcW w:w="6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40" w:type="dxa"/>
            <w:vAlign w:val="bottom"/>
            <w:tcBorders>
              <w:top w:val="single" w:sz="8" w:color="auto"/>
            </w:tcBorders>
          </w:tcPr>
          <w:p>
            <w:pPr>
              <w:jc w:val="right"/>
              <w:ind w:right="22"/>
              <w:spacing w:after="0"/>
              <w:rPr>
                <w:sz w:val="20"/>
                <w:szCs w:val="20"/>
                <w:color w:val="auto"/>
              </w:rPr>
            </w:pPr>
            <w:r>
              <w:rPr>
                <w:rFonts w:ascii="Arial" w:cs="Arial" w:eastAsia="Arial" w:hAnsi="Arial"/>
                <w:sz w:val="10"/>
                <w:szCs w:val="10"/>
                <w:color w:val="auto"/>
                <w:w w:val="71"/>
              </w:rPr>
              <w:t>$</w:t>
            </w:r>
          </w:p>
        </w:tc>
        <w:tc>
          <w:tcPr>
            <w:tcW w:w="11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2,742</w:t>
            </w:r>
          </w:p>
        </w:tc>
        <w:tc>
          <w:tcPr>
            <w:tcW w:w="180" w:type="dxa"/>
            <w:vAlign w:val="bottom"/>
          </w:tcPr>
          <w:p>
            <w:pPr>
              <w:spacing w:after="0"/>
              <w:rPr>
                <w:sz w:val="17"/>
                <w:szCs w:val="17"/>
                <w:color w:val="auto"/>
              </w:rPr>
            </w:pPr>
          </w:p>
        </w:tc>
        <w:tc>
          <w:tcPr>
            <w:tcW w:w="320" w:type="dxa"/>
            <w:vAlign w:val="bottom"/>
            <w:tcBorders>
              <w:top w:val="single" w:sz="8" w:color="auto"/>
            </w:tcBorders>
          </w:tcPr>
          <w:p>
            <w:pPr>
              <w:jc w:val="right"/>
              <w:ind w:right="170"/>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(2,681)</w:t>
            </w:r>
          </w:p>
        </w:tc>
        <w:tc>
          <w:tcPr>
            <w:tcW w:w="20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1,087</w:t>
            </w:r>
          </w:p>
        </w:tc>
        <w:tc>
          <w:tcPr>
            <w:tcW w:w="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9"/>
              </w:rPr>
              <w:t>$ 1,148</w:t>
            </w:r>
          </w:p>
        </w:tc>
        <w:tc>
          <w:tcPr>
            <w:tcW w:w="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1,428</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81</w:t>
            </w:r>
          </w:p>
        </w:tc>
        <w:tc>
          <w:tcPr>
            <w:tcW w:w="100" w:type="dxa"/>
            <w:vAlign w:val="bottom"/>
          </w:tcPr>
          <w:p>
            <w:pPr>
              <w:spacing w:after="0"/>
              <w:rPr>
                <w:sz w:val="18"/>
                <w:szCs w:val="18"/>
                <w:color w:val="auto"/>
              </w:rPr>
            </w:pP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991</w:t>
            </w:r>
          </w:p>
        </w:tc>
        <w:tc>
          <w:tcPr>
            <w:tcW w:w="680" w:type="dxa"/>
            <w:vAlign w:val="bottom"/>
            <w:gridSpan w:val="3"/>
          </w:tcPr>
          <w:p>
            <w:pPr>
              <w:jc w:val="right"/>
              <w:ind w:right="60"/>
              <w:spacing w:after="0"/>
              <w:rPr>
                <w:sz w:val="20"/>
                <w:szCs w:val="20"/>
                <w:color w:val="auto"/>
              </w:rPr>
            </w:pPr>
            <w:r>
              <w:rPr>
                <w:rFonts w:ascii="Arial" w:cs="Arial" w:eastAsia="Arial" w:hAnsi="Arial"/>
                <w:sz w:val="18"/>
                <w:szCs w:val="18"/>
                <w:color w:val="auto"/>
              </w:rPr>
              <w:t>2,500</w:t>
            </w:r>
          </w:p>
        </w:tc>
      </w:tr>
      <w:tr>
        <w:trPr>
          <w:trHeight w:val="222"/>
        </w:trPr>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60" w:type="dxa"/>
            <w:vAlign w:val="bottom"/>
            <w:gridSpan w:val="2"/>
          </w:tcPr>
          <w:p>
            <w:pPr>
              <w:jc w:val="right"/>
              <w:ind w:right="140"/>
              <w:spacing w:after="0"/>
              <w:rPr>
                <w:sz w:val="20"/>
                <w:szCs w:val="20"/>
                <w:color w:val="auto"/>
              </w:rPr>
            </w:pPr>
            <w:r>
              <w:rPr>
                <w:rFonts w:ascii="Arial" w:cs="Arial" w:eastAsia="Arial" w:hAnsi="Arial"/>
                <w:sz w:val="18"/>
                <w:szCs w:val="18"/>
                <w:color w:val="auto"/>
              </w:rPr>
              <w:t>(376)</w:t>
            </w:r>
          </w:p>
        </w:tc>
        <w:tc>
          <w:tcPr>
            <w:tcW w:w="32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(1,096)</w:t>
            </w: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(1,472)</w:t>
            </w:r>
          </w:p>
        </w:tc>
      </w:tr>
    </w:tbl>
    <w:p>
      <w:pPr>
        <w:spacing w:after="0" w:line="20" w:lineRule="exact"/>
        <w:rPr>
          <w:sz w:val="20"/>
          <w:szCs w:val="20"/>
          <w:color w:val="auto"/>
        </w:rPr>
      </w:pPr>
    </w:p>
    <w:p>
      <w:pPr>
        <w:sectPr>
          <w:pgSz w:w="11900" w:h="16838" w:orient="portrait"/>
          <w:cols w:equalWidth="0" w:num="2">
            <w:col w:w="5780" w:space="420"/>
            <w:col w:w="4980"/>
          </w:cols>
          <w:pgMar w:left="240" w:top="459" w:right="47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900" w:type="dxa"/>
            <w:vAlign w:val="bottom"/>
          </w:tcPr>
          <w:p>
            <w:pPr>
              <w:ind w:left="860"/>
              <w:spacing w:after="0" w:line="204" w:lineRule="exact"/>
              <w:rPr>
                <w:sz w:val="20"/>
                <w:szCs w:val="20"/>
                <w:color w:val="auto"/>
              </w:rPr>
            </w:pPr>
            <w:r>
              <w:rPr>
                <w:rFonts w:ascii="Arial" w:cs="Arial" w:eastAsia="Arial" w:hAnsi="Arial"/>
                <w:sz w:val="18"/>
                <w:szCs w:val="18"/>
                <w:color w:val="auto"/>
                <w:w w:val="93"/>
              </w:rPr>
              <w:t>Net current-period other comprehensive income (loss)</w:t>
            </w:r>
          </w:p>
        </w:tc>
        <w:tc>
          <w:tcPr>
            <w:tcW w:w="8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840" w:type="dxa"/>
            <w:vAlign w:val="bottom"/>
          </w:tcPr>
          <w:p>
            <w:pPr>
              <w:jc w:val="right"/>
              <w:spacing w:after="0" w:line="204" w:lineRule="exact"/>
              <w:rPr>
                <w:sz w:val="20"/>
                <w:szCs w:val="20"/>
                <w:color w:val="auto"/>
              </w:rPr>
            </w:pPr>
            <w:r>
              <w:rPr>
                <w:rFonts w:ascii="Arial" w:cs="Arial" w:eastAsia="Arial" w:hAnsi="Arial"/>
                <w:sz w:val="18"/>
                <w:szCs w:val="18"/>
                <w:color w:val="auto"/>
              </w:rPr>
              <w:t>1,052</w:t>
            </w: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00" w:type="dxa"/>
            <w:vAlign w:val="bottom"/>
            <w:gridSpan w:val="2"/>
          </w:tcPr>
          <w:p>
            <w:pPr>
              <w:jc w:val="right"/>
              <w:ind w:right="200"/>
              <w:spacing w:after="0" w:line="204" w:lineRule="exact"/>
              <w:rPr>
                <w:sz w:val="20"/>
                <w:szCs w:val="20"/>
                <w:color w:val="auto"/>
              </w:rPr>
            </w:pPr>
            <w:r>
              <w:rPr>
                <w:rFonts w:ascii="Arial" w:cs="Arial" w:eastAsia="Arial" w:hAnsi="Arial"/>
                <w:sz w:val="18"/>
                <w:szCs w:val="18"/>
                <w:color w:val="auto"/>
              </w:rPr>
              <w:t>81</w:t>
            </w:r>
          </w:p>
        </w:tc>
        <w:tc>
          <w:tcPr>
            <w:tcW w:w="460" w:type="dxa"/>
            <w:vAlign w:val="bottom"/>
          </w:tcPr>
          <w:p>
            <w:pPr>
              <w:spacing w:after="0"/>
              <w:rPr>
                <w:sz w:val="17"/>
                <w:szCs w:val="17"/>
                <w:color w:val="auto"/>
              </w:rPr>
            </w:pPr>
          </w:p>
        </w:tc>
        <w:tc>
          <w:tcPr>
            <w:tcW w:w="840" w:type="dxa"/>
            <w:vAlign w:val="bottom"/>
            <w:gridSpan w:val="2"/>
          </w:tcPr>
          <w:p>
            <w:pPr>
              <w:jc w:val="right"/>
              <w:ind w:right="80"/>
              <w:spacing w:after="0" w:line="204" w:lineRule="exact"/>
              <w:rPr>
                <w:sz w:val="20"/>
                <w:szCs w:val="20"/>
                <w:color w:val="auto"/>
              </w:rPr>
            </w:pPr>
            <w:r>
              <w:rPr>
                <w:rFonts w:ascii="Arial" w:cs="Arial" w:eastAsia="Arial" w:hAnsi="Arial"/>
                <w:sz w:val="18"/>
                <w:szCs w:val="18"/>
                <w:color w:val="auto"/>
              </w:rPr>
              <w:t>(105)</w:t>
            </w:r>
          </w:p>
        </w:tc>
        <w:tc>
          <w:tcPr>
            <w:tcW w:w="720" w:type="dxa"/>
            <w:vAlign w:val="bottom"/>
            <w:gridSpan w:val="3"/>
          </w:tcPr>
          <w:p>
            <w:pPr>
              <w:jc w:val="right"/>
              <w:ind w:right="100"/>
              <w:spacing w:after="0" w:line="204" w:lineRule="exact"/>
              <w:rPr>
                <w:sz w:val="20"/>
                <w:szCs w:val="20"/>
                <w:color w:val="auto"/>
              </w:rPr>
            </w:pPr>
            <w:r>
              <w:rPr>
                <w:rFonts w:ascii="Arial" w:cs="Arial" w:eastAsia="Arial" w:hAnsi="Arial"/>
                <w:sz w:val="18"/>
                <w:szCs w:val="18"/>
                <w:color w:val="auto"/>
              </w:rPr>
              <w:t>1,028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00" w:type="dxa"/>
            <w:vAlign w:val="bottom"/>
          </w:tcPr>
          <w:p>
            <w:pPr>
              <w:spacing w:after="0"/>
              <w:rPr>
                <w:sz w:val="2"/>
                <w:szCs w:val="2"/>
                <w:color w:val="auto"/>
              </w:rPr>
            </w:pPr>
          </w:p>
        </w:tc>
        <w:tc>
          <w:tcPr>
            <w:tcW w:w="8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4, 2013</w:t>
            </w: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3,794</w:t>
            </w:r>
          </w:p>
        </w:tc>
        <w:tc>
          <w:tcPr>
            <w:tcW w:w="5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(2,600)</w:t>
            </w:r>
          </w:p>
        </w:tc>
        <w:tc>
          <w:tcPr>
            <w:tcW w:w="460" w:type="dxa"/>
            <w:vAlign w:val="bottom"/>
            <w:shd w:val="clear" w:color="auto" w:fill="CCEEFF"/>
          </w:tcPr>
          <w:p>
            <w:pPr>
              <w:jc w:val="right"/>
              <w:ind w:right="303"/>
              <w:spacing w:after="0"/>
              <w:rPr>
                <w:sz w:val="20"/>
                <w:szCs w:val="20"/>
                <w:color w:val="auto"/>
              </w:rPr>
            </w:pPr>
            <w:r>
              <w:rPr>
                <w:rFonts w:ascii="Arial" w:cs="Arial" w:eastAsia="Arial" w:hAnsi="Arial"/>
                <w:sz w:val="15"/>
                <w:szCs w:val="15"/>
                <w:color w:val="auto"/>
                <w:w w:val="71"/>
              </w:rPr>
              <w:t>$</w:t>
            </w: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982</w:t>
            </w:r>
          </w:p>
        </w:tc>
        <w:tc>
          <w:tcPr>
            <w:tcW w:w="7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$ 2,176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820" w:type="dxa"/>
            <w:vAlign w:val="bottom"/>
            <w:vMerge w:val="restart"/>
          </w:tcPr>
          <w:p>
            <w:pPr>
              <w:jc w:val="right"/>
              <w:ind w:right="312"/>
              <w:spacing w:after="0"/>
              <w:rPr>
                <w:sz w:val="20"/>
                <w:szCs w:val="20"/>
                <w:color w:val="auto"/>
              </w:rPr>
            </w:pPr>
            <w:r>
              <w:rPr>
                <w:rFonts w:ascii="Arial" w:cs="Arial" w:eastAsia="Arial" w:hAnsi="Arial"/>
                <w:sz w:val="18"/>
                <w:szCs w:val="18"/>
                <w:color w:val="auto"/>
              </w:rPr>
              <w:t>10</w:t>
            </w:r>
          </w:p>
        </w:tc>
        <w:tc>
          <w:tcPr>
            <w:tcW w:w="5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820" w:type="dxa"/>
            <w:vAlign w:val="bottom"/>
            <w:vMerge w:val="continue"/>
          </w:tcPr>
          <w:p>
            <w:pPr>
              <w:spacing w:after="0"/>
              <w:rPr>
                <w:sz w:val="24"/>
                <w:szCs w:val="24"/>
                <w:color w:val="auto"/>
              </w:rPr>
            </w:pPr>
          </w:p>
        </w:tc>
        <w:tc>
          <w:tcPr>
            <w:tcW w:w="5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1220"/>
          </w:cols>
          <w:pgMar w:left="24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28,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-125730</wp:posOffset>
            </wp:positionV>
            <wp:extent cx="6663690" cy="1460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63690" cy="146050"/>
                    </a:xfrm>
                    <a:prstGeom prst="rect">
                      <a:avLst/>
                    </a:prstGeom>
                    <a:noFill/>
                  </pic:spPr>
                </pic:pic>
              </a:graphicData>
            </a:graphic>
          </wp:anchor>
        </w:drawing>
      </w:r>
    </w:p>
    <w:p>
      <w:pPr>
        <w:spacing w:after="0" w:line="3" w:lineRule="exact"/>
        <w:rPr>
          <w:sz w:val="20"/>
          <w:szCs w:val="20"/>
          <w:color w:val="auto"/>
        </w:rPr>
      </w:pPr>
    </w:p>
    <w:p>
      <w:pPr>
        <w:ind w:left="900"/>
        <w:spacing w:after="0" w:line="299" w:lineRule="auto"/>
        <w:rPr>
          <w:sz w:val="20"/>
          <w:szCs w:val="20"/>
          <w:color w:val="auto"/>
        </w:rPr>
      </w:pPr>
      <w:r>
        <w:rPr>
          <w:rFonts w:ascii="Arial" w:cs="Arial" w:eastAsia="Arial" w:hAnsi="Arial"/>
          <w:sz w:val="16"/>
          <w:szCs w:val="16"/>
          <w:color w:val="auto"/>
        </w:rPr>
        <w:t>Other comprehensive income (loss) before reclassifications Amounts reclassified from accumulated other comprehensive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-147955</wp:posOffset>
            </wp:positionV>
            <wp:extent cx="6663690" cy="13716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6369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0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6"/>
              </w:rPr>
              <w:t>Unrealized Gain (Loss)</w:t>
            </w:r>
          </w:p>
        </w:tc>
        <w:tc>
          <w:tcPr>
            <w:tcW w:w="12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Unrealized Gain</w:t>
            </w: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on Marketable</w:t>
            </w:r>
          </w:p>
        </w:tc>
        <w:tc>
          <w:tcPr>
            <w:tcW w:w="122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(Loss) on Auction</w:t>
            </w:r>
          </w:p>
        </w:tc>
        <w:tc>
          <w:tcPr>
            <w:tcW w:w="15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8"/>
              </w:rPr>
              <w:t>Unrealized Gain (Loss)</w:t>
            </w:r>
          </w:p>
        </w:tc>
        <w:tc>
          <w:tcPr>
            <w:tcW w:w="50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3"/>
              </w:rPr>
              <w:t>Securities</w:t>
            </w:r>
          </w:p>
        </w:tc>
        <w:tc>
          <w:tcPr>
            <w:tcW w:w="12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6"/>
              </w:rPr>
              <w:t>Rate Securities</w:t>
            </w:r>
          </w:p>
        </w:tc>
        <w:tc>
          <w:tcPr>
            <w:tcW w:w="1520" w:type="dxa"/>
            <w:vAlign w:val="bottom"/>
            <w:gridSpan w:val="3"/>
          </w:tcPr>
          <w:p>
            <w:pPr>
              <w:ind w:left="40"/>
              <w:spacing w:after="0"/>
              <w:rPr>
                <w:sz w:val="20"/>
                <w:szCs w:val="20"/>
                <w:color w:val="auto"/>
              </w:rPr>
            </w:pPr>
            <w:r>
              <w:rPr>
                <w:rFonts w:ascii="Arial" w:cs="Arial" w:eastAsia="Arial" w:hAnsi="Arial"/>
                <w:sz w:val="14"/>
                <w:szCs w:val="14"/>
                <w:b w:val="1"/>
                <w:bCs w:val="1"/>
                <w:color w:val="auto"/>
              </w:rPr>
              <w:t>on Cash Flow Hedges</w:t>
            </w:r>
          </w:p>
        </w:tc>
        <w:tc>
          <w:tcPr>
            <w:tcW w:w="500" w:type="dxa"/>
            <w:vAlign w:val="bottom"/>
          </w:tcPr>
          <w:p>
            <w:pPr>
              <w:jc w:val="right"/>
              <w:ind w:right="17"/>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40" w:type="dxa"/>
            <w:vAlign w:val="bottom"/>
            <w:tcBorders>
              <w:top w:val="single" w:sz="8" w:color="auto"/>
            </w:tcBorders>
          </w:tcPr>
          <w:p>
            <w:pPr>
              <w:jc w:val="right"/>
              <w:ind w:right="22"/>
              <w:spacing w:after="0"/>
              <w:rPr>
                <w:sz w:val="20"/>
                <w:szCs w:val="20"/>
                <w:color w:val="auto"/>
              </w:rPr>
            </w:pPr>
            <w:r>
              <w:rPr>
                <w:rFonts w:ascii="Arial" w:cs="Arial" w:eastAsia="Arial" w:hAnsi="Arial"/>
                <w:sz w:val="10"/>
                <w:szCs w:val="10"/>
                <w:color w:val="auto"/>
                <w:w w:val="71"/>
              </w:rPr>
              <w:t>$</w:t>
            </w:r>
          </w:p>
        </w:tc>
        <w:tc>
          <w:tcPr>
            <w:tcW w:w="11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3,702</w:t>
            </w:r>
          </w:p>
        </w:tc>
        <w:tc>
          <w:tcPr>
            <w:tcW w:w="180" w:type="dxa"/>
            <w:vAlign w:val="bottom"/>
          </w:tcPr>
          <w:p>
            <w:pPr>
              <w:spacing w:after="0"/>
              <w:rPr>
                <w:sz w:val="17"/>
                <w:szCs w:val="17"/>
                <w:color w:val="auto"/>
              </w:rPr>
            </w:pPr>
          </w:p>
        </w:tc>
        <w:tc>
          <w:tcPr>
            <w:tcW w:w="340" w:type="dxa"/>
            <w:vAlign w:val="bottom"/>
            <w:tcBorders>
              <w:top w:val="single" w:sz="8" w:color="auto"/>
            </w:tcBorders>
          </w:tcPr>
          <w:p>
            <w:pPr>
              <w:jc w:val="right"/>
              <w:ind w:right="167"/>
              <w:spacing w:after="0" w:line="201" w:lineRule="exact"/>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tcPr>
          <w:p>
            <w:pPr>
              <w:jc w:val="center"/>
              <w:ind w:left="152"/>
              <w:spacing w:after="0" w:line="201" w:lineRule="exact"/>
              <w:rPr>
                <w:sz w:val="20"/>
                <w:szCs w:val="20"/>
                <w:color w:val="auto"/>
              </w:rPr>
            </w:pPr>
            <w:r>
              <w:rPr>
                <w:rFonts w:ascii="Arial" w:cs="Arial" w:eastAsia="Arial" w:hAnsi="Arial"/>
                <w:sz w:val="18"/>
                <w:szCs w:val="18"/>
                <w:color w:val="auto"/>
                <w:w w:val="80"/>
              </w:rPr>
              <w:t>(1,285)</w:t>
            </w:r>
          </w:p>
        </w:tc>
        <w:tc>
          <w:tcPr>
            <w:tcW w:w="180" w:type="dxa"/>
            <w:vAlign w:val="bottom"/>
          </w:tcPr>
          <w:p>
            <w:pPr>
              <w:spacing w:after="0"/>
              <w:rPr>
                <w:sz w:val="17"/>
                <w:szCs w:val="17"/>
                <w:color w:val="auto"/>
              </w:rPr>
            </w:pPr>
          </w:p>
        </w:tc>
        <w:tc>
          <w:tcPr>
            <w:tcW w:w="48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(1,641)</w:t>
            </w:r>
          </w:p>
        </w:tc>
        <w:tc>
          <w:tcPr>
            <w:tcW w:w="180" w:type="dxa"/>
            <w:vAlign w:val="bottom"/>
          </w:tcPr>
          <w:p>
            <w:pPr>
              <w:spacing w:after="0"/>
              <w:rPr>
                <w:sz w:val="17"/>
                <w:szCs w:val="17"/>
                <w:color w:val="auto"/>
              </w:rPr>
            </w:pPr>
          </w:p>
        </w:tc>
        <w:tc>
          <w:tcPr>
            <w:tcW w:w="5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5"/>
              </w:rPr>
              <w:t>$  776</w:t>
            </w:r>
          </w:p>
        </w:tc>
      </w:tr>
      <w:tr>
        <w:trPr>
          <w:trHeight w:val="216"/>
        </w:trPr>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8"/>
                <w:szCs w:val="18"/>
                <w:color w:val="auto"/>
              </w:rPr>
              <w:t>849</w:t>
            </w:r>
          </w:p>
        </w:tc>
        <w:tc>
          <w:tcPr>
            <w:tcW w:w="340" w:type="dxa"/>
            <w:vAlign w:val="bottom"/>
          </w:tcPr>
          <w:p>
            <w:pPr>
              <w:spacing w:after="0"/>
              <w:rPr>
                <w:sz w:val="18"/>
                <w:szCs w:val="18"/>
                <w:color w:val="auto"/>
              </w:rPr>
            </w:pPr>
          </w:p>
        </w:tc>
        <w:tc>
          <w:tcPr>
            <w:tcW w:w="88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48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(30)</w:t>
            </w:r>
          </w:p>
        </w:tc>
        <w:tc>
          <w:tcPr>
            <w:tcW w:w="500" w:type="dxa"/>
            <w:vAlign w:val="bottom"/>
          </w:tcPr>
          <w:p>
            <w:pPr>
              <w:jc w:val="right"/>
              <w:spacing w:after="0"/>
              <w:rPr>
                <w:sz w:val="20"/>
                <w:szCs w:val="20"/>
                <w:color w:val="auto"/>
              </w:rPr>
            </w:pPr>
            <w:r>
              <w:rPr>
                <w:rFonts w:ascii="Arial" w:cs="Arial" w:eastAsia="Arial" w:hAnsi="Arial"/>
                <w:sz w:val="18"/>
                <w:szCs w:val="18"/>
                <w:color w:val="auto"/>
              </w:rPr>
              <w:t>819</w:t>
            </w:r>
          </w:p>
        </w:tc>
      </w:tr>
      <w:tr>
        <w:trPr>
          <w:trHeight w:val="222"/>
        </w:trPr>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60" w:type="dxa"/>
            <w:vAlign w:val="bottom"/>
            <w:gridSpan w:val="2"/>
          </w:tcPr>
          <w:p>
            <w:pPr>
              <w:jc w:val="right"/>
              <w:ind w:right="120"/>
              <w:spacing w:after="0"/>
              <w:rPr>
                <w:sz w:val="20"/>
                <w:szCs w:val="20"/>
                <w:color w:val="auto"/>
              </w:rPr>
            </w:pPr>
            <w:r>
              <w:rPr>
                <w:rFonts w:ascii="Arial" w:cs="Arial" w:eastAsia="Arial" w:hAnsi="Arial"/>
                <w:sz w:val="18"/>
                <w:szCs w:val="18"/>
                <w:color w:val="auto"/>
              </w:rPr>
              <w:t>(560)</w:t>
            </w:r>
          </w:p>
        </w:tc>
        <w:tc>
          <w:tcPr>
            <w:tcW w:w="340" w:type="dxa"/>
            <w:vAlign w:val="bottom"/>
          </w:tcPr>
          <w:p>
            <w:pPr>
              <w:spacing w:after="0"/>
              <w:rPr>
                <w:sz w:val="19"/>
                <w:szCs w:val="19"/>
                <w:color w:val="auto"/>
              </w:rPr>
            </w:pPr>
          </w:p>
        </w:tc>
        <w:tc>
          <w:tcPr>
            <w:tcW w:w="88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48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1,282</w:t>
            </w:r>
          </w:p>
        </w:tc>
        <w:tc>
          <w:tcPr>
            <w:tcW w:w="1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722</w:t>
            </w:r>
          </w:p>
        </w:tc>
      </w:tr>
    </w:tbl>
    <w:p>
      <w:pPr>
        <w:spacing w:after="0" w:line="20" w:lineRule="exact"/>
        <w:rPr>
          <w:sz w:val="20"/>
          <w:szCs w:val="20"/>
          <w:color w:val="auto"/>
        </w:rPr>
      </w:pPr>
    </w:p>
    <w:p>
      <w:pPr>
        <w:sectPr>
          <w:pgSz w:w="11900" w:h="16838" w:orient="portrait"/>
          <w:cols w:equalWidth="0" w:num="2">
            <w:col w:w="5780" w:space="320"/>
            <w:col w:w="5120"/>
          </w:cols>
          <w:pgMar w:left="240" w:top="459" w:right="439" w:bottom="1440" w:gutter="0" w:footer="0" w:header="0"/>
          <w:type w:val="continuous"/>
        </w:sectPr>
      </w:pPr>
    </w:p>
    <w:tbl>
      <w:tblPr>
        <w:tblLayout w:type="fixed"/>
        <w:tblInd w:w="460" w:type="dxa"/>
        <w:tblCellMar>
          <w:top w:w="0" w:type="dxa"/>
          <w:left w:w="0" w:type="dxa"/>
          <w:bottom w:w="0" w:type="dxa"/>
          <w:right w:w="0" w:type="dxa"/>
        </w:tblCellMar>
      </w:tblPr>
      <w:tr>
        <w:trPr>
          <w:trHeight w:val="212"/>
        </w:trPr>
        <w:tc>
          <w:tcPr>
            <w:tcW w:w="20" w:type="dxa"/>
            <w:vAlign w:val="bottom"/>
          </w:tcPr>
          <w:p>
            <w:pPr>
              <w:spacing w:after="0"/>
              <w:rPr>
                <w:sz w:val="18"/>
                <w:szCs w:val="18"/>
                <w:color w:val="auto"/>
              </w:rPr>
            </w:pPr>
          </w:p>
        </w:tc>
        <w:tc>
          <w:tcPr>
            <w:tcW w:w="4240" w:type="dxa"/>
            <w:vAlign w:val="bottom"/>
            <w:gridSpan w:val="3"/>
          </w:tcPr>
          <w:p>
            <w:pPr>
              <w:ind w:left="860"/>
              <w:spacing w:after="0" w:line="204" w:lineRule="exact"/>
              <w:rPr>
                <w:sz w:val="20"/>
                <w:szCs w:val="20"/>
                <w:color w:val="auto"/>
              </w:rPr>
            </w:pPr>
            <w:r>
              <w:rPr>
                <w:rFonts w:ascii="Arial" w:cs="Arial" w:eastAsia="Arial" w:hAnsi="Arial"/>
                <w:sz w:val="18"/>
                <w:szCs w:val="18"/>
                <w:color w:val="auto"/>
                <w:w w:val="88"/>
              </w:rPr>
              <w:t>Net current-period other comprehensive income</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560" w:type="dxa"/>
            <w:vAlign w:val="bottom"/>
            <w:tcBorders>
              <w:top w:val="single" w:sz="8" w:color="auto"/>
              <w:bottom w:val="single" w:sz="8" w:color="auto"/>
            </w:tcBorders>
          </w:tcPr>
          <w:p>
            <w:pPr>
              <w:spacing w:after="0"/>
              <w:rPr>
                <w:sz w:val="18"/>
                <w:szCs w:val="18"/>
                <w:color w:val="auto"/>
              </w:rPr>
            </w:pPr>
          </w:p>
        </w:tc>
        <w:tc>
          <w:tcPr>
            <w:tcW w:w="600" w:type="dxa"/>
            <w:vAlign w:val="bottom"/>
            <w:tcBorders>
              <w:top w:val="single" w:sz="8" w:color="auto"/>
              <w:bottom w:val="single" w:sz="8" w:color="auto"/>
            </w:tcBorders>
            <w:gridSpan w:val="2"/>
          </w:tcPr>
          <w:p>
            <w:pPr>
              <w:jc w:val="right"/>
              <w:spacing w:after="0" w:line="204" w:lineRule="exact"/>
              <w:rPr>
                <w:sz w:val="20"/>
                <w:szCs w:val="20"/>
                <w:color w:val="auto"/>
              </w:rPr>
            </w:pPr>
            <w:r>
              <w:rPr>
                <w:rFonts w:ascii="Arial" w:cs="Arial" w:eastAsia="Arial" w:hAnsi="Arial"/>
                <w:sz w:val="18"/>
                <w:szCs w:val="18"/>
                <w:color w:val="auto"/>
              </w:rPr>
              <w:t>289</w:t>
            </w:r>
          </w:p>
        </w:tc>
        <w:tc>
          <w:tcPr>
            <w:tcW w:w="180" w:type="dxa"/>
            <w:vAlign w:val="bottom"/>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ind w:left="540"/>
              <w:spacing w:after="0" w:line="204"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tcBorders>
              <w:top w:val="single" w:sz="8" w:color="auto"/>
              <w:bottom w:val="single" w:sz="8" w:color="auto"/>
            </w:tcBorders>
          </w:tcPr>
          <w:p>
            <w:pPr>
              <w:spacing w:after="0"/>
              <w:rPr>
                <w:sz w:val="18"/>
                <w:szCs w:val="18"/>
                <w:color w:val="auto"/>
              </w:rPr>
            </w:pPr>
          </w:p>
        </w:tc>
        <w:tc>
          <w:tcPr>
            <w:tcW w:w="720" w:type="dxa"/>
            <w:vAlign w:val="bottom"/>
            <w:tcBorders>
              <w:top w:val="single" w:sz="8" w:color="auto"/>
              <w:bottom w:val="single" w:sz="8" w:color="auto"/>
            </w:tcBorders>
            <w:gridSpan w:val="2"/>
          </w:tcPr>
          <w:p>
            <w:pPr>
              <w:jc w:val="right"/>
              <w:spacing w:after="0" w:line="204" w:lineRule="exact"/>
              <w:rPr>
                <w:sz w:val="20"/>
                <w:szCs w:val="20"/>
                <w:color w:val="auto"/>
              </w:rPr>
            </w:pPr>
            <w:r>
              <w:rPr>
                <w:rFonts w:ascii="Arial" w:cs="Arial" w:eastAsia="Arial" w:hAnsi="Arial"/>
                <w:sz w:val="18"/>
                <w:szCs w:val="18"/>
                <w:color w:val="auto"/>
              </w:rPr>
              <w:t>1,252</w:t>
            </w:r>
          </w:p>
        </w:tc>
        <w:tc>
          <w:tcPr>
            <w:tcW w:w="180" w:type="dxa"/>
            <w:vAlign w:val="bottom"/>
          </w:tcPr>
          <w:p>
            <w:pPr>
              <w:spacing w:after="0"/>
              <w:rPr>
                <w:sz w:val="18"/>
                <w:szCs w:val="18"/>
                <w:color w:val="auto"/>
              </w:rPr>
            </w:pPr>
          </w:p>
        </w:tc>
        <w:tc>
          <w:tcPr>
            <w:tcW w:w="500" w:type="dxa"/>
            <w:vAlign w:val="bottom"/>
            <w:tcBorders>
              <w:top w:val="single" w:sz="8" w:color="auto"/>
              <w:bottom w:val="single" w:sz="8" w:color="auto"/>
            </w:tcBorders>
          </w:tcPr>
          <w:p>
            <w:pPr>
              <w:jc w:val="right"/>
              <w:spacing w:after="0" w:line="204" w:lineRule="exact"/>
              <w:rPr>
                <w:sz w:val="20"/>
                <w:szCs w:val="20"/>
                <w:color w:val="auto"/>
              </w:rPr>
            </w:pPr>
            <w:r>
              <w:rPr>
                <w:rFonts w:ascii="Arial" w:cs="Arial" w:eastAsia="Arial" w:hAnsi="Arial"/>
                <w:sz w:val="18"/>
                <w:szCs w:val="18"/>
                <w:color w:val="auto"/>
              </w:rPr>
              <w:t>1,541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Balance at April 28, 2012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3,991</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(1,285)</w:t>
            </w:r>
          </w:p>
        </w:tc>
        <w:tc>
          <w:tcPr>
            <w:tcW w:w="6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(389)</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2140" w:type="dxa"/>
            <w:vAlign w:val="bottom"/>
            <w:tcBorders>
              <w:bottom w:val="single" w:sz="8" w:color="auto"/>
            </w:tcBorders>
          </w:tcPr>
          <w:p>
            <w:pPr>
              <w:spacing w:after="0"/>
              <w:rPr>
                <w:sz w:val="24"/>
                <w:szCs w:val="24"/>
                <w:color w:val="auto"/>
              </w:rPr>
            </w:pPr>
          </w:p>
        </w:tc>
        <w:tc>
          <w:tcPr>
            <w:tcW w:w="2120" w:type="dxa"/>
            <w:vAlign w:val="bottom"/>
            <w:tcBorders>
              <w:bottom w:val="single" w:sz="8" w:color="auto"/>
            </w:tcBorders>
            <w:gridSpan w:val="5"/>
          </w:tcPr>
          <w:p>
            <w:pPr>
              <w:jc w:val="center"/>
              <w:ind w:right="120"/>
              <w:spacing w:after="0"/>
              <w:rPr>
                <w:sz w:val="20"/>
                <w:szCs w:val="20"/>
                <w:color w:val="auto"/>
              </w:rPr>
            </w:pPr>
            <w:r>
              <w:rPr>
                <w:rFonts w:ascii="Arial" w:cs="Arial" w:eastAsia="Arial" w:hAnsi="Arial"/>
                <w:sz w:val="14"/>
                <w:szCs w:val="14"/>
                <w:b w:val="1"/>
                <w:bCs w:val="1"/>
                <w:color w:val="auto"/>
                <w:w w:val="88"/>
              </w:rPr>
              <w:t>Three Months Ended May 4, 2013</w:t>
            </w:r>
          </w:p>
        </w:tc>
        <w:tc>
          <w:tcPr>
            <w:tcW w:w="14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3340" w:type="dxa"/>
            <w:vAlign w:val="bottom"/>
            <w:gridSpan w:val="2"/>
          </w:tcPr>
          <w:p>
            <w:pPr>
              <w:spacing w:after="0" w:line="130" w:lineRule="exact"/>
              <w:rPr>
                <w:sz w:val="20"/>
                <w:szCs w:val="20"/>
                <w:color w:val="auto"/>
              </w:rPr>
            </w:pPr>
            <w:r>
              <w:rPr>
                <w:rFonts w:ascii="Arial" w:cs="Arial" w:eastAsia="Arial" w:hAnsi="Arial"/>
                <w:sz w:val="14"/>
                <w:szCs w:val="14"/>
                <w:b w:val="1"/>
                <w:bCs w:val="1"/>
                <w:color w:val="auto"/>
              </w:rPr>
              <w:t>Details about</w:t>
            </w: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20" w:type="dxa"/>
            <w:vAlign w:val="bottom"/>
            <w:gridSpan w:val="3"/>
          </w:tcPr>
          <w:p>
            <w:pPr>
              <w:jc w:val="center"/>
              <w:ind w:right="660"/>
              <w:spacing w:after="0" w:line="130" w:lineRule="exact"/>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40" w:type="dxa"/>
            <w:vAlign w:val="bottom"/>
            <w:gridSpan w:val="3"/>
          </w:tcPr>
          <w:p>
            <w:pPr>
              <w:ind w:left="900"/>
              <w:spacing w:after="0" w:line="149" w:lineRule="exact"/>
              <w:rPr>
                <w:sz w:val="20"/>
                <w:szCs w:val="20"/>
                <w:color w:val="auto"/>
              </w:rPr>
            </w:pPr>
            <w:r>
              <w:rPr>
                <w:rFonts w:ascii="Arial" w:cs="Arial" w:eastAsia="Arial" w:hAnsi="Arial"/>
                <w:sz w:val="14"/>
                <w:szCs w:val="14"/>
                <w:b w:val="1"/>
                <w:bCs w:val="1"/>
                <w:color w:val="auto"/>
              </w:rPr>
              <w:t>Accumulated Other</w:t>
            </w:r>
          </w:p>
        </w:tc>
        <w:tc>
          <w:tcPr>
            <w:tcW w:w="400" w:type="dxa"/>
            <w:vAlign w:val="bottom"/>
          </w:tcPr>
          <w:p>
            <w:pPr>
              <w:spacing w:after="0"/>
              <w:rPr>
                <w:sz w:val="12"/>
                <w:szCs w:val="12"/>
                <w:color w:val="auto"/>
              </w:rPr>
            </w:pPr>
          </w:p>
        </w:tc>
        <w:tc>
          <w:tcPr>
            <w:tcW w:w="1720" w:type="dxa"/>
            <w:vAlign w:val="bottom"/>
            <w:gridSpan w:val="4"/>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Reclassified from</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60" w:type="dxa"/>
            <w:vAlign w:val="bottom"/>
            <w:gridSpan w:val="4"/>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Affected Line</w:t>
            </w: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40" w:type="dxa"/>
            <w:vAlign w:val="bottom"/>
            <w:gridSpan w:val="3"/>
          </w:tcPr>
          <w:p>
            <w:pPr>
              <w:ind w:left="900"/>
              <w:spacing w:after="0" w:line="149" w:lineRule="exact"/>
              <w:rPr>
                <w:sz w:val="20"/>
                <w:szCs w:val="20"/>
                <w:color w:val="auto"/>
              </w:rPr>
            </w:pPr>
            <w:r>
              <w:rPr>
                <w:rFonts w:ascii="Arial" w:cs="Arial" w:eastAsia="Arial" w:hAnsi="Arial"/>
                <w:sz w:val="14"/>
                <w:szCs w:val="14"/>
                <w:b w:val="1"/>
                <w:bCs w:val="1"/>
                <w:color w:val="auto"/>
              </w:rPr>
              <w:t>Comprehensive</w:t>
            </w:r>
          </w:p>
        </w:tc>
        <w:tc>
          <w:tcPr>
            <w:tcW w:w="2120" w:type="dxa"/>
            <w:vAlign w:val="bottom"/>
            <w:gridSpan w:val="5"/>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Accumulated Other</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60" w:type="dxa"/>
            <w:vAlign w:val="bottom"/>
            <w:gridSpan w:val="4"/>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Item in the Statement</w:t>
            </w: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40" w:type="dxa"/>
            <w:vAlign w:val="bottom"/>
            <w:gridSpan w:val="3"/>
          </w:tcPr>
          <w:p>
            <w:pPr>
              <w:ind w:left="900"/>
              <w:spacing w:after="0" w:line="149" w:lineRule="exact"/>
              <w:rPr>
                <w:sz w:val="20"/>
                <w:szCs w:val="20"/>
                <w:color w:val="auto"/>
              </w:rPr>
            </w:pPr>
            <w:r>
              <w:rPr>
                <w:rFonts w:ascii="Arial" w:cs="Arial" w:eastAsia="Arial" w:hAnsi="Arial"/>
                <w:sz w:val="14"/>
                <w:szCs w:val="14"/>
                <w:b w:val="1"/>
                <w:bCs w:val="1"/>
                <w:color w:val="auto"/>
              </w:rPr>
              <w:t>Income</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gridSpan w:val="3"/>
          </w:tcPr>
          <w:p>
            <w:pPr>
              <w:jc w:val="center"/>
              <w:ind w:right="680"/>
              <w:spacing w:after="0" w:line="149" w:lineRule="exact"/>
              <w:rPr>
                <w:sz w:val="20"/>
                <w:szCs w:val="20"/>
                <w:color w:val="auto"/>
              </w:rPr>
            </w:pPr>
            <w:r>
              <w:rPr>
                <w:rFonts w:ascii="Arial" w:cs="Arial" w:eastAsia="Arial" w:hAnsi="Arial"/>
                <w:sz w:val="14"/>
                <w:szCs w:val="14"/>
                <w:b w:val="1"/>
                <w:bCs w:val="1"/>
                <w:color w:val="auto"/>
                <w:w w:val="85"/>
              </w:rPr>
              <w:t>Comprehensive</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60" w:type="dxa"/>
            <w:vAlign w:val="bottom"/>
            <w:gridSpan w:val="4"/>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Where Net Income</w:t>
            </w: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240" w:type="dxa"/>
            <w:vAlign w:val="bottom"/>
            <w:gridSpan w:val="3"/>
          </w:tcPr>
          <w:p>
            <w:pPr>
              <w:ind w:left="900"/>
              <w:spacing w:after="0"/>
              <w:rPr>
                <w:sz w:val="20"/>
                <w:szCs w:val="20"/>
                <w:color w:val="auto"/>
              </w:rPr>
            </w:pPr>
            <w:r>
              <w:rPr>
                <w:rFonts w:ascii="Arial" w:cs="Arial" w:eastAsia="Arial" w:hAnsi="Arial"/>
                <w:sz w:val="14"/>
                <w:szCs w:val="14"/>
                <w:b w:val="1"/>
                <w:bCs w:val="1"/>
                <w:color w:val="auto"/>
              </w:rPr>
              <w:t>Components</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20" w:type="dxa"/>
            <w:vAlign w:val="bottom"/>
            <w:gridSpan w:val="3"/>
          </w:tcPr>
          <w:p>
            <w:pPr>
              <w:jc w:val="center"/>
              <w:ind w:right="680"/>
              <w:spacing w:after="0"/>
              <w:rPr>
                <w:sz w:val="20"/>
                <w:szCs w:val="20"/>
                <w:color w:val="auto"/>
              </w:rPr>
            </w:pPr>
            <w:r>
              <w:rPr>
                <w:rFonts w:ascii="Arial" w:cs="Arial" w:eastAsia="Arial" w:hAnsi="Arial"/>
                <w:sz w:val="14"/>
                <w:szCs w:val="14"/>
                <w:b w:val="1"/>
                <w:bCs w:val="1"/>
                <w:color w:val="auto"/>
                <w:w w:val="85"/>
              </w:rPr>
              <w:t>Income</w:t>
            </w: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6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84"/>
              </w:rPr>
              <w:t>is Presented</w:t>
            </w: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200" w:type="dxa"/>
            <w:vAlign w:val="bottom"/>
            <w:tcBorders>
              <w:bottom w:val="single" w:sz="8" w:color="CCEEFF"/>
            </w:tcBorders>
            <w:shd w:val="clear" w:color="auto" w:fill="000000"/>
          </w:tcPr>
          <w:p>
            <w:pPr>
              <w:spacing w:after="0" w:line="20" w:lineRule="exact"/>
              <w:rPr>
                <w:sz w:val="1"/>
                <w:szCs w:val="1"/>
                <w:color w:val="auto"/>
              </w:rPr>
            </w:pPr>
          </w:p>
        </w:tc>
        <w:tc>
          <w:tcPr>
            <w:tcW w:w="2140" w:type="dxa"/>
            <w:vAlign w:val="bottom"/>
            <w:tcBorders>
              <w:bottom w:val="single" w:sz="8" w:color="CCEEFF"/>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334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Available-for-sale securities</w:t>
            </w: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20"/>
              <w:spacing w:after="0" w:line="203" w:lineRule="exact"/>
              <w:rPr>
                <w:sz w:val="20"/>
                <w:szCs w:val="20"/>
                <w:color w:val="auto"/>
              </w:rPr>
            </w:pPr>
            <w:r>
              <w:rPr>
                <w:rFonts w:ascii="Arial" w:cs="Arial" w:eastAsia="Arial" w:hAnsi="Arial"/>
                <w:sz w:val="18"/>
                <w:szCs w:val="18"/>
                <w:color w:val="auto"/>
              </w:rPr>
              <w:t>376</w:t>
            </w:r>
          </w:p>
        </w:tc>
        <w:tc>
          <w:tcPr>
            <w:tcW w:w="5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480" w:type="dxa"/>
            <w:vAlign w:val="bottom"/>
            <w:gridSpan w:val="7"/>
            <w:shd w:val="clear" w:color="auto" w:fill="CCEEFF"/>
          </w:tcPr>
          <w:p>
            <w:pPr>
              <w:spacing w:after="0" w:line="203" w:lineRule="exact"/>
              <w:rPr>
                <w:sz w:val="20"/>
                <w:szCs w:val="20"/>
                <w:color w:val="auto"/>
              </w:rPr>
            </w:pPr>
            <w:r>
              <w:rPr>
                <w:rFonts w:ascii="Arial" w:cs="Arial" w:eastAsia="Arial" w:hAnsi="Arial"/>
                <w:sz w:val="18"/>
                <w:szCs w:val="18"/>
                <w:color w:val="auto"/>
              </w:rPr>
              <w:t>Interest and other income, net</w:t>
            </w:r>
          </w:p>
        </w:tc>
        <w:tc>
          <w:tcPr>
            <w:tcW w:w="600" w:type="dxa"/>
            <w:vAlign w:val="bottom"/>
            <w:shd w:val="clear" w:color="auto" w:fill="CCEEFF"/>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vMerge w:val="restart"/>
          </w:tcPr>
          <w:p>
            <w:pPr>
              <w:spacing w:after="0"/>
              <w:rPr>
                <w:sz w:val="12"/>
                <w:szCs w:val="12"/>
                <w:color w:val="auto"/>
              </w:rPr>
            </w:pPr>
          </w:p>
        </w:tc>
        <w:tc>
          <w:tcPr>
            <w:tcW w:w="120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spacing w:after="0"/>
              <w:rPr>
                <w:sz w:val="12"/>
                <w:szCs w:val="12"/>
                <w:color w:val="auto"/>
              </w:rPr>
            </w:pP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0" w:type="dxa"/>
            <w:vAlign w:val="bottom"/>
            <w:gridSpan w:val="5"/>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vMerge w:val="continue"/>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61</w:t>
            </w:r>
          </w:p>
        </w:tc>
        <w:tc>
          <w:tcPr>
            <w:tcW w:w="560" w:type="dxa"/>
            <w:vAlign w:val="bottom"/>
            <w:shd w:val="clear" w:color="auto" w:fill="CCEEFF"/>
          </w:tcPr>
          <w:p>
            <w:pPr>
              <w:spacing w:after="0"/>
              <w:rPr>
                <w:sz w:val="18"/>
                <w:szCs w:val="18"/>
                <w:color w:val="auto"/>
              </w:rPr>
            </w:pPr>
          </w:p>
        </w:tc>
        <w:tc>
          <w:tcPr>
            <w:tcW w:w="1940" w:type="dxa"/>
            <w:vAlign w:val="bottom"/>
            <w:gridSpan w:val="6"/>
            <w:shd w:val="clear" w:color="auto" w:fill="CCEEFF"/>
          </w:tcPr>
          <w:p>
            <w:pPr>
              <w:ind w:left="140"/>
              <w:spacing w:after="0"/>
              <w:rPr>
                <w:sz w:val="20"/>
                <w:szCs w:val="20"/>
                <w:color w:val="auto"/>
              </w:rPr>
            </w:pPr>
            <w:r>
              <w:rPr>
                <w:rFonts w:ascii="Arial" w:cs="Arial" w:eastAsia="Arial" w:hAnsi="Arial"/>
                <w:sz w:val="18"/>
                <w:szCs w:val="18"/>
                <w:color w:val="auto"/>
              </w:rPr>
              <w:t>Cost of goods sold</w:t>
            </w:r>
          </w:p>
        </w:tc>
        <w:tc>
          <w:tcPr>
            <w:tcW w:w="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945</w:t>
            </w:r>
          </w:p>
        </w:tc>
        <w:tc>
          <w:tcPr>
            <w:tcW w:w="560" w:type="dxa"/>
            <w:vAlign w:val="bottom"/>
          </w:tcPr>
          <w:p>
            <w:pPr>
              <w:spacing w:after="0"/>
              <w:rPr>
                <w:sz w:val="18"/>
                <w:szCs w:val="18"/>
                <w:color w:val="auto"/>
              </w:rPr>
            </w:pPr>
          </w:p>
        </w:tc>
        <w:tc>
          <w:tcPr>
            <w:tcW w:w="2620" w:type="dxa"/>
            <w:vAlign w:val="bottom"/>
            <w:gridSpan w:val="8"/>
          </w:tcPr>
          <w:p>
            <w:pPr>
              <w:ind w:left="140"/>
              <w:spacing w:after="0"/>
              <w:rPr>
                <w:sz w:val="20"/>
                <w:szCs w:val="20"/>
                <w:color w:val="auto"/>
              </w:rPr>
            </w:pPr>
            <w:r>
              <w:rPr>
                <w:rFonts w:ascii="Arial" w:cs="Arial" w:eastAsia="Arial" w:hAnsi="Arial"/>
                <w:sz w:val="18"/>
                <w:szCs w:val="18"/>
                <w:color w:val="auto"/>
              </w:rPr>
              <w:t>Research and development</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2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w:t>
            </w:r>
          </w:p>
        </w:tc>
        <w:tc>
          <w:tcPr>
            <w:tcW w:w="560" w:type="dxa"/>
            <w:vAlign w:val="bottom"/>
            <w:shd w:val="clear" w:color="auto" w:fill="CCEEFF"/>
          </w:tcPr>
          <w:p>
            <w:pPr>
              <w:spacing w:after="0"/>
              <w:rPr>
                <w:sz w:val="18"/>
                <w:szCs w:val="18"/>
                <w:color w:val="auto"/>
              </w:rPr>
            </w:pPr>
          </w:p>
        </w:tc>
        <w:tc>
          <w:tcPr>
            <w:tcW w:w="1940" w:type="dxa"/>
            <w:vAlign w:val="bottom"/>
            <w:gridSpan w:val="6"/>
            <w:shd w:val="clear" w:color="auto" w:fill="CCEEFF"/>
          </w:tcPr>
          <w:p>
            <w:pPr>
              <w:ind w:left="140"/>
              <w:spacing w:after="0"/>
              <w:rPr>
                <w:sz w:val="20"/>
                <w:szCs w:val="20"/>
                <w:color w:val="auto"/>
              </w:rPr>
            </w:pPr>
            <w:r>
              <w:rPr>
                <w:rFonts w:ascii="Arial" w:cs="Arial" w:eastAsia="Arial" w:hAnsi="Arial"/>
                <w:sz w:val="18"/>
                <w:szCs w:val="18"/>
                <w:color w:val="auto"/>
              </w:rPr>
              <w:t>Selling and marketing</w:t>
            </w:r>
          </w:p>
        </w:tc>
        <w:tc>
          <w:tcPr>
            <w:tcW w:w="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21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8</w:t>
            </w:r>
          </w:p>
        </w:tc>
        <w:tc>
          <w:tcPr>
            <w:tcW w:w="560" w:type="dxa"/>
            <w:vAlign w:val="bottom"/>
          </w:tcPr>
          <w:p>
            <w:pPr>
              <w:spacing w:after="0"/>
              <w:rPr>
                <w:sz w:val="19"/>
                <w:szCs w:val="19"/>
                <w:color w:val="auto"/>
              </w:rPr>
            </w:pPr>
          </w:p>
        </w:tc>
        <w:tc>
          <w:tcPr>
            <w:tcW w:w="2620" w:type="dxa"/>
            <w:vAlign w:val="bottom"/>
            <w:gridSpan w:val="8"/>
          </w:tcPr>
          <w:p>
            <w:pPr>
              <w:ind w:left="140"/>
              <w:spacing w:after="0"/>
              <w:rPr>
                <w:sz w:val="20"/>
                <w:szCs w:val="20"/>
                <w:color w:val="auto"/>
              </w:rPr>
            </w:pPr>
            <w:r>
              <w:rPr>
                <w:rFonts w:ascii="Arial" w:cs="Arial" w:eastAsia="Arial" w:hAnsi="Arial"/>
                <w:sz w:val="18"/>
                <w:szCs w:val="18"/>
                <w:color w:val="auto"/>
              </w:rPr>
              <w:t>General and administrative</w:t>
            </w:r>
          </w:p>
        </w:tc>
        <w:tc>
          <w:tcPr>
            <w:tcW w:w="6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reclassifications</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1,472</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gridSpan w:val="7"/>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5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8"/>
              </w:rPr>
              <w:t>May 4,</w:t>
            </w:r>
          </w:p>
        </w:tc>
        <w:tc>
          <w:tcPr>
            <w:tcW w:w="4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ind w:left="80"/>
              <w:spacing w:after="0" w:line="129" w:lineRule="exact"/>
              <w:rPr>
                <w:sz w:val="20"/>
                <w:szCs w:val="20"/>
                <w:color w:val="auto"/>
              </w:rPr>
            </w:pPr>
            <w:r>
              <w:rPr>
                <w:rFonts w:ascii="Arial" w:cs="Arial" w:eastAsia="Arial" w:hAnsi="Arial"/>
                <w:sz w:val="14"/>
                <w:szCs w:val="14"/>
                <w:b w:val="1"/>
                <w:bCs w:val="1"/>
                <w:color w:val="auto"/>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80" w:type="dxa"/>
            <w:vAlign w:val="bottom"/>
            <w:tcBorders>
              <w:bottom w:val="single" w:sz="8" w:color="CCEEFF"/>
            </w:tcBorders>
          </w:tcPr>
          <w:p>
            <w:pPr>
              <w:spacing w:after="0"/>
              <w:rPr>
                <w:sz w:val="14"/>
                <w:szCs w:val="14"/>
                <w:color w:val="auto"/>
              </w:rPr>
            </w:pPr>
          </w:p>
        </w:tc>
        <w:tc>
          <w:tcPr>
            <w:tcW w:w="11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89"/>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53,209</w:t>
            </w:r>
          </w:p>
        </w:tc>
        <w:tc>
          <w:tcPr>
            <w:tcW w:w="10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94,543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440"/>
              <w:spacing w:after="0"/>
              <w:rPr>
                <w:sz w:val="20"/>
                <w:szCs w:val="20"/>
                <w:color w:val="auto"/>
              </w:rPr>
            </w:pPr>
            <w:r>
              <w:rPr>
                <w:rFonts w:ascii="Arial" w:cs="Arial" w:eastAsia="Arial" w:hAnsi="Arial"/>
                <w:sz w:val="18"/>
                <w:szCs w:val="18"/>
                <w:color w:val="auto"/>
              </w:rPr>
              <w:t>Weighted average common shares outstanding:</w:t>
            </w:r>
          </w:p>
        </w:tc>
        <w:tc>
          <w:tcPr>
            <w:tcW w:w="1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502,180</w:t>
            </w:r>
          </w:p>
        </w:tc>
        <w:tc>
          <w:tcPr>
            <w:tcW w:w="100" w:type="dxa"/>
            <w:vAlign w:val="bottom"/>
          </w:tcPr>
          <w:p>
            <w:pPr>
              <w:spacing w:after="0"/>
              <w:rPr>
                <w:sz w:val="18"/>
                <w:szCs w:val="18"/>
                <w:color w:val="auto"/>
              </w:rPr>
            </w:pPr>
          </w:p>
        </w:tc>
        <w:tc>
          <w:tcPr>
            <w:tcW w:w="1080" w:type="dxa"/>
            <w:vAlign w:val="bottom"/>
            <w:gridSpan w:val="4"/>
          </w:tcPr>
          <w:p>
            <w:pPr>
              <w:jc w:val="right"/>
              <w:spacing w:after="0"/>
              <w:rPr>
                <w:sz w:val="20"/>
                <w:szCs w:val="20"/>
                <w:color w:val="auto"/>
              </w:rPr>
            </w:pPr>
            <w:r>
              <w:rPr>
                <w:rFonts w:ascii="Arial" w:cs="Arial" w:eastAsia="Arial" w:hAnsi="Arial"/>
                <w:sz w:val="18"/>
                <w:szCs w:val="18"/>
                <w:color w:val="auto"/>
              </w:rPr>
              <w:t>580,024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580" w:type="dxa"/>
            <w:vAlign w:val="bottom"/>
          </w:tcPr>
          <w:p>
            <w:pPr>
              <w:ind w:left="440"/>
              <w:spacing w:after="0"/>
              <w:rPr>
                <w:sz w:val="20"/>
                <w:szCs w:val="20"/>
                <w:color w:val="auto"/>
              </w:rPr>
            </w:pPr>
            <w:r>
              <w:rPr>
                <w:rFonts w:ascii="Arial" w:cs="Arial" w:eastAsia="Arial" w:hAnsi="Arial"/>
                <w:sz w:val="18"/>
                <w:szCs w:val="18"/>
                <w:color w:val="auto"/>
              </w:rPr>
              <w:t>Common share-based awards</w:t>
            </w:r>
          </w:p>
        </w:tc>
        <w:tc>
          <w:tcPr>
            <w:tcW w:w="1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3,207</w:t>
            </w:r>
          </w:p>
        </w:tc>
        <w:tc>
          <w:tcPr>
            <w:tcW w:w="1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14,715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505,387</w:t>
            </w:r>
          </w:p>
        </w:tc>
        <w:tc>
          <w:tcPr>
            <w:tcW w:w="100" w:type="dxa"/>
            <w:vAlign w:val="bottom"/>
            <w:shd w:val="clear" w:color="auto" w:fill="CCEEFF"/>
          </w:tcPr>
          <w:p>
            <w:pPr>
              <w:spacing w:after="0"/>
              <w:rPr>
                <w:sz w:val="18"/>
                <w:szCs w:val="18"/>
                <w:color w:val="auto"/>
              </w:rPr>
            </w:pPr>
          </w:p>
        </w:tc>
        <w:tc>
          <w:tcPr>
            <w:tcW w:w="10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594,739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580" w:type="dxa"/>
            <w:vAlign w:val="bottom"/>
            <w:vMerge w:val="continue"/>
          </w:tcPr>
          <w:p>
            <w:pPr>
              <w:spacing w:after="0"/>
              <w:rPr>
                <w:sz w:val="18"/>
                <w:szCs w:val="18"/>
                <w:color w:val="auto"/>
              </w:rPr>
            </w:pPr>
          </w:p>
        </w:tc>
        <w:tc>
          <w:tcPr>
            <w:tcW w:w="1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5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580" w:type="dxa"/>
            <w:vAlign w:val="bottom"/>
          </w:tcPr>
          <w:p>
            <w:pPr>
              <w:ind w:left="440"/>
              <w:spacing w:after="0"/>
              <w:rPr>
                <w:sz w:val="20"/>
                <w:szCs w:val="20"/>
                <w:color w:val="auto"/>
              </w:rPr>
            </w:pPr>
            <w:r>
              <w:rPr>
                <w:rFonts w:ascii="Arial" w:cs="Arial" w:eastAsia="Arial" w:hAnsi="Arial"/>
                <w:sz w:val="18"/>
                <w:szCs w:val="18"/>
                <w:color w:val="auto"/>
              </w:rPr>
              <w:t>Diluted</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0.11</w:t>
            </w:r>
          </w:p>
        </w:tc>
        <w:tc>
          <w:tcPr>
            <w:tcW w:w="100" w:type="dxa"/>
            <w:vAlign w:val="bottom"/>
          </w:tcPr>
          <w:p>
            <w:pPr>
              <w:spacing w:after="0"/>
              <w:rPr>
                <w:sz w:val="19"/>
                <w:szCs w:val="19"/>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5"/>
        </w:trPr>
        <w:tc>
          <w:tcPr>
            <w:tcW w:w="55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760" w:type="dxa"/>
            <w:vAlign w:val="bottom"/>
            <w:gridSpan w:val="7"/>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5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rPr>
              <w:t>May 4,</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ind w:right="77"/>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11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40,631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22,120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exercise price</w:t>
            </w: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$ 15.24</w:t>
            </w:r>
          </w:p>
        </w:tc>
        <w:tc>
          <w:tcPr>
            <w:tcW w:w="580" w:type="dxa"/>
            <w:vAlign w:val="bottom"/>
            <w:gridSpan w:val="3"/>
            <w:shd w:val="clear" w:color="auto" w:fill="CCEEFF"/>
          </w:tcPr>
          <w:p>
            <w:pPr>
              <w:ind w:left="50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vMerge w:val="restart"/>
          </w:tcPr>
          <w:p>
            <w:pPr>
              <w:ind w:left="4240"/>
              <w:spacing w:after="0"/>
              <w:rPr>
                <w:sz w:val="20"/>
                <w:szCs w:val="20"/>
                <w:color w:val="auto"/>
              </w:rPr>
            </w:pPr>
            <w:r>
              <w:rPr>
                <w:rFonts w:ascii="Arial" w:cs="Arial" w:eastAsia="Arial" w:hAnsi="Arial"/>
                <w:sz w:val="18"/>
                <w:szCs w:val="18"/>
                <w:color w:val="auto"/>
              </w:rPr>
              <w:t>11</w:t>
            </w:r>
          </w:p>
        </w:tc>
        <w:tc>
          <w:tcPr>
            <w:tcW w:w="1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5580" w:type="dxa"/>
            <w:vAlign w:val="bottom"/>
            <w:vMerge w:val="continue"/>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Anti-dilutive potential common shares for stock options are excluded from the calculation of diluted earnings per share for the periods reported above because their exercise price exceeded the average market price during the period. The anti-dilutive shares reported above also include shares from stock options that contain market conditions for vesting since the market value of the Company’s stock as of May 4, 2013 and April 28, 2012 was lower than the required market condition. There were 2.8 million and 3.1 million anti-dilutive shares from stock options that contain market conditions for the three months ended May 4, 2013 and April 28, 2012,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rPr>
              <w:t>Buy Contracts</w:t>
            </w: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54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700" w:type="dxa"/>
            <w:vAlign w:val="bottom"/>
          </w:tcPr>
          <w:p>
            <w:pPr>
              <w:spacing w:after="0" w:line="142" w:lineRule="exact"/>
              <w:rPr>
                <w:sz w:val="20"/>
                <w:szCs w:val="20"/>
                <w:color w:val="auto"/>
              </w:rPr>
            </w:pPr>
            <w:r>
              <w:rPr>
                <w:rFonts w:ascii="Arial" w:cs="Arial" w:eastAsia="Arial" w:hAnsi="Arial"/>
                <w:sz w:val="14"/>
                <w:szCs w:val="14"/>
                <w:b w:val="1"/>
                <w:bCs w:val="1"/>
                <w:color w:val="auto"/>
                <w:w w:val="87"/>
              </w:rPr>
              <w:t>May 4, 2013</w:t>
            </w:r>
          </w:p>
        </w:tc>
        <w:tc>
          <w:tcPr>
            <w:tcW w:w="1720" w:type="dxa"/>
            <w:vAlign w:val="bottom"/>
            <w:gridSpan w:val="3"/>
          </w:tcPr>
          <w:p>
            <w:pPr>
              <w:ind w:left="720"/>
              <w:spacing w:after="0" w:line="142" w:lineRule="exact"/>
              <w:rPr>
                <w:sz w:val="20"/>
                <w:szCs w:val="20"/>
                <w:color w:val="auto"/>
              </w:rPr>
            </w:pPr>
            <w:r>
              <w:rPr>
                <w:rFonts w:ascii="Arial" w:cs="Arial" w:eastAsia="Arial" w:hAnsi="Arial"/>
                <w:sz w:val="14"/>
                <w:szCs w:val="14"/>
                <w:b w:val="1"/>
                <w:bCs w:val="1"/>
                <w:color w:val="auto"/>
                <w:w w:val="88"/>
              </w:rPr>
              <w:t>February 2, 2013</w:t>
            </w:r>
          </w:p>
        </w:tc>
        <w:tc>
          <w:tcPr>
            <w:tcW w:w="100" w:type="dxa"/>
            <w:vAlign w:val="bottom"/>
          </w:tcPr>
          <w:p>
            <w:pPr>
              <w:spacing w:after="0"/>
              <w:rPr>
                <w:sz w:val="12"/>
                <w:szCs w:val="12"/>
                <w:color w:val="auto"/>
              </w:rPr>
            </w:pPr>
          </w:p>
        </w:tc>
      </w:tr>
      <w:tr>
        <w:trPr>
          <w:trHeight w:val="210"/>
        </w:trPr>
        <w:tc>
          <w:tcPr>
            <w:tcW w:w="35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6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0"/>
              </w:rPr>
              <w:t>$  32,521</w:t>
            </w:r>
          </w:p>
        </w:tc>
        <w:tc>
          <w:tcPr>
            <w:tcW w:w="72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38,249</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54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foreign currency exchange contracts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May 4, 2013.</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assets that were accounted for at fair value as of May 4, 2013 and February 2, 2013. The tables do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580" w:type="dxa"/>
            <w:vAlign w:val="bottom"/>
            <w:gridSpan w:val="2"/>
          </w:tcPr>
          <w:p>
            <w:pPr>
              <w:ind w:left="80"/>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at May 4, 2013</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13,872</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13,872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101,081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6,700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330,570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330,570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572,447</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572,447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138,000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138,000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76,659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10,315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10,315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10,232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Forward contracts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Long-term investments: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20"/>
                <w:szCs w:val="20"/>
                <w:color w:val="auto"/>
              </w:rPr>
            </w:pPr>
            <w:r>
              <w:rPr>
                <w:rFonts w:ascii="Arial" w:cs="Arial" w:eastAsia="Arial" w:hAnsi="Arial"/>
                <w:sz w:val="18"/>
                <w:szCs w:val="18"/>
                <w:color w:val="auto"/>
                <w:w w:val="83"/>
              </w:rPr>
              <w:t>16,550</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Severance pay fund</w:t>
            </w:r>
          </w:p>
        </w:tc>
        <w:tc>
          <w:tcPr>
            <w:tcW w:w="15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2,163</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320" w:type="dxa"/>
            <w:vAlign w:val="bottom"/>
            <w:gridSpan w:val="2"/>
          </w:tcPr>
          <w:p>
            <w:pPr>
              <w:spacing w:after="0"/>
              <w:rPr>
                <w:sz w:val="20"/>
                <w:szCs w:val="20"/>
                <w:color w:val="auto"/>
              </w:rPr>
            </w:pPr>
            <w:r>
              <w:rPr>
                <w:rFonts w:ascii="Arial" w:cs="Arial" w:eastAsia="Arial" w:hAnsi="Arial"/>
                <w:sz w:val="18"/>
                <w:szCs w:val="18"/>
                <w:color w:val="auto"/>
              </w:rPr>
              <w:t>Total assets</w:t>
            </w:r>
          </w:p>
        </w:tc>
        <w:tc>
          <w:tcPr>
            <w:tcW w:w="15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344,442</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918,627</w:t>
            </w:r>
          </w:p>
        </w:tc>
        <w:tc>
          <w:tcPr>
            <w:tcW w:w="5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tcPr>
          <w:p>
            <w:pPr>
              <w:spacing w:after="0"/>
              <w:rPr>
                <w:sz w:val="20"/>
                <w:szCs w:val="20"/>
                <w:color w:val="auto"/>
              </w:rPr>
            </w:pPr>
            <w:r>
              <w:rPr>
                <w:rFonts w:ascii="Arial" w:cs="Arial" w:eastAsia="Arial" w:hAnsi="Arial"/>
                <w:sz w:val="18"/>
                <w:szCs w:val="18"/>
                <w:color w:val="auto"/>
                <w:w w:val="83"/>
              </w:rPr>
              <w:t>16,550</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1,279,619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580" w:type="dxa"/>
            <w:vAlign w:val="bottom"/>
            <w:gridSpan w:val="2"/>
          </w:tcPr>
          <w:p>
            <w:pPr>
              <w:ind w:left="80"/>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6"/>
              </w:rPr>
              <w:t>at February 2, 2013</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27,029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27,029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119,874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119,874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318,479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579,624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188,000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4,319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4,319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1,144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20"/>
                <w:szCs w:val="20"/>
                <w:color w:val="auto"/>
              </w:rPr>
            </w:pPr>
            <w:r>
              <w:rPr>
                <w:rFonts w:ascii="Arial" w:cs="Arial" w:eastAsia="Arial" w:hAnsi="Arial"/>
                <w:sz w:val="18"/>
                <w:szCs w:val="18"/>
                <w:color w:val="auto"/>
                <w:w w:val="83"/>
              </w:rPr>
              <w:t>16,769</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ind w:left="2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367,031</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971,553</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spacing w:after="0"/>
              <w:rPr>
                <w:sz w:val="20"/>
                <w:szCs w:val="20"/>
                <w:color w:val="auto"/>
              </w:rPr>
            </w:pPr>
            <w:r>
              <w:rPr>
                <w:rFonts w:ascii="Arial" w:cs="Arial" w:eastAsia="Arial" w:hAnsi="Arial"/>
                <w:sz w:val="18"/>
                <w:szCs w:val="18"/>
                <w:color w:val="auto"/>
                <w:w w:val="83"/>
              </w:rPr>
              <w:t>16,769</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1,355,353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580" w:type="dxa"/>
            <w:vAlign w:val="bottom"/>
            <w:vMerge w:val="restart"/>
          </w:tcPr>
          <w:p>
            <w:pPr>
              <w:jc w:val="right"/>
              <w:ind w:right="472"/>
              <w:spacing w:after="0"/>
              <w:rPr>
                <w:sz w:val="20"/>
                <w:szCs w:val="20"/>
                <w:color w:val="auto"/>
              </w:rPr>
            </w:pPr>
            <w:r>
              <w:rPr>
                <w:rFonts w:ascii="Arial" w:cs="Arial" w:eastAsia="Arial" w:hAnsi="Arial"/>
                <w:sz w:val="18"/>
                <w:szCs w:val="18"/>
                <w:color w:val="auto"/>
              </w:rPr>
              <w:t>13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05"/>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5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240" w:top="459" w:right="3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 for Level 3 items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6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8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May 4, 2013</w:t>
            </w:r>
          </w:p>
        </w:tc>
        <w:tc>
          <w:tcPr>
            <w:tcW w:w="116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rPr>
              <w:t>April 28, 2012</w:t>
            </w:r>
          </w:p>
        </w:tc>
        <w:tc>
          <w:tcPr>
            <w:tcW w:w="100" w:type="dxa"/>
            <w:vAlign w:val="bottom"/>
          </w:tcPr>
          <w:p>
            <w:pPr>
              <w:spacing w:after="0"/>
              <w:rPr>
                <w:sz w:val="12"/>
                <w:szCs w:val="12"/>
                <w:color w:val="auto"/>
              </w:rPr>
            </w:pPr>
          </w:p>
        </w:tc>
      </w:tr>
      <w:tr>
        <w:trPr>
          <w:trHeight w:val="210"/>
        </w:trPr>
        <w:tc>
          <w:tcPr>
            <w:tcW w:w="63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16,769</w:t>
            </w:r>
          </w:p>
        </w:tc>
        <w:tc>
          <w:tcPr>
            <w:tcW w:w="4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32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(300)</w:t>
            </w:r>
          </w:p>
        </w:tc>
        <w:tc>
          <w:tcPr>
            <w:tcW w:w="3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ind w:left="180"/>
              <w:spacing w:after="0"/>
              <w:rPr>
                <w:sz w:val="20"/>
                <w:szCs w:val="20"/>
                <w:color w:val="auto"/>
              </w:rPr>
            </w:pPr>
            <w:r>
              <w:rPr>
                <w:rFonts w:ascii="Arial" w:cs="Arial" w:eastAsia="Arial" w:hAnsi="Arial"/>
                <w:sz w:val="18"/>
                <w:szCs w:val="18"/>
                <w:color w:val="auto"/>
              </w:rPr>
              <w:t>—</w:t>
            </w: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gains included in accumulated other comprehensive income</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22"/>
        </w:trPr>
        <w:tc>
          <w:tcPr>
            <w:tcW w:w="6320" w:type="dxa"/>
            <w:vAlign w:val="bottom"/>
          </w:tcPr>
          <w:p>
            <w:pPr>
              <w:spacing w:after="0"/>
              <w:rPr>
                <w:sz w:val="20"/>
                <w:szCs w:val="20"/>
                <w:color w:val="auto"/>
              </w:rPr>
            </w:pPr>
            <w:r>
              <w:rPr>
                <w:rFonts w:ascii="Arial" w:cs="Arial" w:eastAsia="Arial" w:hAnsi="Arial"/>
                <w:sz w:val="18"/>
                <w:szCs w:val="18"/>
                <w:color w:val="auto"/>
              </w:rPr>
              <w:t>Ending balance</w:t>
            </w: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16,550</w:t>
            </w:r>
          </w:p>
        </w:tc>
        <w:tc>
          <w:tcPr>
            <w:tcW w:w="400" w:type="dxa"/>
            <w:vAlign w:val="bottom"/>
          </w:tcPr>
          <w:p>
            <w:pPr>
              <w:spacing w:after="0"/>
              <w:rPr>
                <w:sz w:val="19"/>
                <w:szCs w:val="19"/>
                <w:color w:val="auto"/>
              </w:rPr>
            </w:pPr>
          </w:p>
        </w:tc>
        <w:tc>
          <w:tcPr>
            <w:tcW w:w="660" w:type="dxa"/>
            <w:vAlign w:val="bottom"/>
            <w:gridSpan w:val="2"/>
          </w:tcPr>
          <w:p>
            <w:pPr>
              <w:jc w:val="right"/>
              <w:ind w:right="163"/>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23,215</w:t>
            </w:r>
          </w:p>
        </w:tc>
        <w:tc>
          <w:tcPr>
            <w:tcW w:w="100" w:type="dxa"/>
            <w:vAlign w:val="bottom"/>
          </w:tcPr>
          <w:p>
            <w:pPr>
              <w:spacing w:after="0"/>
              <w:rPr>
                <w:sz w:val="19"/>
                <w:szCs w:val="19"/>
                <w:color w:val="auto"/>
              </w:rPr>
            </w:pPr>
          </w:p>
        </w:tc>
      </w:tr>
      <w:tr>
        <w:trPr>
          <w:trHeight w:val="20"/>
        </w:trPr>
        <w:tc>
          <w:tcPr>
            <w:tcW w:w="63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40" w:type="dxa"/>
            <w:vAlign w:val="bottom"/>
          </w:tcPr>
          <w:p>
            <w:pPr>
              <w:spacing w:after="0"/>
              <w:rPr>
                <w:sz w:val="18"/>
                <w:szCs w:val="18"/>
                <w:color w:val="auto"/>
              </w:rPr>
            </w:pPr>
          </w:p>
        </w:tc>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$2,032,138</w:t>
            </w:r>
          </w:p>
        </w:tc>
        <w:tc>
          <w:tcPr>
            <w:tcW w:w="100" w:type="dxa"/>
            <w:vAlign w:val="bottom"/>
            <w:shd w:val="clear" w:color="auto" w:fill="CCEEFF"/>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40" w:type="dxa"/>
            <w:vAlign w:val="bottom"/>
          </w:tcPr>
          <w:p>
            <w:pPr>
              <w:spacing w:after="0"/>
              <w:rPr>
                <w:sz w:val="19"/>
                <w:szCs w:val="19"/>
                <w:color w:val="auto"/>
              </w:rPr>
            </w:pPr>
          </w:p>
        </w:tc>
        <w:tc>
          <w:tcPr>
            <w:tcW w:w="2860" w:type="dxa"/>
            <w:vAlign w:val="bottom"/>
          </w:tcPr>
          <w:p>
            <w:pPr>
              <w:spacing w:after="0"/>
              <w:rPr>
                <w:sz w:val="20"/>
                <w:szCs w:val="20"/>
                <w:color w:val="auto"/>
              </w:rPr>
            </w:pPr>
            <w:r>
              <w:rPr>
                <w:rFonts w:ascii="Arial" w:cs="Arial" w:eastAsia="Arial" w:hAnsi="Arial"/>
                <w:sz w:val="18"/>
                <w:szCs w:val="18"/>
                <w:color w:val="auto"/>
                <w:w w:val="89"/>
              </w:rPr>
              <w:t>Additions due to business combinations</w:t>
            </w:r>
          </w:p>
        </w:tc>
        <w:tc>
          <w:tcPr>
            <w:tcW w:w="7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400</w:t>
            </w: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4, 2013</w:t>
            </w: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2,032,538</w:t>
            </w:r>
          </w:p>
        </w:tc>
        <w:tc>
          <w:tcPr>
            <w:tcW w:w="100" w:type="dxa"/>
            <w:vAlign w:val="bottom"/>
            <w:shd w:val="clear" w:color="auto" w:fill="CCEEFF"/>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00" w:type="dxa"/>
            <w:vAlign w:val="bottom"/>
            <w:gridSpan w:val="2"/>
            <w:vMerge w:val="restart"/>
          </w:tcPr>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tc>
        <w:tc>
          <w:tcPr>
            <w:tcW w:w="7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700" w:type="dxa"/>
            <w:vAlign w:val="bottom"/>
            <w:gridSpan w:val="2"/>
            <w:vMerge w:val="continue"/>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460" w:type="dxa"/>
            <w:vAlign w:val="bottom"/>
            <w:gridSpan w:val="8"/>
          </w:tcPr>
          <w:p>
            <w:pPr>
              <w:ind w:left="460"/>
              <w:spacing w:after="0"/>
              <w:rPr>
                <w:sz w:val="20"/>
                <w:szCs w:val="20"/>
                <w:color w:val="auto"/>
              </w:rPr>
            </w:pPr>
            <w:r>
              <w:rPr>
                <w:rFonts w:ascii="Arial" w:cs="Arial" w:eastAsia="Arial" w:hAnsi="Arial"/>
                <w:sz w:val="18"/>
                <w:szCs w:val="18"/>
                <w:color w:val="auto"/>
                <w:w w:val="93"/>
              </w:rPr>
              <w:t>The carrying amount of acquired intangible assets are as follows (in thousands):</w:t>
            </w: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84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gridSpan w:val="4"/>
          </w:tcPr>
          <w:p>
            <w:pPr>
              <w:ind w:left="260"/>
              <w:spacing w:after="0"/>
              <w:rPr>
                <w:sz w:val="20"/>
                <w:szCs w:val="20"/>
                <w:color w:val="auto"/>
              </w:rPr>
            </w:pPr>
            <w:r>
              <w:rPr>
                <w:rFonts w:ascii="Arial" w:cs="Arial" w:eastAsia="Arial" w:hAnsi="Arial"/>
                <w:sz w:val="14"/>
                <w:szCs w:val="14"/>
                <w:b w:val="1"/>
                <w:bCs w:val="1"/>
                <w:color w:val="auto"/>
              </w:rPr>
              <w:t>May 4, 2013</w:t>
            </w: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5"/>
          </w:tcPr>
          <w:p>
            <w:pPr>
              <w:jc w:val="right"/>
              <w:ind w:right="120"/>
              <w:spacing w:after="0"/>
              <w:rPr>
                <w:sz w:val="20"/>
                <w:szCs w:val="20"/>
                <w:color w:val="auto"/>
              </w:rPr>
            </w:pPr>
            <w:r>
              <w:rPr>
                <w:rFonts w:ascii="Arial" w:cs="Arial" w:eastAsia="Arial" w:hAnsi="Arial"/>
                <w:sz w:val="14"/>
                <w:szCs w:val="14"/>
                <w:b w:val="1"/>
                <w:bCs w:val="1"/>
                <w:color w:val="auto"/>
                <w:w w:val="88"/>
              </w:rPr>
              <w:t>February 2, 2013</w:t>
            </w: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4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6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78"/>
              </w:rPr>
              <w:t>Gross</w:t>
            </w:r>
          </w:p>
        </w:tc>
        <w:tc>
          <w:tcPr>
            <w:tcW w:w="28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Amortization</w:t>
            </w:r>
          </w:p>
        </w:tc>
        <w:tc>
          <w:tcPr>
            <w:tcW w:w="120" w:type="dxa"/>
            <w:vAlign w:val="bottom"/>
          </w:tcPr>
          <w:p>
            <w:pPr>
              <w:spacing w:after="0"/>
              <w:rPr>
                <w:sz w:val="12"/>
                <w:szCs w:val="12"/>
                <w:color w:val="auto"/>
              </w:rPr>
            </w:pPr>
          </w:p>
        </w:tc>
        <w:tc>
          <w:tcPr>
            <w:tcW w:w="8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Net</w:t>
            </w:r>
          </w:p>
        </w:tc>
        <w:tc>
          <w:tcPr>
            <w:tcW w:w="8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Amortization</w:t>
            </w:r>
          </w:p>
        </w:tc>
        <w:tc>
          <w:tcPr>
            <w:tcW w:w="12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860" w:type="dxa"/>
            <w:vAlign w:val="bottom"/>
          </w:tcPr>
          <w:p>
            <w:pPr>
              <w:spacing w:after="0"/>
              <w:rPr>
                <w:sz w:val="12"/>
                <w:szCs w:val="12"/>
                <w:color w:val="auto"/>
              </w:rPr>
            </w:pP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rPr>
              <w:t>Range of</w:t>
            </w:r>
          </w:p>
        </w:tc>
        <w:tc>
          <w:tcPr>
            <w:tcW w:w="20" w:type="dxa"/>
            <w:vAlign w:val="bottom"/>
          </w:tcPr>
          <w:p>
            <w:pPr>
              <w:spacing w:after="0"/>
              <w:rPr>
                <w:sz w:val="12"/>
                <w:szCs w:val="12"/>
                <w:color w:val="auto"/>
              </w:rPr>
            </w:pPr>
          </w:p>
        </w:tc>
        <w:tc>
          <w:tcPr>
            <w:tcW w:w="68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rPr>
              <w:t>and</w:t>
            </w:r>
          </w:p>
        </w:tc>
        <w:tc>
          <w:tcPr>
            <w:tcW w:w="120" w:type="dxa"/>
            <w:vAlign w:val="bottom"/>
          </w:tcPr>
          <w:p>
            <w:pPr>
              <w:spacing w:after="0"/>
              <w:rPr>
                <w:sz w:val="12"/>
                <w:szCs w:val="12"/>
                <w:color w:val="auto"/>
              </w:rPr>
            </w:pPr>
          </w:p>
        </w:tc>
        <w:tc>
          <w:tcPr>
            <w:tcW w:w="8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Carrying</w:t>
            </w:r>
          </w:p>
        </w:tc>
        <w:tc>
          <w:tcPr>
            <w:tcW w:w="8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3"/>
              </w:rPr>
              <w:t>Carrying</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rPr>
              <w:t>and</w:t>
            </w:r>
          </w:p>
        </w:tc>
        <w:tc>
          <w:tcPr>
            <w:tcW w:w="12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10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Useful Lives</w:t>
            </w:r>
          </w:p>
        </w:tc>
        <w:tc>
          <w:tcPr>
            <w:tcW w:w="20" w:type="dxa"/>
            <w:vAlign w:val="bottom"/>
          </w:tcPr>
          <w:p>
            <w:pPr>
              <w:spacing w:after="0"/>
              <w:rPr>
                <w:sz w:val="14"/>
                <w:szCs w:val="14"/>
                <w:color w:val="auto"/>
              </w:rPr>
            </w:pPr>
          </w:p>
        </w:tc>
        <w:tc>
          <w:tcPr>
            <w:tcW w:w="6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Write-Offs</w:t>
            </w:r>
          </w:p>
        </w:tc>
        <w:tc>
          <w:tcPr>
            <w:tcW w:w="120" w:type="dxa"/>
            <w:vAlign w:val="bottom"/>
          </w:tcPr>
          <w:p>
            <w:pPr>
              <w:spacing w:after="0"/>
              <w:rPr>
                <w:sz w:val="14"/>
                <w:szCs w:val="14"/>
                <w:color w:val="auto"/>
              </w:rPr>
            </w:pPr>
          </w:p>
        </w:tc>
        <w:tc>
          <w:tcPr>
            <w:tcW w:w="8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Amount</w:t>
            </w:r>
          </w:p>
        </w:tc>
        <w:tc>
          <w:tcPr>
            <w:tcW w:w="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Amounts</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Write-Offs</w:t>
            </w:r>
          </w:p>
        </w:tc>
        <w:tc>
          <w:tcPr>
            <w:tcW w:w="12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10"/>
        </w:trPr>
        <w:tc>
          <w:tcPr>
            <w:tcW w:w="4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4 -7 years</w:t>
            </w:r>
          </w:p>
        </w:tc>
        <w:tc>
          <w:tcPr>
            <w:tcW w:w="3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54,690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(20,835)</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$33,855</w:t>
            </w:r>
          </w:p>
        </w:tc>
        <w:tc>
          <w:tcPr>
            <w:tcW w:w="3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4"/>
              </w:rPr>
              <w:t>$ 54,690</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gridSpan w:val="2"/>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(18,552)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$36,138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06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5 -8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138,650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(128,130)</w:t>
            </w:r>
          </w:p>
        </w:tc>
        <w:tc>
          <w:tcPr>
            <w:tcW w:w="1000" w:type="dxa"/>
            <w:vAlign w:val="bottom"/>
            <w:gridSpan w:val="3"/>
          </w:tcPr>
          <w:p>
            <w:pPr>
              <w:jc w:val="right"/>
              <w:ind w:right="300"/>
              <w:spacing w:after="0"/>
              <w:rPr>
                <w:sz w:val="20"/>
                <w:szCs w:val="20"/>
                <w:color w:val="auto"/>
              </w:rPr>
            </w:pPr>
            <w:r>
              <w:rPr>
                <w:rFonts w:ascii="Arial" w:cs="Arial" w:eastAsia="Arial" w:hAnsi="Arial"/>
                <w:sz w:val="18"/>
                <w:szCs w:val="18"/>
                <w:color w:val="auto"/>
              </w:rPr>
              <w:t>10,520</w:t>
            </w: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138,650</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(123,298)</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15,352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names</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 years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(373)</w:t>
            </w:r>
          </w:p>
        </w:tc>
        <w:tc>
          <w:tcPr>
            <w:tcW w:w="10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927</w:t>
            </w: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1,300</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(308)</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Customer intangibles</w:t>
            </w:r>
          </w:p>
        </w:tc>
        <w:tc>
          <w:tcPr>
            <w:tcW w:w="106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5 -7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89,400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(65,433)</w:t>
            </w:r>
          </w:p>
        </w:tc>
        <w:tc>
          <w:tcPr>
            <w:tcW w:w="1000" w:type="dxa"/>
            <w:vAlign w:val="bottom"/>
            <w:gridSpan w:val="3"/>
          </w:tcPr>
          <w:p>
            <w:pPr>
              <w:jc w:val="right"/>
              <w:ind w:right="300"/>
              <w:spacing w:after="0"/>
              <w:rPr>
                <w:sz w:val="20"/>
                <w:szCs w:val="20"/>
                <w:color w:val="auto"/>
              </w:rPr>
            </w:pPr>
            <w:r>
              <w:rPr>
                <w:rFonts w:ascii="Arial" w:cs="Arial" w:eastAsia="Arial" w:hAnsi="Arial"/>
                <w:sz w:val="18"/>
                <w:szCs w:val="18"/>
                <w:color w:val="auto"/>
              </w:rPr>
              <w:t>23,967</w:t>
            </w: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89,400</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(61,927)</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27,473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IPR&amp;D</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13,086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13,086</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00" w:type="dxa"/>
            <w:vAlign w:val="bottom"/>
            <w:gridSpan w:val="2"/>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700" w:type="dxa"/>
            <w:vAlign w:val="bottom"/>
            <w:gridSpan w:val="2"/>
            <w:vMerge w:val="continue"/>
          </w:tcPr>
          <w:p>
            <w:pPr>
              <w:spacing w:after="0"/>
              <w:rPr>
                <w:sz w:val="19"/>
                <w:szCs w:val="19"/>
                <w:color w:val="auto"/>
              </w:rPr>
            </w:pPr>
          </w:p>
        </w:tc>
        <w:tc>
          <w:tcPr>
            <w:tcW w:w="7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297,126</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(214,771)</w:t>
            </w:r>
          </w:p>
        </w:tc>
        <w:tc>
          <w:tcPr>
            <w:tcW w:w="1000" w:type="dxa"/>
            <w:vAlign w:val="bottom"/>
            <w:gridSpan w:val="3"/>
          </w:tcPr>
          <w:p>
            <w:pPr>
              <w:jc w:val="right"/>
              <w:ind w:right="3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82,355</w:t>
            </w:r>
          </w:p>
        </w:tc>
        <w:tc>
          <w:tcPr>
            <w:tcW w:w="800" w:type="dxa"/>
            <w:vAlign w:val="bottom"/>
            <w:gridSpan w:val="2"/>
          </w:tcPr>
          <w:p>
            <w:pPr>
              <w:jc w:val="right"/>
              <w:ind w:right="140"/>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293,740</w:t>
            </w:r>
          </w:p>
        </w:tc>
        <w:tc>
          <w:tcPr>
            <w:tcW w:w="280" w:type="dxa"/>
            <w:vAlign w:val="bottom"/>
            <w:gridSpan w:val="3"/>
          </w:tcPr>
          <w:p>
            <w:pPr>
              <w:ind w:left="16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(204,085)</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28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220" w:right="2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4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Based on the identified intangible assets recorded at May 4, 2013,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234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0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Remainder of fiscal 2014</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$25,092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gridSpan w:val="2"/>
          </w:tcPr>
          <w:p>
            <w:pPr>
              <w:ind w:left="440"/>
              <w:spacing w:after="0"/>
              <w:rPr>
                <w:sz w:val="20"/>
                <w:szCs w:val="20"/>
                <w:color w:val="auto"/>
              </w:rPr>
            </w:pPr>
            <w:r>
              <w:rPr>
                <w:rFonts w:ascii="Arial" w:cs="Arial" w:eastAsia="Arial" w:hAnsi="Arial"/>
                <w:sz w:val="18"/>
                <w:szCs w:val="18"/>
                <w:color w:val="auto"/>
              </w:rPr>
              <w:t>2015</w:t>
            </w:r>
          </w:p>
        </w:tc>
        <w:tc>
          <w:tcPr>
            <w:tcW w:w="4660" w:type="dxa"/>
            <w:vAlign w:val="bottom"/>
            <w:gridSpan w:val="2"/>
          </w:tcPr>
          <w:p>
            <w:pPr>
              <w:jc w:val="right"/>
              <w:spacing w:after="0"/>
              <w:rPr>
                <w:sz w:val="20"/>
                <w:szCs w:val="20"/>
                <w:color w:val="auto"/>
              </w:rPr>
            </w:pPr>
            <w:r>
              <w:rPr>
                <w:rFonts w:ascii="Arial" w:cs="Arial" w:eastAsia="Arial" w:hAnsi="Arial"/>
                <w:sz w:val="18"/>
                <w:szCs w:val="18"/>
                <w:color w:val="auto"/>
              </w:rPr>
              <w:t>14,942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2016</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gridSpan w:val="2"/>
          </w:tcPr>
          <w:p>
            <w:pPr>
              <w:ind w:left="440"/>
              <w:spacing w:after="0"/>
              <w:rPr>
                <w:sz w:val="20"/>
                <w:szCs w:val="20"/>
                <w:color w:val="auto"/>
              </w:rPr>
            </w:pPr>
            <w:r>
              <w:rPr>
                <w:rFonts w:ascii="Arial" w:cs="Arial" w:eastAsia="Arial" w:hAnsi="Arial"/>
                <w:sz w:val="18"/>
                <w:szCs w:val="18"/>
                <w:color w:val="auto"/>
              </w:rPr>
              <w:t>2017</w:t>
            </w:r>
          </w:p>
        </w:tc>
        <w:tc>
          <w:tcPr>
            <w:tcW w:w="4660" w:type="dxa"/>
            <w:vAlign w:val="bottom"/>
            <w:gridSpan w:val="2"/>
          </w:tcPr>
          <w:p>
            <w:pPr>
              <w:jc w:val="right"/>
              <w:spacing w:after="0"/>
              <w:rPr>
                <w:sz w:val="20"/>
                <w:szCs w:val="20"/>
                <w:color w:val="auto"/>
              </w:rPr>
            </w:pPr>
            <w:r>
              <w:rPr>
                <w:rFonts w:ascii="Arial" w:cs="Arial" w:eastAsia="Arial" w:hAnsi="Arial"/>
                <w:sz w:val="18"/>
                <w:szCs w:val="18"/>
                <w:color w:val="auto"/>
              </w:rPr>
              <w:t>11,018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2018</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000" w:type="dxa"/>
            <w:vAlign w:val="bottom"/>
            <w:gridSpan w:val="2"/>
          </w:tcPr>
          <w:p>
            <w:pPr>
              <w:ind w:left="440"/>
              <w:spacing w:after="0"/>
              <w:rPr>
                <w:sz w:val="20"/>
                <w:szCs w:val="20"/>
                <w:color w:val="auto"/>
              </w:rPr>
            </w:pPr>
            <w:r>
              <w:rPr>
                <w:rFonts w:ascii="Arial" w:cs="Arial" w:eastAsia="Arial" w:hAnsi="Arial"/>
                <w:sz w:val="18"/>
                <w:szCs w:val="18"/>
                <w:color w:val="auto"/>
              </w:rPr>
              <w:t>Thereafter</w:t>
            </w:r>
          </w:p>
        </w:tc>
        <w:tc>
          <w:tcPr>
            <w:tcW w:w="408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18"/>
                <w:szCs w:val="18"/>
                <w:color w:val="auto"/>
              </w:rPr>
            </w:pPr>
          </w:p>
        </w:tc>
        <w:tc>
          <w:tcPr>
            <w:tcW w:w="2340" w:type="dxa"/>
            <w:vAlign w:val="bottom"/>
            <w:shd w:val="clear" w:color="auto" w:fill="CCEEFF"/>
          </w:tcPr>
          <w:p>
            <w:pPr>
              <w:spacing w:after="0"/>
              <w:rPr>
                <w:sz w:val="18"/>
                <w:szCs w:val="18"/>
                <w:color w:val="auto"/>
              </w:rPr>
            </w:pP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69,269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4080" w:type="dxa"/>
            <w:vAlign w:val="bottom"/>
            <w:vMerge w:val="restart"/>
          </w:tcPr>
          <w:p>
            <w:pPr>
              <w:jc w:val="right"/>
              <w:ind w:right="3032"/>
              <w:spacing w:after="0"/>
              <w:rPr>
                <w:sz w:val="20"/>
                <w:szCs w:val="20"/>
                <w:color w:val="auto"/>
              </w:rPr>
            </w:pPr>
            <w:r>
              <w:rPr>
                <w:rFonts w:ascii="Arial" w:cs="Arial" w:eastAsia="Arial" w:hAnsi="Arial"/>
                <w:sz w:val="18"/>
                <w:szCs w:val="18"/>
                <w:color w:val="auto"/>
              </w:rPr>
              <w:t>14</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6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408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Income Tax</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income tax benefit for the three months ended May 4, 2013 included the current income tax liability of $1.8 million and $0.7 million in settlements of audits in non-U.S. jurisdictions, which was more than offset by a net reduction in unrecognized tax benefits of $9.7 million for the three months ended May 4, 2013. The net reduction in unrecognized tax benefits primarily arose from the expiration of the statute of limitations and from the settlement of two audits in non-U.S. jurisdictions (one for $3.5 million and the other for $4.1 million) less an increase in current unrecognized tax benefit estimates.</w:t>
      </w:r>
    </w:p>
    <w:p>
      <w:pPr>
        <w:spacing w:after="0" w:line="113"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income tax provision for the three months ended April 28, 2012 included the current income tax liability of $2.7 million, which was partially offset by a net reduction in unrecognized tax benefits of $2.6 million for the three months ended April 28, 2012 primarily due to the expiration of the statute of limitations in non-U.S. jurisdictions less an increase in current unrecognized tax benefit estimates.</w:t>
      </w:r>
    </w:p>
    <w:p>
      <w:pPr>
        <w:spacing w:after="0" w:line="14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significantly due to a potential settlement with tax authorities and/or the expiration of applicable statutes of limitations. However, the amount cannot be reasonably estimated as the Company could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May 4, 2013, these foundries had incurred approximately $236.1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Company and certain of its subsidiaries are currently a party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4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Company recorded an accrual of $5.7 million in fiscal 2013 related to an ongoing litigation matter. The amount recorded does not relate to the litigation with Carnegie Mellon University (“CMU”). Other than the matter for which the Company has recorded an accrual of $5.7 million, the Company has not recorded an accrual for contingent losses associated with these matters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4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CMU filed a complaint in the U.S. District Court for the Western District of Pennsylvania naming Marvell</w:t>
      </w:r>
      <w:r>
        <w:rPr>
          <w:rFonts w:ascii="Arial" w:cs="Arial" w:eastAsia="Arial" w:hAnsi="Arial"/>
          <w:sz w:val="18"/>
          <w:szCs w:val="18"/>
          <w:i w:val="1"/>
          <w:iCs w:val="1"/>
          <w:color w:val="auto"/>
        </w:rPr>
        <w:t xml:space="preserve"> </w:t>
      </w:r>
      <w:r>
        <w:rPr>
          <w:rFonts w:ascii="Arial" w:cs="Arial" w:eastAsia="Arial" w:hAnsi="Arial"/>
          <w:sz w:val="18"/>
          <w:szCs w:val="18"/>
          <w:color w:val="auto"/>
        </w:rPr>
        <w:t>Semiconductor, Inc. (“MSI”) and the Company as defendants and alleging patent infringement. CMU has asserted U.S. Patent Nos. 6,201,839 and 6,438,180 (collectively, the “CMU patents in suit”), which relate to read-channel integrated</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 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or ongoing royalties. Post-trial motions were heard on May 1 and 2, 2013, and the Company expects the District Court to issue its final judgment some time in the next few months.</w:t>
      </w:r>
    </w:p>
    <w:p>
      <w:pPr>
        <w:spacing w:after="0" w:line="144"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will seek to overturn the verdict in post trial motions before the District Court and, if necessary, to appeal to the U.S. Court of Appeals for the Federal Circuit in Washington, D.C. The Company and MSI intend to vigorously challenge the judgment through all appropriate post trial motions and appeal processes. In addition, the District Court in Pittsburgh has yet to rule on certain of the Company’s defenses and motions, including laches and the Company’s renewed request for a mistrial. The Company believes the low end of the possible range of loss is zero, but it cannot reasonably estimate the upper range of the possible loss, as a number of factors (including finalization of the post-trial motions at the District Court) could significantly change the assessment of damages.</w:t>
      </w:r>
    </w:p>
    <w:p>
      <w:pPr>
        <w:spacing w:after="0" w:line="118" w:lineRule="exact"/>
        <w:rPr>
          <w:sz w:val="20"/>
          <w:szCs w:val="20"/>
          <w:color w:val="auto"/>
        </w:rPr>
      </w:pPr>
    </w:p>
    <w:p>
      <w:pPr>
        <w:ind w:right="58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Oral arguments on the appeal are scheduled to be heard on June 18, 2013.</w:t>
      </w:r>
    </w:p>
    <w:p>
      <w:pPr>
        <w:spacing w:after="0" w:line="11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i w:val="1"/>
          <w:iCs w:val="1"/>
          <w:color w:val="auto"/>
        </w:rPr>
        <w:t xml:space="preserve">USEI Litigation. </w:t>
      </w:r>
      <w:r>
        <w:rPr>
          <w:rFonts w:ascii="Arial" w:cs="Arial" w:eastAsia="Arial" w:hAnsi="Arial"/>
          <w:sz w:val="16"/>
          <w:szCs w:val="16"/>
          <w:color w:val="auto"/>
        </w:rPr>
        <w:t>On October 9, 2009, U.S. Ethernet Innovations, LLC (“USEI”) filed a complaint in the U.S. District Court for the Eastern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Texas, in which USEI has accused a number of system manufacturers, including the Company’s customers, of patent infringement (the “USEI litigation”). Specifically, USEI has asserted that these customers infringe U.S. Patent Nos. 5,307,459, 5,434,872, 5,732,094 and 5,299,313 (collectively, the “USEI patents in suit”), which relate to Ethernet technologies. The complaint seeks unspecified damages and an injunction.</w:t>
      </w:r>
    </w:p>
    <w:p>
      <w:pPr>
        <w:spacing w:after="0" w:line="113"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On October 21, 2011, the court conducted a claim construction hearing, and issued a ruling on January 31, 2012. A supplemental claim construction hearing was held on May 3, 2012, and a ruling was issued on August 29, 2012. Trial is scheduled for January 5, 2015.</w:t>
      </w:r>
    </w:p>
    <w:p>
      <w:pPr>
        <w:spacing w:after="0" w:line="143"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The complaint alleges infringement of U.S. Patent Nos. 5,844,738 and 5,978,162 (collectively, the “Lake Cherokee patents in suit”). The Lake Cherokee patents in suit relate to read-channel integrated circuit devices, and to certain HDD products incorporating such devices.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claim construction hearing was held on May 14, 2012, and the claim construction ruling was issued on August 6, 2012. In pre-trial proceedings, Lake Cherokee has alleged that it is entitled to damages in the amount of approximately $689 million as a result of the alleged infringement. MSI strongly disputes its liability and the damages claimed by Lake Cherokee. On May 14, 2013, MSI filed a motion for partial summary judgment related to Lake Cherokee’s asserted damages and both parties filed motions to strike opinions and testimony of certain expert witnesses. Trial is set for August 5, 2013.</w:t>
      </w:r>
    </w:p>
    <w:p>
      <w:pPr>
        <w:spacing w:after="0" w:line="120"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i w:val="1"/>
          <w:iCs w:val="1"/>
          <w:color w:val="auto"/>
        </w:rPr>
        <w:t xml:space="preserve">APT Patent Litigations. </w:t>
      </w:r>
      <w:r>
        <w:rPr>
          <w:rFonts w:ascii="Arial" w:cs="Arial" w:eastAsia="Arial" w:hAnsi="Arial"/>
          <w:sz w:val="18"/>
          <w:szCs w:val="18"/>
          <w:color w:val="auto"/>
        </w:rPr>
        <w:t>On January 18, 2011, Advanced Processor Technologies, LLC (“APT”), a subsidiary of Acacia Research Corp., filed a complaint</w:t>
      </w:r>
      <w:r>
        <w:rPr>
          <w:rFonts w:ascii="Arial" w:cs="Arial" w:eastAsia="Arial" w:hAnsi="Arial"/>
          <w:sz w:val="18"/>
          <w:szCs w:val="18"/>
          <w:i w:val="1"/>
          <w:iCs w:val="1"/>
          <w:color w:val="auto"/>
        </w:rPr>
        <w:t xml:space="preserve"> </w:t>
      </w:r>
      <w:r>
        <w:rPr>
          <w:rFonts w:ascii="Arial" w:cs="Arial" w:eastAsia="Arial" w:hAnsi="Arial"/>
          <w:sz w:val="18"/>
          <w:szCs w:val="18"/>
          <w:color w:val="auto"/>
        </w:rPr>
        <w:t>in the U.S. District Court for the Eastern District of Texas. The complaint names MSI and eight other defendants and alleges infringement of U.S. Patent Nos. 6,047,354 (“’354 patent”) and 5,796,978 (“’978 patent”). The asserted patents relate to microprocessor technologies. The complaint seeks unspecified damages and a permanent injunction. A first amended complaint was filed on January 26, 2011. The first amended complaint continues to assert the ‘354 patent against MSI, but appears to no longer assert the ‘978 patent against MSI. MSI filed its answer and counterclaims on April 15, 2011. A claim construction hearing was held on January 29,</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314" w:lineRule="auto"/>
        <w:rPr>
          <w:sz w:val="20"/>
          <w:szCs w:val="20"/>
          <w:color w:val="auto"/>
        </w:rPr>
      </w:pPr>
      <w:r>
        <w:rPr>
          <w:rFonts w:ascii="Arial" w:cs="Arial" w:eastAsia="Arial" w:hAnsi="Arial"/>
          <w:sz w:val="15"/>
          <w:szCs w:val="15"/>
          <w:color w:val="auto"/>
        </w:rPr>
        <w:t>2013. On March 23, 2012, APT filed a separate complaint in the U.S. District Court for the Eastern District of Texas. The complaint alleges that MSI infringes U.S. Patent Nos. 6,092,172 and 6,629,207. The asserted patents relate to microprocessor technologies. The complaint seeks unspecified damages and a permanent injunction. MSI filed its answer and counterclaims on May 25, 2012. In both cases, ARM filed a motion to intervene on July 23, 2012, which was granted on January 7, 2013, and a motion to transfer on July 27, 2012, which was denied on March 20, 2013. On January 30, 2013, the Court consolidated these two cases, as well as several other cases that APT had filed against various defendants, into a single case. In April 2013, the parties reached an agreement to dismiss all claims and counterclaims, and expect to have the cases dismissed shortly. The resolution will not have a significant impact on the Company’s financial statements.</w:t>
      </w:r>
    </w:p>
    <w:p>
      <w:pPr>
        <w:spacing w:after="0" w:line="105"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MOSAID Litigation. </w:t>
      </w:r>
      <w:r>
        <w:rPr>
          <w:rFonts w:ascii="Arial" w:cs="Arial" w:eastAsia="Arial" w:hAnsi="Arial"/>
          <w:sz w:val="16"/>
          <w:szCs w:val="16"/>
          <w:color w:val="auto"/>
        </w:rPr>
        <w:t>On March 16, 2011, MOSAID Technologies Inc. filed suit in the U.S. District Court for the Eastern District of Texas against MSI and</w:t>
      </w:r>
      <w:r>
        <w:rPr>
          <w:rFonts w:ascii="Arial" w:cs="Arial" w:eastAsia="Arial" w:hAnsi="Arial"/>
          <w:sz w:val="16"/>
          <w:szCs w:val="16"/>
          <w:i w:val="1"/>
          <w:iCs w:val="1"/>
          <w:color w:val="auto"/>
        </w:rPr>
        <w:t xml:space="preserve"> </w:t>
      </w:r>
      <w:r>
        <w:rPr>
          <w:rFonts w:ascii="Arial" w:cs="Arial" w:eastAsia="Arial" w:hAnsi="Arial"/>
          <w:sz w:val="16"/>
          <w:szCs w:val="16"/>
          <w:color w:val="auto"/>
        </w:rPr>
        <w:t>16 other companies. The complaint alleges that defendants’ products, which operate in compliance with various IEEE 802.11standards, infringe the six asserted patents (U.S. Patent Nos. 5,131,006; 5,151,920; 5,422,887; 5,706,428; 6,563,768; 6,992,972). MSI filed its answer and counterclaims on June 9, 2011. On March 28, 2012, MSI and other defendants filed a motion to transfer, which was denied. A claim construction hearing was held on April 16, 2013 and a claim construction ruling was issued by the magistrate judge on April 22, 2013. On June 3, 2013, the District Court issued an order denying plaintiff’s motion for reconsideration and adopted the magistrate’s claim construction ruling. Trial is set for January 8, 2014.</w:t>
      </w:r>
    </w:p>
    <w:p>
      <w:pPr>
        <w:spacing w:after="0" w:line="120"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w:t>
      </w:r>
    </w:p>
    <w:p>
      <w:pPr>
        <w:spacing w:after="0" w:line="116" w:lineRule="exact"/>
        <w:rPr>
          <w:sz w:val="20"/>
          <w:szCs w:val="20"/>
          <w:color w:val="auto"/>
        </w:rPr>
      </w:pPr>
    </w:p>
    <w:p>
      <w:pPr>
        <w:ind w:right="280" w:firstLine="456"/>
        <w:spacing w:after="0" w:line="286"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MSL in the U.S. District Court for the District of Delaware. The complaint also named numerous other defendants. The complaint asserts U.S. Patent</w:t>
      </w:r>
    </w:p>
    <w:p>
      <w:pPr>
        <w:ind w:right="80"/>
        <w:spacing w:after="0" w:line="295" w:lineRule="auto"/>
        <w:rPr>
          <w:sz w:val="20"/>
          <w:szCs w:val="20"/>
          <w:color w:val="auto"/>
        </w:rPr>
      </w:pPr>
      <w:r>
        <w:rPr>
          <w:rFonts w:ascii="Arial" w:cs="Arial" w:eastAsia="Arial" w:hAnsi="Arial"/>
          <w:sz w:val="16"/>
          <w:szCs w:val="16"/>
          <w:color w:val="auto"/>
        </w:rPr>
        <w:t>No. 5,030,853, relating to high speed logic and memory circuitry, against various products. The complaint seeks unspecified damages. On January 9, 2012, HSM/TPL filed an amended complaint adding MSI to the case. On February 15, 2012, the Company and MSL were dismissed from the case. On July 18, 2012, HSM filed a second amended complaint against MSI, and MSI filed its answer and counterclaims on August 13, 2012. A claim construction hearing is scheduled for November 25, 2013, and trial is scheduled to commence on January 25, 2015.</w:t>
      </w:r>
    </w:p>
    <w:p>
      <w:pPr>
        <w:spacing w:after="0" w:line="115"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i w:val="1"/>
          <w:iCs w:val="1"/>
          <w:color w:val="auto"/>
        </w:rPr>
        <w:t xml:space="preserve">France Telecom Litigation. </w:t>
      </w:r>
      <w:r>
        <w:rPr>
          <w:rFonts w:ascii="Arial" w:cs="Arial" w:eastAsia="Arial" w:hAnsi="Arial"/>
          <w:sz w:val="18"/>
          <w:szCs w:val="18"/>
          <w:color w:val="auto"/>
        </w:rPr>
        <w:t>On June 26, 2012, France Telecom S.A. (“France Telecom”) filed a complaint against MSI in the U.S.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Southern District of New York. The complaint asserts U.S. Patent No 5,446,747 (the “’747 patent”)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is scheduled for July 24, 2013, and a trial is scheduled for May 12, 2014.</w:t>
      </w:r>
    </w:p>
    <w:p>
      <w:pPr>
        <w:spacing w:after="0" w:line="144"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i w:val="1"/>
          <w:iCs w:val="1"/>
          <w:color w:val="auto"/>
        </w:rPr>
        <w:t xml:space="preserve">Freescale Litigation. </w:t>
      </w:r>
      <w:r>
        <w:rPr>
          <w:rFonts w:ascii="Arial" w:cs="Arial" w:eastAsia="Arial" w:hAnsi="Arial"/>
          <w:sz w:val="18"/>
          <w:szCs w:val="18"/>
          <w:color w:val="auto"/>
        </w:rPr>
        <w:t>On July 6, 2012, Freescale Semiconductor, Inc. (“Freescale”) filed a complaint against MSI in the U.S.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Texas. The complaint asserts U.S. Patent Nos. 6,920,316, 5,825,640, 5,943,274, 5,467,455 and 7,927,927 (collectively, the “Freescale patents in suit”) against certain of the Company’s integrated circuits and/or chipsets. The complaint seeks unspecified damages and a permanent injunction. Freescale filed an amended complaint on January 14, 2013, and withdrew its assertion of U.S. Patent No. 5,825,640; MSI filed its answer to the amended complaint on February 4, 2013. This case has been consolidated for pre-trial purposes with nine other pending cases. A claim construction hearing is scheduled for September 9, 2013. No trial date has been set.</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335" w:lineRule="auto"/>
        <w:rPr>
          <w:sz w:val="20"/>
          <w:szCs w:val="20"/>
          <w:color w:val="auto"/>
        </w:rPr>
      </w:pPr>
      <w:r>
        <w:rPr>
          <w:rFonts w:ascii="Arial" w:cs="Arial" w:eastAsia="Arial" w:hAnsi="Arial"/>
          <w:sz w:val="15"/>
          <w:szCs w:val="15"/>
          <w:color w:val="auto"/>
        </w:rPr>
        <w:t>On January 4, 2013, three of the Company’s subsidiaries, MSI, Marvell International Ltd. and Marvell World Trade Ltd., filed a complaint against Freescale in the U.S. District Court for the Western District of Texas, and filed an amended complaint on January 14, 2013. The amended complaint alleges that Freescale infringes U.S. Patents Nos. 6,903,448 and 7,379,718. A claim construction hearing is scheduled for December 13, 2013. No trial date has been set.</w:t>
      </w:r>
    </w:p>
    <w:p>
      <w:pPr>
        <w:spacing w:after="0" w:line="16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three months ended May 4, 2013 is summarized below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100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Number of</w:t>
            </w:r>
          </w:p>
        </w:tc>
        <w:tc>
          <w:tcPr>
            <w:tcW w:w="120" w:type="dxa"/>
            <w:vAlign w:val="bottom"/>
          </w:tcPr>
          <w:p>
            <w:pPr>
              <w:spacing w:after="0"/>
              <w:rPr>
                <w:sz w:val="12"/>
                <w:szCs w:val="12"/>
                <w:color w:val="auto"/>
              </w:rPr>
            </w:pPr>
          </w:p>
        </w:tc>
        <w:tc>
          <w:tcPr>
            <w:tcW w:w="10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5"/>
              </w:rPr>
              <w:t>Exercise Price</w:t>
            </w:r>
          </w:p>
        </w:tc>
        <w:tc>
          <w:tcPr>
            <w:tcW w:w="1000" w:type="dxa"/>
            <w:vAlign w:val="bottom"/>
            <w:gridSpan w:val="2"/>
          </w:tcPr>
          <w:p>
            <w:pPr>
              <w:ind w:left="12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49,637</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w w:val="79"/>
              </w:rPr>
              <w:t>2,759</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52,396</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17,903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10.75</w:t>
            </w: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17,903</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10.75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(3,039)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6.52</w:t>
            </w:r>
          </w:p>
        </w:tc>
        <w:tc>
          <w:tcPr>
            <w:tcW w:w="10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(3,039)</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(514)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16.07</w:t>
            </w: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(514)</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4, 2013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63,987</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12.87</w:t>
            </w:r>
          </w:p>
        </w:tc>
        <w:tc>
          <w:tcPr>
            <w:tcW w:w="10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2,759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66,746</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May 4, 2013</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12.98</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59,359</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May 4, 2013</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38,591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13.53</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May 4, 2013, the aggregate intrinsic value was $33.0 million and the weighted average remaining contractual term was 5.7 years. For time-based stock options exercisable at May 4, 2013, the aggregate intrinsic value was $31.3 million and the weighted average remaining contractual term was 3.7 years. The aggregate intrinsic value of stock options exercised during the three months ended May 4, 2013 and April 28, 2012 was $11.1 million and $18.3 million, respectively. There was no aggregate intrinsic value for market-based stock options at May 4, 2013 and the weighted average remaining contractual term of market-based stock options vested and expected to reach the end of the vesting period at May 4, 2013 was 8.0 years. The Company’s closing stock price of $10.71 as reported on the NASDAQ Global Select Market for all in-the-money options as of May 3, 2013 was used to calculate the aggregate intrinsic value.</w:t>
      </w:r>
    </w:p>
    <w:p>
      <w:pPr>
        <w:spacing w:after="0" w:line="118"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As of May 4, 2013, the unamortized compensation expense for time-based stock options was $78.5 million and market-based stock options was $3.3 million. The unamortized compensation expense for time-based and market-based stock options will be amortized on a straight-line basis and is expected to be recognized over a weighted-average period of 3.5 years and 0.6 years, respectively.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3280" w:type="dxa"/>
            <w:vAlign w:val="bottom"/>
            <w:gridSpan w:val="3"/>
          </w:tcPr>
          <w:p>
            <w:pPr>
              <w:jc w:val="center"/>
              <w:ind w:left="1319"/>
              <w:spacing w:after="0"/>
              <w:rPr>
                <w:sz w:val="20"/>
                <w:szCs w:val="20"/>
                <w:color w:val="auto"/>
              </w:rPr>
            </w:pPr>
            <w:r>
              <w:rPr>
                <w:rFonts w:ascii="Arial" w:cs="Arial" w:eastAsia="Arial" w:hAnsi="Arial"/>
                <w:sz w:val="14"/>
                <w:szCs w:val="14"/>
                <w:b w:val="1"/>
                <w:bCs w:val="1"/>
                <w:color w:val="auto"/>
                <w:w w:val="86"/>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4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1"/>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4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Fair Value</w:t>
            </w:r>
          </w:p>
        </w:tc>
      </w:tr>
      <w:tr>
        <w:trPr>
          <w:trHeight w:val="210"/>
        </w:trPr>
        <w:tc>
          <w:tcPr>
            <w:tcW w:w="20" w:type="dxa"/>
            <w:vAlign w:val="bottom"/>
          </w:tcPr>
          <w:p>
            <w:pPr>
              <w:spacing w:after="0"/>
              <w:rPr>
                <w:sz w:val="18"/>
                <w:szCs w:val="18"/>
                <w:color w:val="auto"/>
              </w:rPr>
            </w:pPr>
          </w:p>
        </w:tc>
        <w:tc>
          <w:tcPr>
            <w:tcW w:w="3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18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46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Granted</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2,696</w:t>
            </w:r>
          </w:p>
        </w:tc>
        <w:tc>
          <w:tcPr>
            <w:tcW w:w="4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10.42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2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(3,325)</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16.68</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860" w:type="dxa"/>
            <w:vAlign w:val="bottom"/>
          </w:tcPr>
          <w:p>
            <w:pPr>
              <w:spacing w:after="0"/>
              <w:rPr>
                <w:sz w:val="19"/>
                <w:szCs w:val="19"/>
                <w:color w:val="auto"/>
              </w:rPr>
            </w:pPr>
          </w:p>
        </w:tc>
        <w:tc>
          <w:tcPr>
            <w:tcW w:w="1420" w:type="dxa"/>
            <w:vAlign w:val="bottom"/>
            <w:gridSpan w:val="2"/>
          </w:tcPr>
          <w:p>
            <w:pPr>
              <w:jc w:val="right"/>
              <w:ind w:right="400"/>
              <w:spacing w:after="0"/>
              <w:rPr>
                <w:sz w:val="20"/>
                <w:szCs w:val="20"/>
                <w:color w:val="auto"/>
              </w:rPr>
            </w:pPr>
            <w:r>
              <w:rPr>
                <w:rFonts w:ascii="Arial" w:cs="Arial" w:eastAsia="Arial" w:hAnsi="Arial"/>
                <w:sz w:val="18"/>
                <w:szCs w:val="18"/>
                <w:color w:val="auto"/>
              </w:rPr>
              <w:t>(243)</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15.56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4, 2013</w:t>
            </w:r>
          </w:p>
        </w:tc>
        <w:tc>
          <w:tcPr>
            <w:tcW w:w="186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11,867</w:t>
            </w:r>
          </w:p>
        </w:tc>
        <w:tc>
          <w:tcPr>
            <w:tcW w:w="4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May 4, 2013 was $112.7 million. The number of restricted stock units that are expected to vest is 10.5 million shares.</w:t>
      </w:r>
    </w:p>
    <w:p>
      <w:pPr>
        <w:spacing w:after="0" w:line="132"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As of May 4, 2013, compensation costs related to restricted stock units not yet recognized amounted to $140.5 million. The unamortized compensation expense for restricted stock units will be amortized on a straight-line basis and is expected to be recognized over a weighted-average period of 2.3 years.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During the three months ended May 4, 2013 and April 28, 2012, the Company issued no shares under the 2000 Employee Stock Purchase Plan, as amended and restated (the “ESPP”). As of May 4, 2013, there was $51.3 million of unrecognized compensation cost related to the ESPP.</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The Company repurchased 19.9 million of its common shares for $200.2 million in cash during the three months ended May 4, 2013 and 14.6 million of its common shares for $223.2 million in cash during the three months ended April 28, 2012. The repurchased shares were retired immediately after the repurchases were completed. The Company records all repurchases, as well as investment purchases and sales, based on trade date. Approximately $5.6 million of repurchases during the three months ended May 4, 2013 was made in the final three days of the fiscal quarter and is included in accrued liabilities in the condensed consolidated balance sheet due to the standard three-day settlement period. As of May 4, 2013, a total of 203.6 million cumulative shares have been repurchased under the Company’s share repurchase program for a total $2.6 billion in cash and there was $412.4 million remaining available for future share repurchases.</w:t>
      </w:r>
    </w:p>
    <w:p>
      <w:pPr>
        <w:spacing w:after="0" w:line="14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Subsequent to the end of the quarter through May 30, 2013, the Company repurchased an additional 2.1 million of its common shares for $23.3 million at an average price per share of $11.11.</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 Program</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May 2012, the Company announced the initiation of paying its first quarterly dividend of $0.06 per share. Future payment of a regular quarterly cash dividend on the Company’s common shares will be subject to, among other things, the best interests of its shareholders, the Company’s results of operations, cash balances and future cash requirements, financial condition, statutory requirements of Bermuda law and other factors that the Company’s board of directors may deem relevant. Cash dividends of $0.06 per share were paid for a total of $30.3 million in the three months ended May 4, 2013.</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May 23, 2013, the Company announced that its board of directors declared a cash dividend of $0.06 per share to be paid on July 3, 2013 to shareholders of record as of June 13, 2013.</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May 4,</w:t>
            </w:r>
          </w:p>
        </w:tc>
        <w:tc>
          <w:tcPr>
            <w:tcW w:w="4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28,</w:t>
            </w:r>
          </w:p>
        </w:tc>
        <w:tc>
          <w:tcPr>
            <w:tcW w:w="100" w:type="dxa"/>
            <w:vAlign w:val="bottom"/>
          </w:tcPr>
          <w:p>
            <w:pPr>
              <w:spacing w:after="0"/>
              <w:rPr>
                <w:sz w:val="11"/>
                <w:szCs w:val="1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2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w w:val="96"/>
              </w:rPr>
              <w:t>2013</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210"/>
        </w:trPr>
        <w:tc>
          <w:tcPr>
            <w:tcW w:w="4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2,123</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23,279</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17,174</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3,392</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3,036</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4,975</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4,859</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33,513</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27,192</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$1.6 million at May 4, 2013 and $1.5 million at February 2, 2013.</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1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3140" w:type="dxa"/>
            <w:vAlign w:val="bottom"/>
          </w:tcPr>
          <w:p>
            <w:pPr>
              <w:spacing w:after="0"/>
              <w:rPr>
                <w:sz w:val="11"/>
                <w:szCs w:val="11"/>
                <w:color w:val="auto"/>
              </w:rPr>
            </w:pPr>
          </w:p>
        </w:tc>
        <w:tc>
          <w:tcPr>
            <w:tcW w:w="362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8"/>
              </w:rPr>
              <w:t>May 4,</w:t>
            </w:r>
          </w:p>
        </w:tc>
        <w:tc>
          <w:tcPr>
            <w:tcW w:w="3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April 28,</w:t>
            </w:r>
          </w:p>
        </w:tc>
        <w:tc>
          <w:tcPr>
            <w:tcW w:w="200" w:type="dxa"/>
            <w:vAlign w:val="bottom"/>
          </w:tcPr>
          <w:p>
            <w:pPr>
              <w:spacing w:after="0"/>
              <w:rPr>
                <w:sz w:val="11"/>
                <w:szCs w:val="11"/>
                <w:color w:val="auto"/>
              </w:rPr>
            </w:pPr>
          </w:p>
        </w:tc>
      </w:tr>
      <w:tr>
        <w:trPr>
          <w:trHeight w:val="161"/>
        </w:trPr>
        <w:tc>
          <w:tcPr>
            <w:tcW w:w="3140" w:type="dxa"/>
            <w:vAlign w:val="bottom"/>
          </w:tcPr>
          <w:p>
            <w:pPr>
              <w:spacing w:after="0"/>
              <w:rPr>
                <w:sz w:val="14"/>
                <w:szCs w:val="14"/>
                <w:color w:val="auto"/>
              </w:rPr>
            </w:pPr>
          </w:p>
        </w:tc>
        <w:tc>
          <w:tcPr>
            <w:tcW w:w="404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2013</w:t>
            </w:r>
          </w:p>
        </w:tc>
        <w:tc>
          <w:tcPr>
            <w:tcW w:w="440" w:type="dxa"/>
            <w:vAlign w:val="bottom"/>
          </w:tcPr>
          <w:p>
            <w:pPr>
              <w:spacing w:after="0"/>
              <w:rPr>
                <w:sz w:val="14"/>
                <w:szCs w:val="14"/>
                <w:color w:val="auto"/>
              </w:rPr>
            </w:pPr>
          </w:p>
        </w:tc>
        <w:tc>
          <w:tcPr>
            <w:tcW w:w="86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r>
      <w:tr>
        <w:trPr>
          <w:trHeight w:val="196"/>
        </w:trPr>
        <w:tc>
          <w:tcPr>
            <w:tcW w:w="31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36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14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4040" w:type="dxa"/>
            <w:vAlign w:val="bottom"/>
            <w:gridSpan w:val="2"/>
          </w:tcPr>
          <w:p>
            <w:pPr>
              <w:jc w:val="right"/>
              <w:spacing w:after="0"/>
              <w:rPr>
                <w:sz w:val="20"/>
                <w:szCs w:val="20"/>
                <w:color w:val="auto"/>
              </w:rPr>
            </w:pPr>
            <w:r>
              <w:rPr>
                <w:rFonts w:ascii="Arial" w:cs="Arial" w:eastAsia="Arial" w:hAnsi="Arial"/>
                <w:sz w:val="18"/>
                <w:szCs w:val="18"/>
                <w:color w:val="auto"/>
              </w:rPr>
              <w:t>$ 3.41</w:t>
            </w:r>
          </w:p>
        </w:tc>
        <w:tc>
          <w:tcPr>
            <w:tcW w:w="44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  5.84</w:t>
            </w:r>
          </w:p>
        </w:tc>
        <w:tc>
          <w:tcPr>
            <w:tcW w:w="200" w:type="dxa"/>
            <w:vAlign w:val="bottom"/>
          </w:tcPr>
          <w:p>
            <w:pPr>
              <w:spacing w:after="0"/>
              <w:rPr>
                <w:sz w:val="18"/>
                <w:szCs w:val="18"/>
                <w:color w:val="auto"/>
              </w:rPr>
            </w:pPr>
          </w:p>
        </w:tc>
      </w:tr>
      <w:tr>
        <w:trPr>
          <w:trHeight w:val="216"/>
        </w:trPr>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44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45%</w:t>
            </w:r>
          </w:p>
        </w:tc>
        <w:tc>
          <w:tcPr>
            <w:tcW w:w="10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r>
      <w:tr>
        <w:trPr>
          <w:trHeight w:val="216"/>
        </w:trPr>
        <w:tc>
          <w:tcPr>
            <w:tcW w:w="31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404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4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0.8%</w:t>
            </w:r>
          </w:p>
        </w:tc>
        <w:tc>
          <w:tcPr>
            <w:tcW w:w="10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0.9%</w:t>
            </w:r>
          </w:p>
        </w:tc>
      </w:tr>
      <w:tr>
        <w:trPr>
          <w:trHeight w:val="222"/>
        </w:trPr>
        <w:tc>
          <w:tcPr>
            <w:tcW w:w="314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4480" w:type="dxa"/>
            <w:vAlign w:val="bottom"/>
            <w:gridSpan w:val="3"/>
          </w:tcPr>
          <w:p>
            <w:pPr>
              <w:jc w:val="right"/>
              <w:ind w:right="300"/>
              <w:spacing w:after="0"/>
              <w:rPr>
                <w:sz w:val="20"/>
                <w:szCs w:val="20"/>
                <w:color w:val="auto"/>
              </w:rPr>
            </w:pPr>
            <w:r>
              <w:rPr>
                <w:rFonts w:ascii="Arial" w:cs="Arial" w:eastAsia="Arial" w:hAnsi="Arial"/>
                <w:sz w:val="18"/>
                <w:szCs w:val="18"/>
                <w:color w:val="auto"/>
              </w:rPr>
              <w:t>2.4%</w:t>
            </w:r>
          </w:p>
        </w:tc>
        <w:tc>
          <w:tcPr>
            <w:tcW w:w="300" w:type="dxa"/>
            <w:vAlign w:val="bottom"/>
          </w:tcPr>
          <w:p>
            <w:pPr>
              <w:spacing w:after="0"/>
              <w:rPr>
                <w:sz w:val="19"/>
                <w:szCs w:val="19"/>
                <w:color w:val="auto"/>
              </w:rPr>
            </w:pPr>
          </w:p>
        </w:tc>
        <w:tc>
          <w:tcPr>
            <w:tcW w:w="7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356"/>
        </w:trPr>
        <w:tc>
          <w:tcPr>
            <w:tcW w:w="3140" w:type="dxa"/>
            <w:vAlign w:val="bottom"/>
          </w:tcPr>
          <w:p>
            <w:pPr>
              <w:spacing w:after="0"/>
              <w:rPr>
                <w:sz w:val="24"/>
                <w:szCs w:val="24"/>
                <w:color w:val="auto"/>
              </w:rPr>
            </w:pPr>
          </w:p>
        </w:tc>
        <w:tc>
          <w:tcPr>
            <w:tcW w:w="3620" w:type="dxa"/>
            <w:vAlign w:val="bottom"/>
          </w:tcPr>
          <w:p>
            <w:pPr>
              <w:jc w:val="right"/>
              <w:ind w:right="2255"/>
              <w:spacing w:after="0"/>
              <w:rPr>
                <w:sz w:val="20"/>
                <w:szCs w:val="20"/>
                <w:color w:val="auto"/>
              </w:rPr>
            </w:pPr>
            <w:r>
              <w:rPr>
                <w:rFonts w:ascii="Arial" w:cs="Arial" w:eastAsia="Arial" w:hAnsi="Arial"/>
                <w:sz w:val="18"/>
                <w:szCs w:val="18"/>
                <w:color w:val="auto"/>
              </w:rPr>
              <w:t>20</w:t>
            </w: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second quarter ending July 3, 2013 compared with the first quarter ended May 4, 2013; our expectations regarding the growth of solid state drive revenue;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our dependence upon the hard disk drive and mobile and wireless markets, which are highly cyclical and intensely competitive; our ability and the ability of our customers to successfully compete in the markets in which we serve; our dependence on a small number of customers; the outcome of pending or future litigation and legal proceedings; the impact of international conflict and continued economic volatility in either domestic or foreign markets; our ability to scale our operations in response to changes in demand for existing or new products and services; our maintenance of an effective system of internal controls;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and the impact of lengthy and expensive product sales cycles.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 mobile handsets and other consumer electronics,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w:t>
      </w:r>
    </w:p>
    <w:p>
      <w:pPr>
        <w:spacing w:after="0" w:line="14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the fiscal year ended February 2, 2013 as fiscal 2013 and fiscal year ending February 1, 2014 as fiscal 2014.</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6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2013.</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Net revenue for the three months ended May 4, 2013 were lower by nearly 8% compared to the three months ended April 28, 2012 mostly driven by the decline in revenue in the mobile and wireless end markets. Our single core products sold into the TD-SCDMA market in China, which ramped up in the same quarter a year ago, reached a low in the first quarter of fiscal 2014 before the ramp of our dual core solutions for that market. We also continued to see weaker shipments by a North American handset customer of their previous generation of smartphones which incorporate our technology due to the successful launch of their new generation devices. However, revenue from our storage business grew as we continue to gain share in the market for HDD and SSD products. Net income for the three months ended May 4, 2013 was $53.2 million, or $0.11 per share, compared to net income of $94.5 million, or $0.16 per share during the three months ended April 28, 2012.</w:t>
      </w:r>
    </w:p>
    <w:p>
      <w:pPr>
        <w:spacing w:after="0" w:line="118"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Although our operating results for the first quarter of fiscal 2014 were lower than the corresponding quarter of fiscal 2013, the results were at the high end of our expectations. We are starting to see the benefit of our investments and key initiatives across our end markets to produce tangible results and we believe we are well positioned for future growth.</w:t>
      </w:r>
    </w:p>
    <w:p>
      <w:pPr>
        <w:spacing w:after="0" w:line="59" w:lineRule="exact"/>
        <w:rPr>
          <w:sz w:val="20"/>
          <w:szCs w:val="20"/>
          <w:color w:val="auto"/>
        </w:rPr>
      </w:pPr>
    </w:p>
    <w:p>
      <w:pPr>
        <w:ind w:left="900" w:right="20" w:hanging="325"/>
        <w:spacing w:after="0" w:line="290"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mobile market, we believe we have reached a trough in this business as we continue to make strong progress with our integrated 3G and 4G platforms at multiple top tier OEMs. One of these leading Asian OEMs recently launched a new smartphone and is in production for a tablet design based on our dual-core platform. We believe that additional devices will be launched by this OEM and other top tier OEMs in the coming quarters. In addition to our dual-core devices, we are also seeing faster adoption for our recently introduced quad-core 3G platform as we have begun initial shipments. Recently, we announced a quad-core 5-mode Category 4 LTE single-chip solution targeted for the mainstream 4G market. Our LTE solution has received certification in China and we expect to achieve certification in North America this year. We expect at least one leading handset OEM to bring to market a 4G LTE smartphone using our solution this year.</w:t>
      </w:r>
    </w:p>
    <w:p>
      <w:pPr>
        <w:spacing w:after="0" w:line="37" w:lineRule="exact"/>
        <w:rPr>
          <w:rFonts w:ascii="Arial" w:cs="Arial" w:eastAsia="Arial" w:hAnsi="Arial"/>
          <w:sz w:val="16"/>
          <w:szCs w:val="16"/>
          <w:color w:val="auto"/>
        </w:rPr>
      </w:pPr>
    </w:p>
    <w:p>
      <w:pPr>
        <w:ind w:left="90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wireless connectivity, we continue to see increased traction for our 2x2 combo solution for 802.11n and 802.11ac, where we have won multiple designs in tablets, ultrabooks, gaming and video platforms. Our combo solutions support multiple operating systems, which we believe will lead us to increased opportunities in the tablet and ultrabook markets. In gaming, we expect to benefit from multiple new consoles that are scheduled to launch this year. We also continue to see significant traction for our 4x4 solutions as global enterprise carriers are realizing this design is the necessary architecture for HD video distribution. Looking forward, we anticipate seasonal increases in wireless connectivity during our second and third quarters as our OEM customers begin to ramp-up production activity for the holiday season.</w:t>
      </w:r>
    </w:p>
    <w:p>
      <w:pPr>
        <w:spacing w:after="0" w:line="39" w:lineRule="exact"/>
        <w:rPr>
          <w:rFonts w:ascii="Arial" w:cs="Arial" w:eastAsia="Arial" w:hAnsi="Arial"/>
          <w:sz w:val="16"/>
          <w:szCs w:val="16"/>
          <w:color w:val="auto"/>
        </w:rPr>
      </w:pPr>
    </w:p>
    <w:p>
      <w:pPr>
        <w:ind w:left="900" w:right="10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storage market, we believe that storage needs for consumers and enterprises will continue to rise as the amount of data consumed increases. This has led us to steadily invest in advanced storage technologies, many of which are still years from commercialization. We have gained market share within HDDs as we have seen strong growth for our 500 gigabyte per platter products. Within our SSD market, revenue continues to grow and our strategy of partnering with top tier OEMs is resulting in</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100"/>
        <w:spacing w:after="0" w:line="268" w:lineRule="auto"/>
        <w:rPr>
          <w:sz w:val="20"/>
          <w:szCs w:val="20"/>
          <w:color w:val="auto"/>
        </w:rPr>
      </w:pPr>
      <w:r>
        <w:rPr>
          <w:rFonts w:ascii="Arial" w:cs="Arial" w:eastAsia="Arial" w:hAnsi="Arial"/>
          <w:sz w:val="18"/>
          <w:szCs w:val="18"/>
          <w:color w:val="auto"/>
        </w:rPr>
        <w:t>excellent traction for our advanced SSD solutions. We are also leveraging our technology leadership in HDD and SSD to help our customer migrate to hybrid storage devices.</w:t>
      </w:r>
    </w:p>
    <w:p>
      <w:pPr>
        <w:spacing w:after="0" w:line="51" w:lineRule="exact"/>
        <w:rPr>
          <w:sz w:val="20"/>
          <w:szCs w:val="20"/>
          <w:color w:val="auto"/>
        </w:rPr>
      </w:pPr>
    </w:p>
    <w:p>
      <w:pPr>
        <w:ind w:left="900" w:hanging="325"/>
        <w:spacing w:after="0" w:line="253"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networking market, we continue to outperform the market with new solutions for the data center, enterprise and infrastructure networking markets. We recently introduced new 10G and 40G physical layer devices that offer high-performance and strong security features for our customers, as well as a new family of Prestera packet processors that are capable of processing data up to 1.28 terabits per second. We are also collaborating with leading software companies that provide services for mobile backhaul, carrier Ethernet and data center networks. The combination of our high-performance networking solutions and advanced software capabilities is being well received by our customers and is well suited for emerging software defined networks of the future. We believe our investments in these new areas of growth will enable us to continue to outperform our networking peers.</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also remain committed to deliver shareholder value through our share repurchase and dividend programs.</w:t>
      </w:r>
    </w:p>
    <w:p>
      <w:pPr>
        <w:spacing w:after="0" w:line="113" w:lineRule="exact"/>
        <w:rPr>
          <w:sz w:val="20"/>
          <w:szCs w:val="20"/>
          <w:color w:val="auto"/>
        </w:rPr>
      </w:pPr>
    </w:p>
    <w:p>
      <w:pPr>
        <w:ind w:left="9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$1.7 billion at May 4, 2013 and we generated cash flow from operations of $83.9 million during the first quarter of fiscal 2014.</w:t>
      </w:r>
    </w:p>
    <w:p>
      <w:pPr>
        <w:spacing w:after="0" w:line="5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paid a cash dividend of $0.06 per share for a total of $30.3 million in the first quarter of fiscal 2014 and we recently announced another dividend of $0.06 per share to be paid during the second quarter of fiscal 2014.</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repurchased a total of 19.9 million of our common shares for $200.2 million in cash during the first quarter of fiscal 2014.</w:t>
      </w:r>
    </w:p>
    <w:p>
      <w:pPr>
        <w:spacing w:after="0" w:line="17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II, Item 1A of this Quarterly Report on Form 10-Q and “Note 9 – Commitments and Contingencies” in the Notes to Unaudited Condensed Consolidated Financial Statements for a further discussion of the risks associated with this matter and other patent litigation matters). We strongly believe that we do not infringe on the methods described in the CMU patents and that our products use our own internally developed patented read channel technology. As a result, we have filed multiple post trial motions to overturn the jury verdict and if necessary, we will go through the appeal process.</w:t>
      </w:r>
    </w:p>
    <w:p>
      <w:pPr>
        <w:spacing w:after="0" w:line="11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186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0" w:type="dxa"/>
            <w:vAlign w:val="bottom"/>
          </w:tcPr>
          <w:p>
            <w:pPr>
              <w:spacing w:after="0"/>
              <w:rPr>
                <w:sz w:val="11"/>
                <w:szCs w:val="11"/>
                <w:color w:val="auto"/>
              </w:rPr>
            </w:pPr>
          </w:p>
        </w:tc>
        <w:tc>
          <w:tcPr>
            <w:tcW w:w="1120" w:type="dxa"/>
            <w:vAlign w:val="bottom"/>
            <w:tcBorders>
              <w:top w:val="single" w:sz="8" w:color="auto"/>
            </w:tcBorders>
            <w:gridSpan w:val="2"/>
          </w:tcPr>
          <w:p>
            <w:pPr>
              <w:jc w:val="right"/>
              <w:ind w:right="700"/>
              <w:spacing w:after="0" w:line="129" w:lineRule="exact"/>
              <w:rPr>
                <w:sz w:val="20"/>
                <w:szCs w:val="20"/>
                <w:color w:val="auto"/>
              </w:rPr>
            </w:pPr>
            <w:r>
              <w:rPr>
                <w:rFonts w:ascii="Arial" w:cs="Arial" w:eastAsia="Arial" w:hAnsi="Arial"/>
                <w:sz w:val="14"/>
                <w:szCs w:val="14"/>
                <w:b w:val="1"/>
                <w:bCs w:val="1"/>
                <w:color w:val="auto"/>
                <w:w w:val="93"/>
              </w:rPr>
              <w:t>May 4,</w:t>
            </w: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April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2013</w:t>
            </w:r>
          </w:p>
        </w:tc>
        <w:tc>
          <w:tcPr>
            <w:tcW w:w="66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1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94"/>
              </w:rPr>
              <w:t>100.0%</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w:t>
            </w: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460" w:type="dxa"/>
            <w:vAlign w:val="bottom"/>
          </w:tcPr>
          <w:p>
            <w:pPr>
              <w:jc w:val="right"/>
              <w:spacing w:after="0"/>
              <w:rPr>
                <w:sz w:val="20"/>
                <w:szCs w:val="20"/>
                <w:color w:val="auto"/>
              </w:rPr>
            </w:pPr>
            <w:r>
              <w:rPr>
                <w:rFonts w:ascii="Arial" w:cs="Arial" w:eastAsia="Arial" w:hAnsi="Arial"/>
                <w:sz w:val="18"/>
                <w:szCs w:val="18"/>
                <w:color w:val="auto"/>
              </w:rPr>
              <w:t>38.0</w:t>
            </w:r>
          </w:p>
        </w:tc>
        <w:tc>
          <w:tcPr>
            <w:tcW w:w="6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460" w:type="dxa"/>
            <w:vAlign w:val="bottom"/>
          </w:tcPr>
          <w:p>
            <w:pPr>
              <w:jc w:val="right"/>
              <w:spacing w:after="0"/>
              <w:rPr>
                <w:sz w:val="20"/>
                <w:szCs w:val="20"/>
                <w:color w:val="auto"/>
              </w:rPr>
            </w:pPr>
            <w:r>
              <w:rPr>
                <w:rFonts w:ascii="Arial" w:cs="Arial" w:eastAsia="Arial" w:hAnsi="Arial"/>
                <w:sz w:val="18"/>
                <w:szCs w:val="18"/>
                <w:color w:val="auto"/>
              </w:rPr>
              <w:t>3.6</w:t>
            </w:r>
          </w:p>
        </w:tc>
        <w:tc>
          <w:tcPr>
            <w:tcW w:w="6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660" w:type="dxa"/>
            <w:vAlign w:val="bottom"/>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800" w:type="dxa"/>
            <w:vAlign w:val="bottom"/>
          </w:tcPr>
          <w:p>
            <w:pPr>
              <w:ind w:left="840"/>
              <w:spacing w:after="0"/>
              <w:rPr>
                <w:sz w:val="20"/>
                <w:szCs w:val="20"/>
                <w:color w:val="auto"/>
              </w:rPr>
            </w:pPr>
            <w:r>
              <w:rPr>
                <w:rFonts w:ascii="Arial" w:cs="Arial" w:eastAsia="Arial" w:hAnsi="Arial"/>
                <w:sz w:val="18"/>
                <w:szCs w:val="18"/>
                <w:color w:val="auto"/>
              </w:rPr>
              <w:t>Total operating costs and expenses</w:t>
            </w: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94.2</w:t>
            </w:r>
          </w:p>
        </w:tc>
        <w:tc>
          <w:tcPr>
            <w:tcW w:w="660" w:type="dxa"/>
            <w:vAlign w:val="bottom"/>
          </w:tcPr>
          <w:p>
            <w:pPr>
              <w:spacing w:after="0"/>
              <w:rPr>
                <w:sz w:val="20"/>
                <w:szCs w:val="20"/>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w:t>
            </w:r>
          </w:p>
        </w:tc>
        <w:tc>
          <w:tcPr>
            <w:tcW w:w="660" w:type="dxa"/>
            <w:vAlign w:val="bottom"/>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120" w:type="dxa"/>
            <w:vAlign w:val="bottom"/>
            <w:gridSpan w:val="2"/>
          </w:tcPr>
          <w:p>
            <w:pPr>
              <w:jc w:val="right"/>
              <w:ind w:right="600"/>
              <w:spacing w:after="0"/>
              <w:rPr>
                <w:sz w:val="20"/>
                <w:szCs w:val="20"/>
                <w:color w:val="auto"/>
              </w:rPr>
            </w:pPr>
            <w:r>
              <w:rPr>
                <w:rFonts w:ascii="Arial" w:cs="Arial" w:eastAsia="Arial" w:hAnsi="Arial"/>
                <w:sz w:val="18"/>
                <w:szCs w:val="18"/>
                <w:color w:val="auto"/>
              </w:rPr>
              <w:t>(1.0)</w:t>
            </w:r>
          </w:p>
        </w:tc>
        <w:tc>
          <w:tcPr>
            <w:tcW w:w="540" w:type="dxa"/>
            <w:vAlign w:val="bottom"/>
          </w:tcPr>
          <w:p>
            <w:pPr>
              <w:jc w:val="right"/>
              <w:spacing w:after="0"/>
              <w:rPr>
                <w:sz w:val="20"/>
                <w:szCs w:val="20"/>
                <w:color w:val="auto"/>
              </w:rPr>
            </w:pPr>
            <w:r>
              <w:rPr>
                <w:rFonts w:ascii="Arial" w:cs="Arial" w:eastAsia="Arial" w:hAnsi="Arial"/>
                <w:sz w:val="18"/>
                <w:szCs w:val="18"/>
                <w:color w:val="auto"/>
              </w:rPr>
              <w:t>0.0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80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1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7.2%</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0"/>
        </w:trPr>
        <w:tc>
          <w:tcPr>
            <w:tcW w:w="6820" w:type="dxa"/>
            <w:vAlign w:val="bottom"/>
            <w:gridSpan w:val="2"/>
            <w:vMerge w:val="restart"/>
          </w:tcPr>
          <w:p>
            <w:pPr>
              <w:jc w:val="right"/>
              <w:ind w:right="2312"/>
              <w:spacing w:after="0"/>
              <w:rPr>
                <w:sz w:val="20"/>
                <w:szCs w:val="20"/>
                <w:color w:val="auto"/>
              </w:rPr>
            </w:pPr>
            <w:r>
              <w:rPr>
                <w:rFonts w:ascii="Arial" w:cs="Arial" w:eastAsia="Arial" w:hAnsi="Arial"/>
                <w:sz w:val="18"/>
                <w:szCs w:val="18"/>
                <w:color w:val="auto"/>
              </w:rPr>
              <w:t>23</w:t>
            </w:r>
          </w:p>
        </w:tc>
        <w:tc>
          <w:tcPr>
            <w:tcW w:w="4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820" w:type="dxa"/>
            <w:vAlign w:val="bottom"/>
            <w:gridSpan w:val="2"/>
            <w:vMerge w:val="continue"/>
          </w:tcPr>
          <w:p>
            <w:pPr>
              <w:spacing w:after="0"/>
              <w:rPr>
                <w:sz w:val="24"/>
                <w:szCs w:val="24"/>
                <w:color w:val="auto"/>
              </w:rPr>
            </w:pPr>
          </w:p>
        </w:tc>
        <w:tc>
          <w:tcPr>
            <w:tcW w:w="4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May 4, 2013 and April 28, 2012</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400" w:type="dxa"/>
            <w:vAlign w:val="bottom"/>
            <w:gridSpan w:val="3"/>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940" w:type="dxa"/>
            <w:vAlign w:val="bottom"/>
            <w:tcBorders>
              <w:top w:val="single" w:sz="8" w:color="auto"/>
            </w:tcBorders>
          </w:tcPr>
          <w:p>
            <w:pPr>
              <w:ind w:left="140"/>
              <w:spacing w:after="0" w:line="129" w:lineRule="exact"/>
              <w:rPr>
                <w:sz w:val="20"/>
                <w:szCs w:val="20"/>
                <w:color w:val="auto"/>
              </w:rPr>
            </w:pPr>
            <w:r>
              <w:rPr>
                <w:rFonts w:ascii="Arial" w:cs="Arial" w:eastAsia="Arial" w:hAnsi="Arial"/>
                <w:sz w:val="14"/>
                <w:szCs w:val="14"/>
                <w:b w:val="1"/>
                <w:bCs w:val="1"/>
                <w:color w:val="auto"/>
              </w:rPr>
              <w:t>May 4,</w:t>
            </w:r>
          </w:p>
        </w:tc>
        <w:tc>
          <w:tcPr>
            <w:tcW w:w="940" w:type="dxa"/>
            <w:vAlign w:val="bottom"/>
            <w:tcBorders>
              <w:top w:val="single" w:sz="8" w:color="auto"/>
            </w:tcBorders>
          </w:tcPr>
          <w:p>
            <w:pPr>
              <w:ind w:left="340"/>
              <w:spacing w:after="0" w:line="129" w:lineRule="exact"/>
              <w:rPr>
                <w:sz w:val="20"/>
                <w:szCs w:val="20"/>
                <w:color w:val="auto"/>
              </w:rPr>
            </w:pPr>
            <w:r>
              <w:rPr>
                <w:rFonts w:ascii="Arial" w:cs="Arial" w:eastAsia="Arial" w:hAnsi="Arial"/>
                <w:sz w:val="14"/>
                <w:szCs w:val="14"/>
                <w:b w:val="1"/>
                <w:bCs w:val="1"/>
                <w:color w:val="auto"/>
              </w:rPr>
              <w:t>April 28,</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940" w:type="dxa"/>
            <w:vAlign w:val="bottom"/>
          </w:tcPr>
          <w:p>
            <w:pPr>
              <w:jc w:val="right"/>
              <w:ind w:right="388"/>
              <w:spacing w:after="0"/>
              <w:rPr>
                <w:sz w:val="20"/>
                <w:szCs w:val="20"/>
                <w:color w:val="auto"/>
              </w:rPr>
            </w:pPr>
            <w:r>
              <w:rPr>
                <w:rFonts w:ascii="Arial" w:cs="Arial" w:eastAsia="Arial" w:hAnsi="Arial"/>
                <w:sz w:val="14"/>
                <w:szCs w:val="14"/>
                <w:b w:val="1"/>
                <w:bCs w:val="1"/>
                <w:color w:val="auto"/>
              </w:rPr>
              <w:t>2013</w:t>
            </w:r>
          </w:p>
        </w:tc>
        <w:tc>
          <w:tcPr>
            <w:tcW w:w="940" w:type="dxa"/>
            <w:vAlign w:val="bottom"/>
          </w:tcPr>
          <w:p>
            <w:pPr>
              <w:jc w:val="right"/>
              <w:ind w:right="126"/>
              <w:spacing w:after="0"/>
              <w:rPr>
                <w:sz w:val="20"/>
                <w:szCs w:val="20"/>
                <w:color w:val="auto"/>
              </w:rPr>
            </w:pPr>
            <w:r>
              <w:rPr>
                <w:rFonts w:ascii="Arial" w:cs="Arial" w:eastAsia="Arial" w:hAnsi="Arial"/>
                <w:sz w:val="14"/>
                <w:szCs w:val="14"/>
                <w:b w:val="1"/>
                <w:bCs w:val="1"/>
                <w:color w:val="auto"/>
              </w:rPr>
              <w:t>2012</w:t>
            </w:r>
          </w:p>
        </w:tc>
        <w:tc>
          <w:tcPr>
            <w:tcW w:w="52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2400" w:type="dxa"/>
            <w:vAlign w:val="bottom"/>
            <w:tcBorders>
              <w:top w:val="single" w:sz="8" w:color="auto"/>
            </w:tcBorders>
            <w:gridSpan w:val="3"/>
          </w:tcPr>
          <w:p>
            <w:pPr>
              <w:ind w:left="460"/>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40" w:type="dxa"/>
            <w:vAlign w:val="bottom"/>
            <w:shd w:val="clear" w:color="auto" w:fill="CCEEFF"/>
          </w:tcPr>
          <w:p>
            <w:pPr>
              <w:jc w:val="right"/>
              <w:ind w:right="188"/>
              <w:spacing w:after="0"/>
              <w:rPr>
                <w:sz w:val="20"/>
                <w:szCs w:val="20"/>
                <w:color w:val="auto"/>
              </w:rPr>
            </w:pPr>
            <w:r>
              <w:rPr>
                <w:rFonts w:ascii="Arial" w:cs="Arial" w:eastAsia="Arial" w:hAnsi="Arial"/>
                <w:sz w:val="18"/>
                <w:szCs w:val="18"/>
                <w:color w:val="auto"/>
                <w:w w:val="87"/>
              </w:rPr>
              <w:t>$734,369</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$796,351</w:t>
            </w:r>
          </w:p>
        </w:tc>
        <w:tc>
          <w:tcPr>
            <w:tcW w:w="5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8"/>
              </w:rPr>
              <w:t>(7.8)%</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Net revenue for the three months ended May 4, 2013 declined 7.8% compared to the three months ended April 28, 2012 primarily due to continued declines in revenue for our products in the mobile and wireless end market, which was partially offset by an increase in revenue from our storage end market. In the mobile market, we experienced lower demand for our products for the TD handset market in China as we continue to transition to multi-core processors and declining revenue from our leading North American handset customer. In our storage market, we saw higher HDD revenue, which was mostly driven by strong growth for our 500 gigabyte per platter products and higher revenue for our SSD products.</w:t>
      </w:r>
    </w:p>
    <w:p>
      <w:pPr>
        <w:spacing w:after="0" w:line="11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We currently expect overall net revenue for the three months ending August 3, 2013 to be in the range of $770 million to $810 million due to seasonal increases in sales of wireless products and the ramp-up of seasonal new mobile programs.</w:t>
      </w:r>
    </w:p>
    <w:p>
      <w:pPr>
        <w:spacing w:after="0" w:line="132"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We had two end customers who each represented greater than 10% of our total net revenue for the three months ended May 4, 2013. Combined revenue from these two customers was 39% of total net revenue for the three months ended May 4, 2013. No distributors accounted for more than 10% of our net revenue for the three months ended May 4, 2013. We had two end customers who each represented greater than 10% of our total net revenue for the three months ended April 28, 2012. Combined revenue from these two customers was 33% of total net revenue for the three months ended April 28, 2012. In addition, we had one distributor who accounted for more than 10% of our net revenue for the three months ended April 28, 2012.</w:t>
      </w:r>
    </w:p>
    <w:p>
      <w:pPr>
        <w:spacing w:after="0" w:line="120" w:lineRule="exact"/>
        <w:rPr>
          <w:sz w:val="20"/>
          <w:szCs w:val="20"/>
          <w:color w:val="auto"/>
        </w:rPr>
      </w:pPr>
    </w:p>
    <w:p>
      <w:pPr>
        <w:ind w:right="380" w:firstLine="456"/>
        <w:spacing w:after="0" w:line="255" w:lineRule="auto"/>
        <w:rPr>
          <w:sz w:val="20"/>
          <w:szCs w:val="20"/>
          <w:color w:val="auto"/>
        </w:rPr>
      </w:pPr>
      <w:r>
        <w:rPr>
          <w:rFonts w:ascii="Arial" w:cs="Arial" w:eastAsia="Arial" w:hAnsi="Arial"/>
          <w:sz w:val="18"/>
          <w:szCs w:val="18"/>
          <w:color w:val="auto"/>
        </w:rPr>
        <w:t>We expect to continue to experience similar customer concentration in future periods and most of our sales are expected to continue to be made to customers located outside of the United States, primarily in Asia. Sales to customers located in Asia represented 93% of our net revenue for the three months ended May 4, 2013 compared to 88% of our net revenue for the three months ended April 28, 2012. Because many manufacturers and manufacturing subcontractors of our customers are located in Asia, we expect that most of our net revenue will continue to be represented by sales to our customers in that region.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2620" w:type="dxa"/>
            <w:vAlign w:val="bottom"/>
            <w:gridSpan w:val="3"/>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52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080" w:type="dxa"/>
            <w:vAlign w:val="bottom"/>
            <w:tcBorders>
              <w:top w:val="single" w:sz="8" w:color="auto"/>
            </w:tcBorders>
          </w:tcPr>
          <w:p>
            <w:pPr>
              <w:jc w:val="right"/>
              <w:ind w:right="472"/>
              <w:spacing w:after="0" w:line="129" w:lineRule="exact"/>
              <w:rPr>
                <w:sz w:val="20"/>
                <w:szCs w:val="20"/>
                <w:color w:val="auto"/>
              </w:rPr>
            </w:pPr>
            <w:r>
              <w:rPr>
                <w:rFonts w:ascii="Arial" w:cs="Arial" w:eastAsia="Arial" w:hAnsi="Arial"/>
                <w:sz w:val="14"/>
                <w:szCs w:val="14"/>
                <w:b w:val="1"/>
                <w:bCs w:val="1"/>
                <w:color w:val="auto"/>
              </w:rPr>
              <w:t>May 4,</w:t>
            </w:r>
          </w:p>
        </w:tc>
        <w:tc>
          <w:tcPr>
            <w:tcW w:w="94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April 28,</w:t>
            </w:r>
          </w:p>
        </w:tc>
        <w:tc>
          <w:tcPr>
            <w:tcW w:w="600" w:type="dxa"/>
            <w:vAlign w:val="bottom"/>
          </w:tcPr>
          <w:p>
            <w:pPr>
              <w:spacing w:after="0"/>
              <w:rPr>
                <w:sz w:val="11"/>
                <w:szCs w:val="11"/>
                <w:color w:val="auto"/>
              </w:rPr>
            </w:pPr>
          </w:p>
        </w:tc>
        <w:tc>
          <w:tcPr>
            <w:tcW w:w="5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3520" w:type="dxa"/>
            <w:vAlign w:val="bottom"/>
            <w:gridSpan w:val="2"/>
          </w:tcPr>
          <w:p>
            <w:pPr>
              <w:jc w:val="right"/>
              <w:ind w:right="532"/>
              <w:spacing w:after="0"/>
              <w:rPr>
                <w:sz w:val="20"/>
                <w:szCs w:val="20"/>
                <w:color w:val="auto"/>
              </w:rPr>
            </w:pPr>
            <w:r>
              <w:rPr>
                <w:rFonts w:ascii="Arial" w:cs="Arial" w:eastAsia="Arial" w:hAnsi="Arial"/>
                <w:sz w:val="14"/>
                <w:szCs w:val="14"/>
                <w:b w:val="1"/>
                <w:bCs w:val="1"/>
                <w:color w:val="auto"/>
              </w:rPr>
              <w:t>2013</w:t>
            </w:r>
          </w:p>
        </w:tc>
        <w:tc>
          <w:tcPr>
            <w:tcW w:w="9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600" w:type="dxa"/>
            <w:vAlign w:val="bottom"/>
          </w:tcPr>
          <w:p>
            <w:pPr>
              <w:spacing w:after="0"/>
              <w:rPr>
                <w:sz w:val="14"/>
                <w:szCs w:val="14"/>
                <w:color w:val="auto"/>
              </w:rPr>
            </w:pPr>
          </w:p>
        </w:tc>
        <w:tc>
          <w:tcPr>
            <w:tcW w:w="780" w:type="dxa"/>
            <w:vAlign w:val="bottom"/>
            <w:gridSpan w:val="2"/>
          </w:tcPr>
          <w:p>
            <w:pPr>
              <w:ind w:left="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4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620" w:type="dxa"/>
            <w:vAlign w:val="bottom"/>
            <w:tcBorders>
              <w:top w:val="single" w:sz="8" w:color="auto"/>
            </w:tcBorders>
            <w:gridSpan w:val="3"/>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52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$335,438</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$366,322</w:t>
            </w:r>
          </w:p>
        </w:tc>
        <w:tc>
          <w:tcPr>
            <w:tcW w:w="6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8"/>
              </w:rPr>
              <w:t>(8.4)%</w:t>
            </w:r>
          </w:p>
        </w:tc>
        <w:tc>
          <w:tcPr>
            <w:tcW w:w="0" w:type="dxa"/>
            <w:vAlign w:val="bottom"/>
          </w:tcPr>
          <w:p>
            <w:pPr>
              <w:spacing w:after="0"/>
              <w:rPr>
                <w:sz w:val="1"/>
                <w:szCs w:val="1"/>
                <w:color w:val="auto"/>
              </w:rPr>
            </w:pPr>
          </w:p>
        </w:tc>
      </w:tr>
      <w:tr>
        <w:trPr>
          <w:trHeight w:val="222"/>
        </w:trPr>
        <w:tc>
          <w:tcPr>
            <w:tcW w:w="3740" w:type="dxa"/>
            <w:vAlign w:val="bottom"/>
          </w:tcPr>
          <w:p>
            <w:pPr>
              <w:spacing w:after="0"/>
              <w:rPr>
                <w:sz w:val="20"/>
                <w:szCs w:val="20"/>
                <w:color w:val="auto"/>
              </w:rPr>
            </w:pPr>
            <w:r>
              <w:rPr>
                <w:rFonts w:ascii="Arial" w:cs="Arial" w:eastAsia="Arial" w:hAnsi="Arial"/>
                <w:sz w:val="18"/>
                <w:szCs w:val="18"/>
                <w:color w:val="auto"/>
              </w:rPr>
              <w:t>% of net revenue</w:t>
            </w:r>
          </w:p>
        </w:tc>
        <w:tc>
          <w:tcPr>
            <w:tcW w:w="3520" w:type="dxa"/>
            <w:vAlign w:val="bottom"/>
            <w:gridSpan w:val="2"/>
          </w:tcPr>
          <w:p>
            <w:pPr>
              <w:jc w:val="right"/>
              <w:ind w:right="192"/>
              <w:spacing w:after="0"/>
              <w:rPr>
                <w:sz w:val="20"/>
                <w:szCs w:val="20"/>
                <w:color w:val="auto"/>
              </w:rPr>
            </w:pPr>
            <w:r>
              <w:rPr>
                <w:rFonts w:ascii="Arial" w:cs="Arial" w:eastAsia="Arial" w:hAnsi="Arial"/>
                <w:sz w:val="18"/>
                <w:szCs w:val="18"/>
                <w:color w:val="auto"/>
              </w:rPr>
              <w:t>45.7%</w:t>
            </w: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46.0%</w:t>
            </w:r>
          </w:p>
        </w:tc>
        <w:tc>
          <w:tcPr>
            <w:tcW w:w="5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Cost of goods sold as a percentage of net revenue was slightly lower for the three months ended May 4, 2013 compared to the three months ended April 28,</w:t>
      </w:r>
    </w:p>
    <w:p>
      <w:pPr>
        <w:spacing w:after="0" w:line="50"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2012. The impact of lower commodity costs was mostly offset by higher manufacturing period costs as we ramp new product designs. Commodities costs were lower mainly due to our continued efforts to replace the use of gold in our products with copper, along with the drop in gold prices.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August 3, 2013 to be slightly higher compared to the three months ended May 4, 2013.</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8"/>
              </w:rPr>
              <w:t>May 4,</w:t>
            </w:r>
          </w:p>
        </w:tc>
        <w:tc>
          <w:tcPr>
            <w:tcW w:w="4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28,</w:t>
            </w:r>
          </w:p>
        </w:tc>
        <w:tc>
          <w:tcPr>
            <w:tcW w:w="100" w:type="dxa"/>
            <w:vAlign w:val="bottom"/>
          </w:tcPr>
          <w:p>
            <w:pPr>
              <w:spacing w:after="0"/>
              <w:rPr>
                <w:sz w:val="11"/>
                <w:szCs w:val="11"/>
                <w:color w:val="auto"/>
              </w:rPr>
            </w:pPr>
          </w:p>
        </w:tc>
      </w:t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w w:val="96"/>
              </w:rPr>
              <w:t>2013</w:t>
            </w:r>
          </w:p>
        </w:tc>
        <w:tc>
          <w:tcPr>
            <w:tcW w:w="4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r>
      <w:tr>
        <w:trPr>
          <w:trHeight w:val="142"/>
        </w:trPr>
        <w:tc>
          <w:tcPr>
            <w:tcW w:w="444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gridSpan w:val="4"/>
          </w:tcPr>
          <w:p>
            <w:pPr>
              <w:jc w:val="right"/>
              <w:ind w:right="276"/>
              <w:spacing w:after="0" w:line="142" w:lineRule="exact"/>
              <w:rPr>
                <w:sz w:val="20"/>
                <w:szCs w:val="20"/>
                <w:color w:val="auto"/>
              </w:rPr>
            </w:pPr>
            <w:r>
              <w:rPr>
                <w:rFonts w:ascii="Arial" w:cs="Arial" w:eastAsia="Arial" w:hAnsi="Arial"/>
                <w:sz w:val="14"/>
                <w:szCs w:val="14"/>
                <w:b w:val="1"/>
                <w:bCs w:val="1"/>
                <w:color w:val="auto"/>
              </w:rPr>
              <w:t>(in thoursands)</w:t>
            </w:r>
          </w:p>
        </w:tc>
        <w:tc>
          <w:tcPr>
            <w:tcW w:w="100" w:type="dxa"/>
            <w:vAlign w:val="bottom"/>
          </w:tcPr>
          <w:p>
            <w:pPr>
              <w:spacing w:after="0"/>
              <w:rPr>
                <w:sz w:val="12"/>
                <w:szCs w:val="12"/>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2,123</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23,279</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17,174</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3,392</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3,036</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4,975</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4,859</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33,513</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27,192</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Share-based compensation expense increased by $6.3 million for the three months ended May 4, 2013 compared to the three months ended April 28, 2012. The increase was primarily due to increased headcount in fiscal 2014, combined with higher expense related to the employee stock purchase plan. The offering price of the employee stock purchase plan was reset in June 2012 and also in December 2012 due to the decline in our stock price.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40" w:type="dxa"/>
            <w:vAlign w:val="bottom"/>
          </w:tcPr>
          <w:p>
            <w:pPr>
              <w:spacing w:after="0"/>
              <w:rPr>
                <w:sz w:val="14"/>
                <w:szCs w:val="14"/>
                <w:color w:val="auto"/>
              </w:rPr>
            </w:pPr>
          </w:p>
        </w:tc>
        <w:tc>
          <w:tcPr>
            <w:tcW w:w="2600" w:type="dxa"/>
            <w:vAlign w:val="bottom"/>
            <w:gridSpan w:val="3"/>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40" w:type="dxa"/>
            <w:vAlign w:val="bottom"/>
          </w:tcPr>
          <w:p>
            <w:pPr>
              <w:spacing w:after="0"/>
              <w:rPr>
                <w:sz w:val="11"/>
                <w:szCs w:val="11"/>
                <w:color w:val="auto"/>
              </w:rPr>
            </w:pPr>
          </w:p>
        </w:tc>
        <w:tc>
          <w:tcPr>
            <w:tcW w:w="1080" w:type="dxa"/>
            <w:vAlign w:val="bottom"/>
            <w:tcBorders>
              <w:top w:val="single" w:sz="8" w:color="auto"/>
            </w:tcBorders>
          </w:tcPr>
          <w:p>
            <w:pPr>
              <w:jc w:val="right"/>
              <w:ind w:right="486"/>
              <w:spacing w:after="0" w:line="129" w:lineRule="exact"/>
              <w:rPr>
                <w:sz w:val="20"/>
                <w:szCs w:val="20"/>
                <w:color w:val="auto"/>
              </w:rPr>
            </w:pPr>
            <w:r>
              <w:rPr>
                <w:rFonts w:ascii="Arial" w:cs="Arial" w:eastAsia="Arial" w:hAnsi="Arial"/>
                <w:sz w:val="14"/>
                <w:szCs w:val="14"/>
                <w:b w:val="1"/>
                <w:bCs w:val="1"/>
                <w:color w:val="auto"/>
              </w:rPr>
              <w:t>May 4,</w:t>
            </w:r>
          </w:p>
        </w:tc>
        <w:tc>
          <w:tcPr>
            <w:tcW w:w="94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April 28,</w:t>
            </w:r>
          </w:p>
        </w:tc>
        <w:tc>
          <w:tcPr>
            <w:tcW w:w="580" w:type="dxa"/>
            <w:vAlign w:val="bottom"/>
          </w:tcPr>
          <w:p>
            <w:pPr>
              <w:spacing w:after="0"/>
              <w:rPr>
                <w:sz w:val="11"/>
                <w:szCs w:val="11"/>
                <w:color w:val="auto"/>
              </w:rPr>
            </w:pPr>
          </w:p>
        </w:tc>
        <w:tc>
          <w:tcPr>
            <w:tcW w:w="5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40" w:type="dxa"/>
            <w:vAlign w:val="bottom"/>
          </w:tcPr>
          <w:p>
            <w:pPr>
              <w:spacing w:after="0"/>
              <w:rPr>
                <w:sz w:val="14"/>
                <w:szCs w:val="14"/>
                <w:color w:val="auto"/>
              </w:rPr>
            </w:pPr>
          </w:p>
        </w:tc>
        <w:tc>
          <w:tcPr>
            <w:tcW w:w="1080" w:type="dxa"/>
            <w:vAlign w:val="bottom"/>
          </w:tcPr>
          <w:p>
            <w:pPr>
              <w:jc w:val="right"/>
              <w:ind w:right="546"/>
              <w:spacing w:after="0"/>
              <w:rPr>
                <w:sz w:val="20"/>
                <w:szCs w:val="20"/>
                <w:color w:val="auto"/>
              </w:rPr>
            </w:pPr>
            <w:r>
              <w:rPr>
                <w:rFonts w:ascii="Arial" w:cs="Arial" w:eastAsia="Arial" w:hAnsi="Arial"/>
                <w:sz w:val="14"/>
                <w:szCs w:val="14"/>
                <w:b w:val="1"/>
                <w:bCs w:val="1"/>
                <w:color w:val="auto"/>
              </w:rPr>
              <w:t>2013</w:t>
            </w:r>
          </w:p>
        </w:tc>
        <w:tc>
          <w:tcPr>
            <w:tcW w:w="9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580" w:type="dxa"/>
            <w:vAlign w:val="bottom"/>
          </w:tcPr>
          <w:p>
            <w:pPr>
              <w:spacing w:after="0"/>
              <w:rPr>
                <w:sz w:val="14"/>
                <w:szCs w:val="14"/>
                <w:color w:val="auto"/>
              </w:rPr>
            </w:pPr>
          </w:p>
        </w:tc>
        <w:tc>
          <w:tcPr>
            <w:tcW w:w="7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40" w:type="dxa"/>
            <w:vAlign w:val="bottom"/>
          </w:tcPr>
          <w:p>
            <w:pPr>
              <w:spacing w:after="0"/>
              <w:rPr>
                <w:sz w:val="12"/>
                <w:szCs w:val="12"/>
                <w:color w:val="auto"/>
              </w:rPr>
            </w:pPr>
          </w:p>
        </w:tc>
        <w:tc>
          <w:tcPr>
            <w:tcW w:w="2600" w:type="dxa"/>
            <w:vAlign w:val="bottom"/>
            <w:tcBorders>
              <w:top w:val="single" w:sz="8" w:color="auto"/>
            </w:tcBorders>
            <w:gridSpan w:val="3"/>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8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5"/>
              </w:rPr>
              <w:t>$279,052</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$255,970</w:t>
            </w:r>
          </w:p>
        </w:tc>
        <w:tc>
          <w:tcPr>
            <w:tcW w:w="5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22"/>
        </w:trPr>
        <w:tc>
          <w:tcPr>
            <w:tcW w:w="624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186"/>
              <w:spacing w:after="0"/>
              <w:rPr>
                <w:sz w:val="20"/>
                <w:szCs w:val="20"/>
                <w:color w:val="auto"/>
              </w:rPr>
            </w:pPr>
            <w:r>
              <w:rPr>
                <w:rFonts w:ascii="Arial" w:cs="Arial" w:eastAsia="Arial" w:hAnsi="Arial"/>
                <w:sz w:val="18"/>
                <w:szCs w:val="18"/>
                <w:color w:val="auto"/>
              </w:rPr>
              <w:t>38.0%</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32.1%</w:t>
            </w: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Research and development expense increased for the three months ended May 4, 2013 by $23.1 million compared to the three months ended April 28, 2012. The increase was primarily attributable to higher personnel-related costs as a result of increased headcount and higher average employee compensation, as well as higher computer-aided design tool and other engineering related supply and depreciation costs as we continue the development of advanced solutions. These increases were partially offset by lower incentive compensation as a result of lower profitability.</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August 3, 2013 will be higher than the level of expense reported for the three months ended May 4, 2013, due mainly to higher share-based compensation.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248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60" w:type="dxa"/>
            <w:vAlign w:val="bottom"/>
          </w:tcPr>
          <w:p>
            <w:pPr>
              <w:spacing w:after="0"/>
              <w:rPr>
                <w:sz w:val="11"/>
                <w:szCs w:val="11"/>
                <w:color w:val="auto"/>
              </w:rPr>
            </w:pPr>
          </w:p>
        </w:tc>
        <w:tc>
          <w:tcPr>
            <w:tcW w:w="1000" w:type="dxa"/>
            <w:vAlign w:val="bottom"/>
            <w:tcBorders>
              <w:top w:val="single" w:sz="8" w:color="auto"/>
            </w:tcBorders>
          </w:tcPr>
          <w:p>
            <w:pPr>
              <w:jc w:val="right"/>
              <w:ind w:right="426"/>
              <w:spacing w:after="0" w:line="129" w:lineRule="exact"/>
              <w:rPr>
                <w:sz w:val="20"/>
                <w:szCs w:val="20"/>
                <w:color w:val="auto"/>
              </w:rPr>
            </w:pPr>
            <w:r>
              <w:rPr>
                <w:rFonts w:ascii="Arial" w:cs="Arial" w:eastAsia="Arial" w:hAnsi="Arial"/>
                <w:sz w:val="14"/>
                <w:szCs w:val="14"/>
                <w:b w:val="1"/>
                <w:bCs w:val="1"/>
                <w:color w:val="auto"/>
              </w:rPr>
              <w:t>May 4,</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64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60" w:type="dxa"/>
            <w:vAlign w:val="bottom"/>
          </w:tcPr>
          <w:p>
            <w:pPr>
              <w:spacing w:after="0"/>
              <w:rPr>
                <w:sz w:val="14"/>
                <w:szCs w:val="14"/>
                <w:color w:val="auto"/>
              </w:rPr>
            </w:pPr>
          </w:p>
        </w:tc>
        <w:tc>
          <w:tcPr>
            <w:tcW w:w="1000" w:type="dxa"/>
            <w:vAlign w:val="bottom"/>
          </w:tcPr>
          <w:p>
            <w:pPr>
              <w:jc w:val="right"/>
              <w:ind w:right="486"/>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360" w:type="dxa"/>
            <w:vAlign w:val="bottom"/>
          </w:tcPr>
          <w:p>
            <w:pPr>
              <w:spacing w:after="0"/>
              <w:rPr>
                <w:sz w:val="12"/>
                <w:szCs w:val="12"/>
                <w:color w:val="auto"/>
              </w:rPr>
            </w:pPr>
          </w:p>
        </w:tc>
        <w:tc>
          <w:tcPr>
            <w:tcW w:w="248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6"/>
              </w:rPr>
              <w:t>$39,989</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$40,066</w:t>
            </w:r>
          </w:p>
        </w:tc>
        <w:tc>
          <w:tcPr>
            <w:tcW w:w="6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8"/>
              </w:rPr>
              <w:t>(0.2)%</w:t>
            </w: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186"/>
              <w:spacing w:after="0"/>
              <w:rPr>
                <w:sz w:val="20"/>
                <w:szCs w:val="20"/>
                <w:color w:val="auto"/>
              </w:rPr>
            </w:pPr>
            <w:r>
              <w:rPr>
                <w:rFonts w:ascii="Arial" w:cs="Arial" w:eastAsia="Arial" w:hAnsi="Arial"/>
                <w:sz w:val="18"/>
                <w:szCs w:val="18"/>
                <w:color w:val="auto"/>
              </w:rPr>
              <w:t>5.4%</w:t>
            </w:r>
          </w:p>
        </w:tc>
        <w:tc>
          <w:tcPr>
            <w:tcW w:w="1480" w:type="dxa"/>
            <w:vAlign w:val="bottom"/>
            <w:gridSpan w:val="2"/>
          </w:tcPr>
          <w:p>
            <w:pPr>
              <w:jc w:val="right"/>
              <w:ind w:right="480"/>
              <w:spacing w:after="0"/>
              <w:rPr>
                <w:sz w:val="20"/>
                <w:szCs w:val="20"/>
                <w:color w:val="auto"/>
              </w:rPr>
            </w:pPr>
            <w:r>
              <w:rPr>
                <w:rFonts w:ascii="Arial" w:cs="Arial" w:eastAsia="Arial" w:hAnsi="Arial"/>
                <w:sz w:val="18"/>
                <w:szCs w:val="18"/>
                <w:color w:val="auto"/>
              </w:rPr>
              <w:t>5.0%</w:t>
            </w:r>
          </w:p>
        </w:tc>
        <w:tc>
          <w:tcPr>
            <w:tcW w:w="4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Selling and marketing expense for the three months ended May 4, 2013 was relatively flat compared to the three months ended April 28, 2012. Lower expenses for trade show and marketing communication activities was mostly offset by higher personnel-related expenses.</w:t>
      </w:r>
    </w:p>
    <w:p>
      <w:pPr>
        <w:spacing w:after="0" w:line="85"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currently expect that selling and marketing expense for the three months ending August 3, 2013 will be slightly higher than the level of expense reported for the three months ended May 4, 2013.</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20" w:type="dxa"/>
            <w:vAlign w:val="bottom"/>
          </w:tcPr>
          <w:p>
            <w:pPr>
              <w:spacing w:after="0"/>
              <w:rPr>
                <w:sz w:val="14"/>
                <w:szCs w:val="14"/>
                <w:color w:val="auto"/>
              </w:rPr>
            </w:pPr>
          </w:p>
        </w:tc>
        <w:tc>
          <w:tcPr>
            <w:tcW w:w="248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20" w:type="dxa"/>
            <w:vAlign w:val="bottom"/>
          </w:tcPr>
          <w:p>
            <w:pPr>
              <w:spacing w:after="0"/>
              <w:rPr>
                <w:sz w:val="11"/>
                <w:szCs w:val="11"/>
                <w:color w:val="auto"/>
              </w:rPr>
            </w:pPr>
          </w:p>
        </w:tc>
        <w:tc>
          <w:tcPr>
            <w:tcW w:w="1000" w:type="dxa"/>
            <w:vAlign w:val="bottom"/>
            <w:tcBorders>
              <w:top w:val="single" w:sz="8" w:color="auto"/>
            </w:tcBorders>
          </w:tcPr>
          <w:p>
            <w:pPr>
              <w:jc w:val="right"/>
              <w:ind w:right="426"/>
              <w:spacing w:after="0" w:line="129" w:lineRule="exact"/>
              <w:rPr>
                <w:sz w:val="20"/>
                <w:szCs w:val="20"/>
                <w:color w:val="auto"/>
              </w:rPr>
            </w:pPr>
            <w:r>
              <w:rPr>
                <w:rFonts w:ascii="Arial" w:cs="Arial" w:eastAsia="Arial" w:hAnsi="Arial"/>
                <w:sz w:val="14"/>
                <w:szCs w:val="14"/>
                <w:b w:val="1"/>
                <w:bCs w:val="1"/>
                <w:color w:val="auto"/>
              </w:rPr>
              <w:t>May 4,</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64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20" w:type="dxa"/>
            <w:vAlign w:val="bottom"/>
          </w:tcPr>
          <w:p>
            <w:pPr>
              <w:spacing w:after="0"/>
              <w:rPr>
                <w:sz w:val="14"/>
                <w:szCs w:val="14"/>
                <w:color w:val="auto"/>
              </w:rPr>
            </w:pPr>
          </w:p>
        </w:tc>
        <w:tc>
          <w:tcPr>
            <w:tcW w:w="1000" w:type="dxa"/>
            <w:vAlign w:val="bottom"/>
          </w:tcPr>
          <w:p>
            <w:pPr>
              <w:jc w:val="right"/>
              <w:ind w:right="506"/>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spacing w:after="0"/>
              <w:rPr>
                <w:sz w:val="14"/>
                <w:szCs w:val="14"/>
                <w:color w:val="auto"/>
              </w:rPr>
            </w:pPr>
          </w:p>
        </w:tc>
        <w:tc>
          <w:tcPr>
            <w:tcW w:w="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20" w:type="dxa"/>
            <w:vAlign w:val="bottom"/>
          </w:tcPr>
          <w:p>
            <w:pPr>
              <w:spacing w:after="0"/>
              <w:rPr>
                <w:sz w:val="12"/>
                <w:szCs w:val="12"/>
                <w:color w:val="auto"/>
              </w:rPr>
            </w:pPr>
          </w:p>
        </w:tc>
        <w:tc>
          <w:tcPr>
            <w:tcW w:w="248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00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6"/>
              </w:rPr>
              <w:t>$26,323</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$25,705</w:t>
            </w:r>
          </w:p>
        </w:tc>
        <w:tc>
          <w:tcPr>
            <w:tcW w:w="6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22"/>
        </w:trPr>
        <w:tc>
          <w:tcPr>
            <w:tcW w:w="642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206"/>
              <w:spacing w:after="0"/>
              <w:rPr>
                <w:sz w:val="20"/>
                <w:szCs w:val="20"/>
                <w:color w:val="auto"/>
              </w:rPr>
            </w:pPr>
            <w:r>
              <w:rPr>
                <w:rFonts w:ascii="Arial" w:cs="Arial" w:eastAsia="Arial" w:hAnsi="Arial"/>
                <w:sz w:val="18"/>
                <w:szCs w:val="18"/>
                <w:color w:val="auto"/>
              </w:rPr>
              <w:t>3.6%</w:t>
            </w:r>
          </w:p>
        </w:tc>
        <w:tc>
          <w:tcPr>
            <w:tcW w:w="1480" w:type="dxa"/>
            <w:vAlign w:val="bottom"/>
            <w:gridSpan w:val="2"/>
          </w:tcPr>
          <w:p>
            <w:pPr>
              <w:jc w:val="right"/>
              <w:ind w:right="500"/>
              <w:spacing w:after="0"/>
              <w:rPr>
                <w:sz w:val="20"/>
                <w:szCs w:val="20"/>
                <w:color w:val="auto"/>
              </w:rPr>
            </w:pPr>
            <w:r>
              <w:rPr>
                <w:rFonts w:ascii="Arial" w:cs="Arial" w:eastAsia="Arial" w:hAnsi="Arial"/>
                <w:sz w:val="18"/>
                <w:szCs w:val="18"/>
                <w:color w:val="auto"/>
              </w:rPr>
              <w:t>3.3%</w:t>
            </w: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General and administrative expense for the three months ended May 4, 2013 increased by $0.6 million compared to the three months ended April 28, 2012.</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The increase was due primarily to higher legal expenses for ongoing litigation matters.</w:t>
      </w:r>
    </w:p>
    <w:p>
      <w:pPr>
        <w:spacing w:after="0" w:line="165"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August 3, 2013 will be slightly higher than the level of expense reported for the three months ended May 4, 2013.</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80"/>
          </w:cols>
          <w:pgMar w:left="240" w:top="459" w:right="2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6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9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800" w:type="dxa"/>
            <w:vAlign w:val="bottom"/>
            <w:gridSpan w:val="3"/>
          </w:tcPr>
          <w:p>
            <w:pPr>
              <w:jc w:val="right"/>
              <w:ind w:right="1100"/>
              <w:spacing w:after="0"/>
              <w:rPr>
                <w:sz w:val="20"/>
                <w:szCs w:val="20"/>
                <w:color w:val="auto"/>
              </w:rPr>
            </w:pPr>
            <w:r>
              <w:rPr>
                <w:rFonts w:ascii="Arial" w:cs="Arial" w:eastAsia="Arial" w:hAnsi="Arial"/>
                <w:sz w:val="14"/>
                <w:szCs w:val="14"/>
                <w:b w:val="1"/>
                <w:bCs w:val="1"/>
                <w:color w:val="auto"/>
              </w:rPr>
              <w:t>Three Months Ended</w:t>
            </w:r>
          </w:p>
        </w:tc>
        <w:tc>
          <w:tcPr>
            <w:tcW w:w="680" w:type="dxa"/>
            <w:vAlign w:val="bottom"/>
            <w:vMerge w:val="restart"/>
          </w:tcPr>
          <w:p>
            <w:pPr>
              <w:jc w:val="right"/>
              <w:ind w:right="22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60" w:type="dxa"/>
            <w:vAlign w:val="bottom"/>
            <w:tcBorders>
              <w:top w:val="single" w:sz="8" w:color="auto"/>
            </w:tcBorders>
          </w:tcPr>
          <w:p>
            <w:pPr>
              <w:jc w:val="right"/>
              <w:ind w:right="492"/>
              <w:spacing w:after="0" w:line="129" w:lineRule="exact"/>
              <w:rPr>
                <w:sz w:val="20"/>
                <w:szCs w:val="20"/>
                <w:color w:val="auto"/>
              </w:rPr>
            </w:pPr>
            <w:r>
              <w:rPr>
                <w:rFonts w:ascii="Arial" w:cs="Arial" w:eastAsia="Arial" w:hAnsi="Arial"/>
                <w:sz w:val="14"/>
                <w:szCs w:val="14"/>
                <w:b w:val="1"/>
                <w:bCs w:val="1"/>
                <w:color w:val="auto"/>
              </w:rPr>
              <w:t>May 4,</w:t>
            </w:r>
          </w:p>
        </w:tc>
        <w:tc>
          <w:tcPr>
            <w:tcW w:w="1000" w:type="dxa"/>
            <w:vAlign w:val="bottom"/>
            <w:tcBorders>
              <w:top w:val="single" w:sz="8" w:color="auto"/>
            </w:tcBorders>
          </w:tcPr>
          <w:p>
            <w:pPr>
              <w:jc w:val="center"/>
              <w:ind w:left="122"/>
              <w:spacing w:after="0" w:line="129" w:lineRule="exact"/>
              <w:rPr>
                <w:sz w:val="20"/>
                <w:szCs w:val="20"/>
                <w:color w:val="auto"/>
              </w:rPr>
            </w:pPr>
            <w:r>
              <w:rPr>
                <w:rFonts w:ascii="Arial" w:cs="Arial" w:eastAsia="Arial" w:hAnsi="Arial"/>
                <w:sz w:val="14"/>
                <w:szCs w:val="14"/>
                <w:b w:val="1"/>
                <w:bCs w:val="1"/>
                <w:color w:val="auto"/>
                <w:w w:val="94"/>
              </w:rPr>
              <w:t>April 28,</w:t>
            </w:r>
          </w:p>
        </w:tc>
        <w:tc>
          <w:tcPr>
            <w:tcW w:w="640" w:type="dxa"/>
            <w:vAlign w:val="bottom"/>
          </w:tcPr>
          <w:p>
            <w:pPr>
              <w:spacing w:after="0"/>
              <w:rPr>
                <w:sz w:val="11"/>
                <w:szCs w:val="11"/>
                <w:color w:val="auto"/>
              </w:rPr>
            </w:pPr>
          </w:p>
        </w:tc>
        <w:tc>
          <w:tcPr>
            <w:tcW w:w="6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00" w:type="dxa"/>
            <w:vAlign w:val="bottom"/>
          </w:tcPr>
          <w:p>
            <w:pPr>
              <w:spacing w:after="0"/>
              <w:rPr>
                <w:sz w:val="14"/>
                <w:szCs w:val="14"/>
                <w:color w:val="auto"/>
              </w:rPr>
            </w:pPr>
          </w:p>
        </w:tc>
        <w:tc>
          <w:tcPr>
            <w:tcW w:w="210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2013</w:t>
            </w:r>
          </w:p>
        </w:tc>
        <w:tc>
          <w:tcPr>
            <w:tcW w:w="1000" w:type="dxa"/>
            <w:vAlign w:val="bottom"/>
          </w:tcPr>
          <w:p>
            <w:pPr>
              <w:jc w:val="center"/>
              <w:ind w:left="122"/>
              <w:spacing w:after="0"/>
              <w:rPr>
                <w:sz w:val="20"/>
                <w:szCs w:val="20"/>
                <w:color w:val="auto"/>
              </w:rPr>
            </w:pPr>
            <w:r>
              <w:rPr>
                <w:rFonts w:ascii="Arial" w:cs="Arial" w:eastAsia="Arial" w:hAnsi="Arial"/>
                <w:sz w:val="14"/>
                <w:szCs w:val="14"/>
                <w:b w:val="1"/>
                <w:bCs w:val="1"/>
                <w:color w:val="auto"/>
                <w:w w:val="89"/>
              </w:rPr>
              <w:t>2012</w:t>
            </w:r>
          </w:p>
        </w:tc>
        <w:tc>
          <w:tcPr>
            <w:tcW w:w="640" w:type="dxa"/>
            <w:vAlign w:val="bottom"/>
          </w:tcPr>
          <w:p>
            <w:pPr>
              <w:spacing w:after="0"/>
              <w:rPr>
                <w:sz w:val="14"/>
                <w:szCs w:val="14"/>
                <w:color w:val="auto"/>
              </w:rPr>
            </w:pPr>
          </w:p>
        </w:tc>
        <w:tc>
          <w:tcPr>
            <w:tcW w:w="9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9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800" w:type="dxa"/>
            <w:vAlign w:val="bottom"/>
            <w:tcBorders>
              <w:top w:val="single" w:sz="8" w:color="auto"/>
            </w:tcBorders>
            <w:gridSpan w:val="3"/>
          </w:tcPr>
          <w:p>
            <w:pPr>
              <w:jc w:val="center"/>
              <w:ind w:left="61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100" w:type="dxa"/>
            <w:vAlign w:val="bottom"/>
            <w:gridSpan w:val="2"/>
            <w:shd w:val="clear" w:color="auto" w:fill="CCEEFF"/>
          </w:tcPr>
          <w:p>
            <w:pPr>
              <w:jc w:val="right"/>
              <w:ind w:right="292"/>
              <w:spacing w:after="0"/>
              <w:rPr>
                <w:sz w:val="20"/>
                <w:szCs w:val="20"/>
                <w:color w:val="auto"/>
              </w:rPr>
            </w:pPr>
            <w:r>
              <w:rPr>
                <w:rFonts w:ascii="Arial" w:cs="Arial" w:eastAsia="Arial" w:hAnsi="Arial"/>
                <w:sz w:val="18"/>
                <w:szCs w:val="18"/>
                <w:color w:val="auto"/>
              </w:rPr>
              <w:t>$   10,686</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14,355</w:t>
            </w:r>
          </w:p>
        </w:tc>
        <w:tc>
          <w:tcPr>
            <w:tcW w:w="6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(25.6)%</w:t>
            </w:r>
          </w:p>
        </w:tc>
        <w:tc>
          <w:tcPr>
            <w:tcW w:w="0" w:type="dxa"/>
            <w:vAlign w:val="bottom"/>
          </w:tcPr>
          <w:p>
            <w:pPr>
              <w:spacing w:after="0"/>
              <w:rPr>
                <w:sz w:val="1"/>
                <w:szCs w:val="1"/>
                <w:color w:val="auto"/>
              </w:rPr>
            </w:pPr>
          </w:p>
        </w:tc>
      </w:tr>
      <w:tr>
        <w:trPr>
          <w:trHeight w:val="222"/>
        </w:trPr>
        <w:tc>
          <w:tcPr>
            <w:tcW w:w="4900" w:type="dxa"/>
            <w:vAlign w:val="bottom"/>
          </w:tcPr>
          <w:p>
            <w:pPr>
              <w:spacing w:after="0"/>
              <w:rPr>
                <w:sz w:val="20"/>
                <w:szCs w:val="20"/>
                <w:color w:val="auto"/>
              </w:rPr>
            </w:pPr>
            <w:r>
              <w:rPr>
                <w:rFonts w:ascii="Arial" w:cs="Arial" w:eastAsia="Arial" w:hAnsi="Arial"/>
                <w:sz w:val="18"/>
                <w:szCs w:val="18"/>
                <w:color w:val="auto"/>
              </w:rPr>
              <w:t>% of net revenue</w:t>
            </w:r>
          </w:p>
        </w:tc>
        <w:tc>
          <w:tcPr>
            <w:tcW w:w="2100" w:type="dxa"/>
            <w:vAlign w:val="bottom"/>
            <w:gridSpan w:val="2"/>
          </w:tcPr>
          <w:p>
            <w:pPr>
              <w:jc w:val="right"/>
              <w:ind w:right="152"/>
              <w:spacing w:after="0"/>
              <w:rPr>
                <w:sz w:val="20"/>
                <w:szCs w:val="20"/>
                <w:color w:val="auto"/>
              </w:rPr>
            </w:pPr>
            <w:r>
              <w:rPr>
                <w:rFonts w:ascii="Arial" w:cs="Arial" w:eastAsia="Arial" w:hAnsi="Arial"/>
                <w:sz w:val="18"/>
                <w:szCs w:val="18"/>
                <w:color w:val="auto"/>
              </w:rPr>
              <w:t>1.5%</w:t>
            </w:r>
          </w:p>
        </w:tc>
        <w:tc>
          <w:tcPr>
            <w:tcW w:w="1640" w:type="dxa"/>
            <w:vAlign w:val="bottom"/>
            <w:gridSpan w:val="2"/>
          </w:tcPr>
          <w:p>
            <w:pPr>
              <w:jc w:val="right"/>
              <w:ind w:right="500"/>
              <w:spacing w:after="0"/>
              <w:rPr>
                <w:sz w:val="20"/>
                <w:szCs w:val="20"/>
                <w:color w:val="auto"/>
              </w:rPr>
            </w:pPr>
            <w:r>
              <w:rPr>
                <w:rFonts w:ascii="Arial" w:cs="Arial" w:eastAsia="Arial" w:hAnsi="Arial"/>
                <w:sz w:val="18"/>
                <w:szCs w:val="18"/>
                <w:color w:val="auto"/>
              </w:rPr>
              <w:t>1.8%</w:t>
            </w:r>
          </w:p>
        </w:tc>
        <w:tc>
          <w:tcPr>
            <w:tcW w:w="6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Amortization and write-off of acquired intangible assets for the three months ended May 4, 2013 decreased by $3.7 million compared to the three months ended April 28, 2012. The decrease was primarily due to the certain intangible assets acquired in earlier acquisitions that became fully amortized. In addition, the three months ended April 28, 2012 included a $0.8 million write-off of in-process research and development related to an abandoned project.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6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40" w:type="dxa"/>
            <w:vAlign w:val="bottom"/>
            <w:gridSpan w:val="4"/>
          </w:tcPr>
          <w:p>
            <w:pPr>
              <w:jc w:val="right"/>
              <w:ind w:right="1100"/>
              <w:spacing w:after="0"/>
              <w:rPr>
                <w:sz w:val="20"/>
                <w:szCs w:val="20"/>
                <w:color w:val="auto"/>
              </w:rPr>
            </w:pPr>
            <w:r>
              <w:rPr>
                <w:rFonts w:ascii="Arial" w:cs="Arial" w:eastAsia="Arial" w:hAnsi="Arial"/>
                <w:sz w:val="14"/>
                <w:szCs w:val="14"/>
                <w:b w:val="1"/>
                <w:bCs w:val="1"/>
                <w:color w:val="auto"/>
              </w:rPr>
              <w:t>Three Months Ended</w:t>
            </w:r>
          </w:p>
        </w:tc>
        <w:tc>
          <w:tcPr>
            <w:tcW w:w="700" w:type="dxa"/>
            <w:vAlign w:val="bottom"/>
            <w:vMerge w:val="restart"/>
          </w:tcPr>
          <w:p>
            <w:pPr>
              <w:jc w:val="right"/>
              <w:ind w:right="24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jc w:val="right"/>
              <w:ind w:right="466"/>
              <w:spacing w:after="0" w:line="129" w:lineRule="exact"/>
              <w:rPr>
                <w:sz w:val="20"/>
                <w:szCs w:val="20"/>
                <w:color w:val="auto"/>
              </w:rPr>
            </w:pPr>
            <w:r>
              <w:rPr>
                <w:rFonts w:ascii="Arial" w:cs="Arial" w:eastAsia="Arial" w:hAnsi="Arial"/>
                <w:sz w:val="14"/>
                <w:szCs w:val="14"/>
                <w:b w:val="1"/>
                <w:bCs w:val="1"/>
                <w:color w:val="auto"/>
              </w:rPr>
              <w:t>May 4,</w:t>
            </w:r>
          </w:p>
        </w:tc>
        <w:tc>
          <w:tcPr>
            <w:tcW w:w="3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ind w:right="42"/>
              <w:spacing w:after="0" w:line="129" w:lineRule="exact"/>
              <w:rPr>
                <w:sz w:val="20"/>
                <w:szCs w:val="20"/>
                <w:color w:val="auto"/>
              </w:rPr>
            </w:pPr>
            <w:r>
              <w:rPr>
                <w:rFonts w:ascii="Arial" w:cs="Arial" w:eastAsia="Arial" w:hAnsi="Arial"/>
                <w:sz w:val="14"/>
                <w:szCs w:val="14"/>
                <w:b w:val="1"/>
                <w:bCs w:val="1"/>
                <w:color w:val="auto"/>
                <w:w w:val="94"/>
              </w:rPr>
              <w:t>April 28,</w:t>
            </w:r>
          </w:p>
        </w:tc>
        <w:tc>
          <w:tcPr>
            <w:tcW w:w="620" w:type="dxa"/>
            <w:vAlign w:val="bottom"/>
          </w:tcPr>
          <w:p>
            <w:pPr>
              <w:spacing w:after="0"/>
              <w:rPr>
                <w:sz w:val="11"/>
                <w:szCs w:val="11"/>
                <w:color w:val="auto"/>
              </w:rPr>
            </w:pPr>
          </w:p>
        </w:tc>
        <w:tc>
          <w:tcPr>
            <w:tcW w:w="7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jc w:val="right"/>
              <w:ind w:right="546"/>
              <w:spacing w:after="0"/>
              <w:rPr>
                <w:sz w:val="20"/>
                <w:szCs w:val="20"/>
                <w:color w:val="auto"/>
              </w:rPr>
            </w:pPr>
            <w:r>
              <w:rPr>
                <w:rFonts w:ascii="Arial" w:cs="Arial" w:eastAsia="Arial" w:hAnsi="Arial"/>
                <w:sz w:val="14"/>
                <w:szCs w:val="14"/>
                <w:b w:val="1"/>
                <w:bCs w:val="1"/>
                <w:color w:val="auto"/>
              </w:rPr>
              <w:t>2013</w:t>
            </w:r>
          </w:p>
        </w:tc>
        <w:tc>
          <w:tcPr>
            <w:tcW w:w="340" w:type="dxa"/>
            <w:vAlign w:val="bottom"/>
          </w:tcPr>
          <w:p>
            <w:pPr>
              <w:spacing w:after="0"/>
              <w:rPr>
                <w:sz w:val="14"/>
                <w:szCs w:val="14"/>
                <w:color w:val="auto"/>
              </w:rPr>
            </w:pPr>
          </w:p>
        </w:tc>
        <w:tc>
          <w:tcPr>
            <w:tcW w:w="680" w:type="dxa"/>
            <w:vAlign w:val="bottom"/>
          </w:tcPr>
          <w:p>
            <w:pPr>
              <w:jc w:val="center"/>
              <w:ind w:right="42"/>
              <w:spacing w:after="0"/>
              <w:rPr>
                <w:sz w:val="20"/>
                <w:szCs w:val="20"/>
                <w:color w:val="auto"/>
              </w:rPr>
            </w:pPr>
            <w:r>
              <w:rPr>
                <w:rFonts w:ascii="Arial" w:cs="Arial" w:eastAsia="Arial" w:hAnsi="Arial"/>
                <w:sz w:val="14"/>
                <w:szCs w:val="14"/>
                <w:b w:val="1"/>
                <w:bCs w:val="1"/>
                <w:color w:val="auto"/>
                <w:w w:val="89"/>
              </w:rPr>
              <w:t>2012</w:t>
            </w:r>
          </w:p>
        </w:tc>
        <w:tc>
          <w:tcPr>
            <w:tcW w:w="620" w:type="dxa"/>
            <w:vAlign w:val="bottom"/>
          </w:tcPr>
          <w:p>
            <w:pPr>
              <w:spacing w:after="0"/>
              <w:rPr>
                <w:sz w:val="14"/>
                <w:szCs w:val="14"/>
                <w:color w:val="auto"/>
              </w:rPr>
            </w:pPr>
          </w:p>
        </w:tc>
        <w:tc>
          <w:tcPr>
            <w:tcW w:w="9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0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2640" w:type="dxa"/>
            <w:vAlign w:val="bottom"/>
            <w:tcBorders>
              <w:top w:val="single" w:sz="8" w:color="auto"/>
            </w:tcBorders>
            <w:gridSpan w:val="4"/>
          </w:tcPr>
          <w:p>
            <w:pPr>
              <w:jc w:val="center"/>
              <w:ind w:left="486"/>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ind w:right="266"/>
              <w:spacing w:after="0"/>
              <w:rPr>
                <w:sz w:val="20"/>
                <w:szCs w:val="20"/>
                <w:color w:val="auto"/>
              </w:rPr>
            </w:pPr>
            <w:r>
              <w:rPr>
                <w:rFonts w:ascii="Arial" w:cs="Arial" w:eastAsia="Arial" w:hAnsi="Arial"/>
                <w:sz w:val="18"/>
                <w:szCs w:val="18"/>
                <w:color w:val="auto"/>
              </w:rPr>
              <w:t>3,160</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1,057</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199.0%</w:t>
            </w:r>
          </w:p>
        </w:tc>
        <w:tc>
          <w:tcPr>
            <w:tcW w:w="0" w:type="dxa"/>
            <w:vAlign w:val="bottom"/>
          </w:tcPr>
          <w:p>
            <w:pPr>
              <w:spacing w:after="0"/>
              <w:rPr>
                <w:sz w:val="1"/>
                <w:szCs w:val="1"/>
                <w:color w:val="auto"/>
              </w:rPr>
            </w:pPr>
          </w:p>
        </w:tc>
      </w:tr>
      <w:tr>
        <w:trPr>
          <w:trHeight w:val="222"/>
        </w:trPr>
        <w:tc>
          <w:tcPr>
            <w:tcW w:w="4000" w:type="dxa"/>
            <w:vAlign w:val="bottom"/>
          </w:tcPr>
          <w:p>
            <w:pPr>
              <w:spacing w:after="0"/>
              <w:rPr>
                <w:sz w:val="20"/>
                <w:szCs w:val="20"/>
                <w:color w:val="auto"/>
              </w:rPr>
            </w:pPr>
            <w:r>
              <w:rPr>
                <w:rFonts w:ascii="Arial" w:cs="Arial" w:eastAsia="Arial" w:hAnsi="Arial"/>
                <w:sz w:val="18"/>
                <w:szCs w:val="18"/>
                <w:color w:val="auto"/>
              </w:rPr>
              <w:t>% of net revenue</w:t>
            </w:r>
          </w:p>
        </w:tc>
        <w:tc>
          <w:tcPr>
            <w:tcW w:w="19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tcPr>
          <w:p>
            <w:pPr>
              <w:jc w:val="right"/>
              <w:ind w:right="126"/>
              <w:spacing w:after="0"/>
              <w:rPr>
                <w:sz w:val="20"/>
                <w:szCs w:val="20"/>
                <w:color w:val="auto"/>
              </w:rPr>
            </w:pPr>
            <w:r>
              <w:rPr>
                <w:rFonts w:ascii="Arial" w:cs="Arial" w:eastAsia="Arial" w:hAnsi="Arial"/>
                <w:sz w:val="18"/>
                <w:szCs w:val="18"/>
                <w:color w:val="auto"/>
              </w:rPr>
              <w:t>0.4%</w:t>
            </w:r>
          </w:p>
        </w:tc>
        <w:tc>
          <w:tcPr>
            <w:tcW w:w="340" w:type="dxa"/>
            <w:vAlign w:val="bottom"/>
          </w:tcPr>
          <w:p>
            <w:pPr>
              <w:spacing w:after="0"/>
              <w:rPr>
                <w:sz w:val="19"/>
                <w:szCs w:val="19"/>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0.1%</w:t>
            </w: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Interest and other income, net, increased for the three months ended May 4, 2013 compared to the three months ended April 28, 2012 primarily due to the effect of the strengthening of the U.S. dollar on our foreign currency denominated tax liabilities. This was partially offset by a $1.0 million write down to fair value of an equity investment and lower interest income in the three months ended May 4, 2013 from lower average cash and investment balances.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6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920" w:type="dxa"/>
            <w:vAlign w:val="bottom"/>
            <w:gridSpan w:val="4"/>
          </w:tcPr>
          <w:p>
            <w:pPr>
              <w:jc w:val="right"/>
              <w:ind w:right="118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vMerge w:val="restart"/>
          </w:tcPr>
          <w:p>
            <w:pPr>
              <w:jc w:val="right"/>
              <w:ind w:right="22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1240" w:type="dxa"/>
            <w:vAlign w:val="bottom"/>
            <w:tcBorders>
              <w:top w:val="single" w:sz="8" w:color="auto"/>
            </w:tcBorders>
          </w:tcPr>
          <w:p>
            <w:pPr>
              <w:jc w:val="right"/>
              <w:ind w:right="586"/>
              <w:spacing w:after="0" w:line="129" w:lineRule="exact"/>
              <w:rPr>
                <w:sz w:val="20"/>
                <w:szCs w:val="20"/>
                <w:color w:val="auto"/>
              </w:rPr>
            </w:pPr>
            <w:r>
              <w:rPr>
                <w:rFonts w:ascii="Arial" w:cs="Arial" w:eastAsia="Arial" w:hAnsi="Arial"/>
                <w:sz w:val="14"/>
                <w:szCs w:val="14"/>
                <w:b w:val="1"/>
                <w:bCs w:val="1"/>
                <w:color w:val="auto"/>
              </w:rPr>
              <w:t>May 4,</w:t>
            </w:r>
          </w:p>
        </w:tc>
        <w:tc>
          <w:tcPr>
            <w:tcW w:w="3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w w:val="94"/>
              </w:rPr>
              <w:t>April 28,</w:t>
            </w:r>
          </w:p>
        </w:tc>
        <w:tc>
          <w:tcPr>
            <w:tcW w:w="640" w:type="dxa"/>
            <w:vAlign w:val="bottom"/>
          </w:tcPr>
          <w:p>
            <w:pPr>
              <w:spacing w:after="0"/>
              <w:rPr>
                <w:sz w:val="11"/>
                <w:szCs w:val="11"/>
                <w:color w:val="auto"/>
              </w:rPr>
            </w:pPr>
          </w:p>
        </w:tc>
        <w:tc>
          <w:tcPr>
            <w:tcW w:w="7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Pr>
          <w:p>
            <w:pPr>
              <w:spacing w:after="0"/>
              <w:rPr>
                <w:sz w:val="14"/>
                <w:szCs w:val="14"/>
                <w:color w:val="auto"/>
              </w:rPr>
            </w:pPr>
          </w:p>
        </w:tc>
        <w:tc>
          <w:tcPr>
            <w:tcW w:w="1240" w:type="dxa"/>
            <w:vAlign w:val="bottom"/>
          </w:tcPr>
          <w:p>
            <w:pPr>
              <w:jc w:val="right"/>
              <w:ind w:right="646"/>
              <w:spacing w:after="0"/>
              <w:rPr>
                <w:sz w:val="20"/>
                <w:szCs w:val="20"/>
                <w:color w:val="auto"/>
              </w:rPr>
            </w:pPr>
            <w:r>
              <w:rPr>
                <w:rFonts w:ascii="Arial" w:cs="Arial" w:eastAsia="Arial" w:hAnsi="Arial"/>
                <w:sz w:val="14"/>
                <w:szCs w:val="14"/>
                <w:b w:val="1"/>
                <w:bCs w:val="1"/>
                <w:color w:val="auto"/>
              </w:rPr>
              <w:t>2013</w:t>
            </w:r>
          </w:p>
        </w:tc>
        <w:tc>
          <w:tcPr>
            <w:tcW w:w="360" w:type="dxa"/>
            <w:vAlign w:val="bottom"/>
          </w:tcPr>
          <w:p>
            <w:pPr>
              <w:spacing w:after="0"/>
              <w:rPr>
                <w:sz w:val="14"/>
                <w:szCs w:val="14"/>
                <w:color w:val="auto"/>
              </w:rPr>
            </w:pPr>
          </w:p>
        </w:tc>
        <w:tc>
          <w:tcPr>
            <w:tcW w:w="68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spacing w:after="0"/>
              <w:rPr>
                <w:sz w:val="14"/>
                <w:szCs w:val="14"/>
                <w:color w:val="auto"/>
              </w:rPr>
            </w:pPr>
          </w:p>
        </w:tc>
        <w:tc>
          <w:tcPr>
            <w:tcW w:w="100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2920" w:type="dxa"/>
            <w:vAlign w:val="bottom"/>
            <w:tcBorders>
              <w:top w:val="single" w:sz="8" w:color="auto"/>
            </w:tcBorders>
            <w:gridSpan w:val="4"/>
          </w:tcPr>
          <w:p>
            <w:pPr>
              <w:jc w:val="right"/>
              <w:ind w:right="1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7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40" w:type="dxa"/>
            <w:vAlign w:val="bottom"/>
            <w:shd w:val="clear" w:color="auto" w:fill="CCEEFF"/>
          </w:tcPr>
          <w:p>
            <w:pPr>
              <w:jc w:val="right"/>
              <w:ind w:right="326"/>
              <w:spacing w:after="0"/>
              <w:rPr>
                <w:sz w:val="20"/>
                <w:szCs w:val="20"/>
                <w:color w:val="auto"/>
              </w:rPr>
            </w:pPr>
            <w:r>
              <w:rPr>
                <w:rFonts w:ascii="Arial" w:cs="Arial" w:eastAsia="Arial" w:hAnsi="Arial"/>
                <w:sz w:val="18"/>
                <w:szCs w:val="18"/>
                <w:color w:val="auto"/>
                <w:w w:val="99"/>
              </w:rPr>
              <w:t>$   (7,168)</w:t>
            </w: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447</w:t>
            </w:r>
          </w:p>
        </w:tc>
        <w:tc>
          <w:tcPr>
            <w:tcW w:w="10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3"/>
              </w:rPr>
              <w:t>(1,703.6)%</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1240" w:type="dxa"/>
            <w:vAlign w:val="bottom"/>
          </w:tcPr>
          <w:p>
            <w:pPr>
              <w:jc w:val="right"/>
              <w:ind w:right="166"/>
              <w:spacing w:after="0"/>
              <w:rPr>
                <w:sz w:val="20"/>
                <w:szCs w:val="20"/>
                <w:color w:val="auto"/>
              </w:rPr>
            </w:pPr>
            <w:r>
              <w:rPr>
                <w:rFonts w:ascii="Arial" w:cs="Arial" w:eastAsia="Arial" w:hAnsi="Arial"/>
                <w:sz w:val="18"/>
                <w:szCs w:val="18"/>
                <w:color w:val="auto"/>
              </w:rPr>
              <w:t>(1.0)%</w:t>
            </w:r>
          </w:p>
        </w:tc>
        <w:tc>
          <w:tcPr>
            <w:tcW w:w="360" w:type="dxa"/>
            <w:vAlign w:val="bottom"/>
          </w:tcPr>
          <w:p>
            <w:pPr>
              <w:spacing w:after="0"/>
              <w:rPr>
                <w:sz w:val="19"/>
                <w:szCs w:val="19"/>
                <w:color w:val="auto"/>
              </w:rPr>
            </w:pPr>
          </w:p>
        </w:tc>
        <w:tc>
          <w:tcPr>
            <w:tcW w:w="1320" w:type="dxa"/>
            <w:vAlign w:val="bottom"/>
            <w:gridSpan w:val="2"/>
          </w:tcPr>
          <w:p>
            <w:pPr>
              <w:jc w:val="right"/>
              <w:ind w:right="500"/>
              <w:spacing w:after="0"/>
              <w:rPr>
                <w:sz w:val="20"/>
                <w:szCs w:val="20"/>
                <w:color w:val="auto"/>
              </w:rPr>
            </w:pPr>
            <w:r>
              <w:rPr>
                <w:rFonts w:ascii="Arial" w:cs="Arial" w:eastAsia="Arial" w:hAnsi="Arial"/>
                <w:sz w:val="18"/>
                <w:szCs w:val="18"/>
                <w:color w:val="auto"/>
              </w:rPr>
              <w:t>0.0%</w:t>
            </w:r>
          </w:p>
        </w:tc>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had an income tax benefit for the three months ended May 4, 2013 that included the current income tax liability of $1.8 million and $0.7 million in settlements of audits in non-U.S. jurisdictions which was more than offset by net reductions in unrecognized tax benefits of $9.7 million in the three months ended May 4, 2013. The net reduction in unrecognized tax benefits primarily arose from the expiration of the statute of limitations and from the settlement of two audits in non-U.S. jurisdictions (one for $3.5 million and the other for $4.1 million) less an increase in current unrecognized tax benefit estimates.</w:t>
      </w:r>
    </w:p>
    <w:p>
      <w:pPr>
        <w:spacing w:after="0" w:line="113"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The income tax provision for the three months ended April 28, 2012 included the current income tax liability of $2.7 million, which was partially offset by a net reduction in unrecognized tax benefits of $2.6 million for the three months ended April 28, 2012 primarily due to the expiration of the statute of limitations in non-U.S. jurisdictions less an increase in current unrecognized tax benefit estimates.</w:t>
      </w:r>
    </w:p>
    <w:p>
      <w:pPr>
        <w:spacing w:after="0" w:line="14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significantly due to a potential settlement with tax authorities and/or the expiration of applicable statutes of limitations. However, the amount cannot be reasonably estimated as we could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principal source of liquidity as of May 4, 2013 consisted of approximately $1.7 billion of cash, cash equivalents and short-term investments.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80"/>
          </w:cols>
          <w:pgMar w:left="240" w:top="45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Net cash provided by operating activities was $83.9 million for the three months ended May 4, 2013. The cash inflows from operations for the three months ended May 4, 2013 were due to $124.9 million of net income adjusted for non-cash items, partially offset by working capital changes of $41.0 million. The increase in working capital for the three months ended May 4, 2013 was primarily driven by an increase in accounts receivable from higher shipments toward the end of the quarter, and higher inventories due to the ramp-up of new products and anticipated demand in the subsequent period. This negative impact on working capital was partially offset by a increase in accounts payable driven by increased manufacturing spending in advance of higher expected revenue in the second quarter of fiscal 2014.</w:t>
      </w:r>
    </w:p>
    <w:p>
      <w:pPr>
        <w:spacing w:after="0" w:line="144"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Net cash provided by operating activities was $198.7 million for the three months ended April 28, 2012. The cash inflows from operations in the three months ended April 28, 2012 were primarily due to $160.2 million of net income adjusted for non-cash items and a positive effect from changes in working capital.</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Investing Activities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Net cash provided by investing activities was $0.4 million for the three months ended May 4, 2013 compared to net cash provided by investing activities of $111.2 million for the three months ended April 28, 2012. For the three months ended May 4, 2013, net cash provided by investing activities was primarily generated from the sales and maturities of available-for-sale securities of $335.8 million less purchases of marketable securities of $306.8 million. In addition, we paid $20.1 million for the purchase of property and equipment and $5.9 million for the purchase of technology licenses.</w:t>
      </w:r>
    </w:p>
    <w:p>
      <w:pPr>
        <w:spacing w:after="0" w:line="11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For the three months ended April 28, 2012, net cash used in investing activities was primarily generated from the sales and maturities of available-for-sale securities of $558.8 million less purchases of available-for-sale securities of $421.7 million. In addition, we paid $18.9 million for the purchase of property and equipment and $5.0 million for a new strategic investment.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Net cash used in financing activities was $241.8 million for the three months ended May 4, 2013 compared to net cash used in financing activities of $214.2 million for the three months ended April 28, 2012. For the three months ended May 4, 2013, net cash used in financing activities was primarily attributable to repurchases under our share repurchase program. Adjusted for repurchases made in the final three days of the quarter that are accrued but not yet paid due to the standard three-day settlement period, we paid $216.7 million to repurchase shares during the three months ended May 4, 2013. We also made a payment of our quarterly dividends of $30.3 million. The cash outflow was partially offset by net proceeds of $10.4 million from the issuance of our common shares under our share-based plans less the minimum tax withholding on behalf of employees for net share settlements.</w:t>
      </w:r>
    </w:p>
    <w:p>
      <w:pPr>
        <w:spacing w:after="0" w:line="12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For the three months ended April 28, 2012, net cash used in financing activities was primarily attributable to repurchases under our share repurchase program of 14.6 million of our common shares in the open market for $223.2 million. The cash outflow was partially offset by net proceeds of $8.9 million from the issuance of common shares under our share-based plans less the minimum tax withholding paid on behalf of employees for net share settlements.</w:t>
      </w:r>
    </w:p>
    <w:p>
      <w:pPr>
        <w:spacing w:after="0" w:line="107"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Subsequent to the end of the quarter through May 30, 2013, we repurchased an additional 2.1 million of our common shares for $23.3 million at an average price per share of $11.11.</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May 4, 2013, we did not have any material off-balance sheet arrangements, as defined in Item 303(a)(4)(ii) of SEC Regulation S-K.</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February 2, 2013 in our Annual Report on Form 10-K for the fiscal year then ended. There has been no material changes outside the ordinary course of business in those obligations during three months ended May 4, 2013.</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0"/>
        <w:spacing w:after="0" w:line="255"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Our interest rate risk relates primarily to our fixed income short-term investment portfolio as we did not have any outstanding debt as of</w:t>
      </w:r>
      <w:r>
        <w:rPr>
          <w:rFonts w:ascii="Arial" w:cs="Arial" w:eastAsia="Arial" w:hAnsi="Arial"/>
          <w:sz w:val="18"/>
          <w:szCs w:val="18"/>
          <w:i w:val="1"/>
          <w:iCs w:val="1"/>
          <w:color w:val="auto"/>
        </w:rPr>
        <w:t xml:space="preserve"> </w:t>
      </w:r>
      <w:r>
        <w:rPr>
          <w:rFonts w:ascii="Arial" w:cs="Arial" w:eastAsia="Arial" w:hAnsi="Arial"/>
          <w:sz w:val="18"/>
          <w:szCs w:val="18"/>
          <w:color w:val="auto"/>
        </w:rPr>
        <w:t>May 4, 2013.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and corporate debt securities. These investments are classified as available-for-sale and, consequently, are recorded on our balance sheets at fair market value with their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0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May 4, 2013, a hypothetical 100 basis point increase in interest rates across all maturities would result in a $15.4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As of May 4, 2013, our investment portfolio included $19.2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May 4, 2013, the fair value of auction rate securities was $2.6 million less than par value and recorded in long-term investments.</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$1.7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 method</w:t>
      </w:r>
      <w:r>
        <w:rPr>
          <w:rFonts w:ascii="Arial" w:cs="Arial" w:eastAsia="Arial" w:hAnsi="Arial"/>
          <w:sz w:val="18"/>
          <w:szCs w:val="18"/>
          <w:i w:val="1"/>
          <w:iCs w:val="1"/>
          <w:color w:val="auto"/>
        </w:rPr>
        <w:t xml:space="preserve"> </w:t>
      </w:r>
      <w:r>
        <w:rPr>
          <w:rFonts w:ascii="Arial" w:cs="Arial" w:eastAsia="Arial" w:hAnsi="Arial"/>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$13.2 million at May 4, 2013,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i w:val="1"/>
          <w:iCs w:val="1"/>
          <w:color w:val="auto"/>
        </w:rPr>
        <w:t xml:space="preserve">Commodity Price Risk. </w:t>
      </w:r>
      <w:r>
        <w:rPr>
          <w:rFonts w:ascii="Arial" w:cs="Arial" w:eastAsia="Arial" w:hAnsi="Arial"/>
          <w:sz w:val="16"/>
          <w:szCs w:val="16"/>
          <w:color w:val="auto"/>
        </w:rPr>
        <w:t>We are subject to risk from fluctuating market prices of certain commodity raw materials, particularly gold, that are incorporated into our</w:t>
      </w:r>
      <w:r>
        <w:rPr>
          <w:rFonts w:ascii="Arial" w:cs="Arial" w:eastAsia="Arial" w:hAnsi="Arial"/>
          <w:sz w:val="16"/>
          <w:szCs w:val="16"/>
          <w:i w:val="1"/>
          <w:iCs w:val="1"/>
          <w:color w:val="auto"/>
        </w:rPr>
        <w:t xml:space="preserve"> </w:t>
      </w:r>
      <w:r>
        <w:rPr>
          <w:rFonts w:ascii="Arial" w:cs="Arial" w:eastAsia="Arial" w:hAnsi="Arial"/>
          <w:sz w:val="16"/>
          <w:szCs w:val="16"/>
          <w:color w:val="auto"/>
        </w:rPr>
        <w:t>end products. Supplies for such commodities may from time-to-time become restricted, or general market factors and conditions may affect the pricing of such commodities. Over the past few years, the price of gold increased significantly and certain of our supply chain partners assessed surcharges to compensate for the rising commodity prices.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20" w:lineRule="exact"/>
        <w:rPr>
          <w:sz w:val="20"/>
          <w:szCs w:val="20"/>
          <w:color w:val="auto"/>
        </w:rPr>
      </w:pPr>
    </w:p>
    <w:p>
      <w:pPr>
        <w:ind w:right="20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3.7%. We expect our hedges of foreign currency exposures to be highly effective and offset a significant portion of the short-term impact of changes in exchange rates.</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Interim Chief Financial Officer, as appropriate, to allow timely decisions regarding required disclosure. Based on this evaluation, our Chief Executive Officer and Interim Chief Financial Officer concluded that, as of May 4, 2013,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4, 2013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February 2, 2013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1480" w:right="20" w:hanging="446"/>
        <w:spacing w:after="0" w:line="268"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1480" w:right="80" w:hanging="446"/>
        <w:spacing w:after="0" w:line="268"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including the impact of changing commodity prices such as the price of gold;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1480" w:right="560" w:hanging="446"/>
        <w:spacing w:after="0" w:line="268"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 as well as the ability of our customers to manage inventory;</w:t>
      </w:r>
    </w:p>
    <w:p>
      <w:pPr>
        <w:spacing w:after="0" w:line="50" w:lineRule="exact"/>
        <w:rPr>
          <w:rFonts w:ascii="Arial" w:cs="Arial" w:eastAsia="Arial" w:hAnsi="Arial"/>
          <w:sz w:val="18"/>
          <w:szCs w:val="18"/>
          <w:color w:val="auto"/>
        </w:rPr>
      </w:pPr>
    </w:p>
    <w:p>
      <w:pPr>
        <w:ind w:left="1480" w:right="360" w:hanging="446"/>
        <w:spacing w:after="0" w:line="268"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May 4, 2013,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our post trial motions or our appeal of the CMU verdict, we could be liable for substantial damages.</w:t>
      </w:r>
    </w:p>
    <w:p>
      <w:pPr>
        <w:spacing w:after="0" w:line="5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On March 6, 2009, Carnegie Mellon University (“CMU”) filed a complaint in the U.S. District Court for the Western District of Pennsylvania naming MSI and us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84" w:lineRule="auto"/>
        <w:rPr>
          <w:sz w:val="20"/>
          <w:szCs w:val="20"/>
          <w:color w:val="auto"/>
        </w:rPr>
      </w:pPr>
      <w:r>
        <w:rPr>
          <w:rFonts w:ascii="Arial" w:cs="Arial" w:eastAsia="Arial" w:hAnsi="Arial"/>
          <w:sz w:val="16"/>
          <w:szCs w:val="16"/>
          <w:color w:val="auto"/>
        </w:rPr>
        <w:t>patents in suit were literally and willfully infringed and valid, and awarded past damages in the amount of $1.17 billion. Due to the finding of willfulness, during post-trial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or ongoing royalties.</w:t>
      </w:r>
    </w:p>
    <w:p>
      <w:pPr>
        <w:spacing w:after="0" w:line="1"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Post trial motions were heard on May 1 and 2, 2013. While we believe that there are strong grounds for appeal and will seek to overturn the verdict in post trial motions before the District Court and, if necessary, to appeal to the U.S. Court of Appeals for the Federal Circuit in Washington, D.C., there is no guarantee that we will be successful. We intend to vigorously challenge the judgment through all appropriate post trial motions and appeal processes. Please see “Note 9 – Commitments and Contingencies” of our Notes to Unaudited Condensed Consolidated Financial Statements set forth in Part I, Item 1 of this Quarterly Report on Form 10-Q for a more detailed description of a number of litigation matters we are currently engaged in. Should the judge grant an injunction or we are required to pay most or all of the damages awarded by the jury after all appeals have been exhausted, this could have a material adverse effect on our business, financial condition, results of operations and cash flows.</w:t>
      </w:r>
    </w:p>
    <w:p>
      <w:pPr>
        <w:spacing w:after="0" w:line="204" w:lineRule="exact"/>
        <w:rPr>
          <w:sz w:val="20"/>
          <w:szCs w:val="20"/>
          <w:color w:val="auto"/>
        </w:rPr>
      </w:pPr>
    </w:p>
    <w:p>
      <w:pPr>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a jury has awarded past damages in the amount of $1.17 billion in our litigation with CMU. In addition, in pre-trial proceedings in our litigation with Lake Cherokee, as described in more detail in Note 9 of the Notes to Unaudited Condensed Consolidated Financial Statements, Lake Cherokee has alleged that it is entitled to damages in the amount of approximately $689 million as a result of the alleged infringement. If we receive a significant adverse judgment in any litigation matter that is ultimately upheld after all appeals, our results of operations, financial position and cash flows will be adversely affected.</w:t>
      </w:r>
    </w:p>
    <w:p>
      <w:pPr>
        <w:spacing w:after="0" w:line="118"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1480" w:right="640" w:hanging="446"/>
        <w:spacing w:after="0" w:line="268" w:lineRule="auto"/>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1480" w:right="140" w:hanging="446"/>
        <w:spacing w:after="0" w:line="268" w:lineRule="auto"/>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1480" w:right="240" w:hanging="446"/>
        <w:spacing w:after="0" w:line="268" w:lineRule="auto"/>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obtain or renew licenses to the relevant intellectual property, which licenses may not be available on reasonable terms or at all; and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194" w:lineRule="exact"/>
        <w:rPr>
          <w:sz w:val="20"/>
          <w:szCs w:val="20"/>
          <w:color w:val="auto"/>
        </w:rPr>
      </w:pPr>
    </w:p>
    <w:p>
      <w:pPr>
        <w:ind w:right="18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receive a significant amount of our revenues from a limited number of customers. Net revenue from our three largest customers represented 48% and 40% of our net revenue for the three months ended May 4, 2013 and April 28, 2012,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60"/>
          </w:cols>
          <w:pgMar w:left="240" w:top="459" w:right="29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62" w:lineRule="exact"/>
        <w:rPr>
          <w:sz w:val="20"/>
          <w:szCs w:val="20"/>
          <w:color w:val="auto"/>
        </w:rPr>
      </w:pPr>
    </w:p>
    <w:p>
      <w:pPr>
        <w:ind w:left="1480" w:right="58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the United States, China and Singapore. In addition, substantially all of our third party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during the second half of fiscal 2009 due to an increase in demand coming out of the downturn.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8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21"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We had approximately $2.0 billion of goodwill and $82.4 million of acquired intangible assets, net on our balance sheet as of May 4, 2013.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adjusted for a control premium and other relevant factors. If our fair value declines to below our carrying value, we could incur significant goodwill impairment charges.</w:t>
      </w:r>
    </w:p>
    <w:p>
      <w:pPr>
        <w:spacing w:after="0" w:line="14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During the year ended February 2, 2013, we experienced a continued decline in our stock price which caused a substantial reduction in the reporting unit’s excess fair value over its net book value. Although we determined the fair value of our company was in excess of our carrying value, and therefore there was no impairment of goodwill as of February 2, 2013, if our stock price declines further and erodes our total market capitalization, we may be required to record an impairment charge in the future that could be material to our operating results.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93% of our net revenue in the three months ended May 4, 2013, 90% of our net revenue in fiscal 2013 and 88% of our net revenue in fiscal 2012.</w:t>
      </w:r>
    </w:p>
    <w:p>
      <w:pPr>
        <w:spacing w:after="0" w:line="11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1480" w:right="60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political unrest, boycotts, curtailment of trade and other business restrictions;</w:t>
      </w:r>
    </w:p>
    <w:p>
      <w:pPr>
        <w:spacing w:after="0" w:line="50" w:lineRule="exact"/>
        <w:rPr>
          <w:rFonts w:ascii="Arial" w:cs="Arial" w:eastAsia="Arial" w:hAnsi="Arial"/>
          <w:sz w:val="18"/>
          <w:szCs w:val="18"/>
          <w:color w:val="auto"/>
        </w:rPr>
      </w:pPr>
    </w:p>
    <w:p>
      <w:pPr>
        <w:ind w:left="1480" w:right="10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400" w:hanging="446"/>
        <w:spacing w:after="0" w:line="268"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Tax benefits that we receive may be terminated or reduced in the future, which would harm our results of operations and profitability.</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obtained an undertaking from the Minister of Finance of Bermuda in fiscal 2013 under the Exempt Undertakings Tax Protection Act 1966, as amended,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The Economic Development Board of Singapore (the “EDB”) initially granted a 10 year Pioneer Status in July 1999 to our subsidiary in Singapore if the Company meets several requirements as to investments, headcount and activities. In June 2006, the EDB agreed to extend the Pioneer status to 15 years to June 2014 rather than 10 years. For the three months ended May 4, 2013, the tax savings associated with this tax holiday is approximately $1.6 million which if earned would impact our earnings per share results by less than $0.01 per share. As a result, we anticipate that a significant portion of the income we earn in Singapore during this period will be exempt from the Singapore income tax. We have begun early discussions with the EDB regarding incentives after June 2014.</w:t>
      </w:r>
    </w:p>
    <w:p>
      <w:pPr>
        <w:spacing w:after="0" w:line="100" w:lineRule="exact"/>
        <w:rPr>
          <w:sz w:val="20"/>
          <w:szCs w:val="20"/>
          <w:color w:val="auto"/>
        </w:rPr>
      </w:pPr>
    </w:p>
    <w:p>
      <w:pPr>
        <w:jc w:val="both"/>
        <w:ind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 For the three months ended May 4, 2013, the tax savings associated with this tax holiday is approximately $0.5 million which if earned would impact our earnings per share results by less than $0.01 per share.</w:t>
      </w:r>
    </w:p>
    <w:p>
      <w:pPr>
        <w:spacing w:after="0" w:line="144"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our subsidiary in Switzerland a 10 year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07" w:lineRule="exact"/>
        <w:rPr>
          <w:sz w:val="20"/>
          <w:szCs w:val="20"/>
          <w:color w:val="auto"/>
        </w:rPr>
      </w:pPr>
    </w:p>
    <w:p>
      <w:pPr>
        <w:jc w:val="center"/>
        <w:ind w:right="200"/>
        <w:spacing w:after="0" w:line="440" w:lineRule="auto"/>
        <w:rPr>
          <w:sz w:val="20"/>
          <w:szCs w:val="20"/>
          <w:color w:val="auto"/>
        </w:rPr>
      </w:pPr>
      <w:r>
        <w:rPr>
          <w:rFonts w:ascii="Arial" w:cs="Arial" w:eastAsia="Arial" w:hAnsi="Arial"/>
          <w:sz w:val="18"/>
          <w:szCs w:val="18"/>
          <w:color w:val="auto"/>
        </w:rPr>
        <w:t>If any of our tax agreements in any of these foreign jurisdictions were terminated, our results of our operations and profitability would be harmed. 39</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30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20"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9 – Commitments and Contingencies” of our Notes to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Future regulations may become more stringent or costly and our compliance costs and potential liabilities could increase, which may harm our business.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or elimination of our dividend payments could have a negative effect on our share price.</w:t>
      </w:r>
    </w:p>
    <w:p>
      <w:pPr>
        <w:spacing w:after="0" w:line="224"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Our management, including our Chief Executive Officer and Interim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99"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21% of our outstanding common shares as of May 4, 2013.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2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1480" w:hanging="446"/>
        <w:spacing w:after="0"/>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1480" w:right="180" w:hanging="446"/>
        <w:spacing w:after="0" w:line="268" w:lineRule="auto"/>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possible need for structural improvements in order to comply with zoning, seismic and other legal or regulatory requirements;</w:t>
      </w:r>
    </w:p>
    <w:p>
      <w:pPr>
        <w:spacing w:after="0" w:line="113" w:lineRule="exact"/>
        <w:rPr>
          <w:rFonts w:ascii="Arial" w:cs="Arial" w:eastAsia="Arial" w:hAnsi="Arial"/>
          <w:sz w:val="16"/>
          <w:szCs w:val="16"/>
          <w:color w:val="auto"/>
        </w:rPr>
      </w:pPr>
    </w:p>
    <w:p>
      <w:pPr>
        <w:ind w:left="1480" w:right="580" w:hanging="446"/>
        <w:spacing w:after="0" w:line="268" w:lineRule="auto"/>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or renovating the facility;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1480" w:hanging="446"/>
        <w:spacing w:after="0"/>
        <w:tabs>
          <w:tab w:leader="none" w:pos="14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1480" w:right="80" w:hanging="446"/>
        <w:spacing w:after="0" w:line="332" w:lineRule="auto"/>
        <w:tabs>
          <w:tab w:leader="none" w:pos="14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6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May 4, 2013.</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May 4, 2013 (in thousands, except per share data):</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7"/>
              </w:rPr>
              <w:t>Total Number of Shares</w:t>
            </w:r>
          </w:p>
        </w:tc>
        <w:tc>
          <w:tcPr>
            <w:tcW w:w="38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w w:val="92"/>
              </w:rPr>
              <w:t>Approximated 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23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8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2380" w:type="dxa"/>
            <w:vAlign w:val="bottom"/>
            <w:vMerge w:val="restart"/>
          </w:tcPr>
          <w:p>
            <w:pPr>
              <w:spacing w:after="0"/>
              <w:rPr>
                <w:sz w:val="12"/>
                <w:szCs w:val="12"/>
                <w:color w:val="auto"/>
              </w:rPr>
            </w:pPr>
          </w:p>
        </w:tc>
        <w:tc>
          <w:tcPr>
            <w:tcW w:w="10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740" w:type="dxa"/>
            <w:vAlign w:val="bottom"/>
          </w:tcPr>
          <w:p>
            <w:pPr>
              <w:spacing w:after="0"/>
              <w:rPr>
                <w:sz w:val="12"/>
                <w:szCs w:val="12"/>
                <w:color w:val="auto"/>
              </w:rPr>
            </w:pPr>
          </w:p>
        </w:tc>
        <w:tc>
          <w:tcPr>
            <w:tcW w:w="16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Average Price</w:t>
            </w:r>
          </w:p>
        </w:tc>
        <w:tc>
          <w:tcPr>
            <w:tcW w:w="2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Announced Plans or</w:t>
            </w:r>
          </w:p>
        </w:tc>
        <w:tc>
          <w:tcPr>
            <w:tcW w:w="38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Purchased Under 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2380" w:type="dxa"/>
            <w:vAlign w:val="bottom"/>
            <w:vMerge w:val="continue"/>
          </w:tcPr>
          <w:p>
            <w:pPr>
              <w:spacing w:after="0"/>
              <w:rPr>
                <w:sz w:val="14"/>
                <w:szCs w:val="14"/>
                <w:color w:val="auto"/>
              </w:rPr>
            </w:pPr>
          </w:p>
        </w:tc>
        <w:tc>
          <w:tcPr>
            <w:tcW w:w="106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740" w:type="dxa"/>
            <w:vAlign w:val="bottom"/>
          </w:tcPr>
          <w:p>
            <w:pPr>
              <w:spacing w:after="0"/>
              <w:rPr>
                <w:sz w:val="14"/>
                <w:szCs w:val="14"/>
                <w:color w:val="auto"/>
              </w:rPr>
            </w:pPr>
          </w:p>
        </w:tc>
        <w:tc>
          <w:tcPr>
            <w:tcW w:w="162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208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5"/>
              </w:rPr>
              <w:t>Programs</w:t>
            </w: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27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February 3 – March 2, 2013</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5,945</w:t>
            </w:r>
          </w:p>
        </w:tc>
        <w:tc>
          <w:tcPr>
            <w:tcW w:w="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9.49</w:t>
            </w:r>
          </w:p>
        </w:tc>
        <w:tc>
          <w:tcPr>
            <w:tcW w:w="76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5,945</w:t>
            </w:r>
          </w:p>
        </w:tc>
        <w:tc>
          <w:tcPr>
            <w:tcW w:w="3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556,128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March 3 – March 30, 2013</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3,111</w:t>
            </w:r>
          </w:p>
        </w:tc>
        <w:tc>
          <w:tcPr>
            <w:tcW w:w="102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10.43</w:t>
            </w:r>
          </w:p>
        </w:tc>
        <w:tc>
          <w:tcPr>
            <w:tcW w:w="760" w:type="dxa"/>
            <w:vAlign w:val="bottom"/>
          </w:tcPr>
          <w:p>
            <w:pPr>
              <w:spacing w:after="0"/>
              <w:rPr>
                <w:sz w:val="18"/>
                <w:szCs w:val="18"/>
                <w:color w:val="auto"/>
              </w:rPr>
            </w:pPr>
          </w:p>
        </w:tc>
        <w:tc>
          <w:tcPr>
            <w:tcW w:w="2080" w:type="dxa"/>
            <w:vAlign w:val="bottom"/>
            <w:gridSpan w:val="2"/>
          </w:tcPr>
          <w:p>
            <w:pPr>
              <w:jc w:val="right"/>
              <w:ind w:right="380"/>
              <w:spacing w:after="0"/>
              <w:rPr>
                <w:sz w:val="20"/>
                <w:szCs w:val="20"/>
                <w:color w:val="auto"/>
              </w:rPr>
            </w:pPr>
            <w:r>
              <w:rPr>
                <w:rFonts w:ascii="Arial" w:cs="Arial" w:eastAsia="Arial" w:hAnsi="Arial"/>
                <w:sz w:val="18"/>
                <w:szCs w:val="18"/>
                <w:color w:val="auto"/>
              </w:rPr>
              <w:t>3,111</w:t>
            </w:r>
          </w:p>
        </w:tc>
        <w:tc>
          <w:tcPr>
            <w:tcW w:w="52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523,679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March 31 – May 4, 2013</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10,797</w:t>
            </w:r>
          </w:p>
        </w:tc>
        <w:tc>
          <w:tcPr>
            <w:tcW w:w="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w:t>
            </w:r>
          </w:p>
        </w:tc>
        <w:tc>
          <w:tcPr>
            <w:tcW w:w="760" w:type="dxa"/>
            <w:vAlign w:val="bottom"/>
            <w:shd w:val="clear" w:color="auto" w:fill="CCEEFF"/>
          </w:tcPr>
          <w:p>
            <w:pPr>
              <w:spacing w:after="0"/>
              <w:rPr>
                <w:sz w:val="18"/>
                <w:szCs w:val="18"/>
                <w:color w:val="auto"/>
              </w:rPr>
            </w:pPr>
          </w:p>
        </w:tc>
        <w:tc>
          <w:tcPr>
            <w:tcW w:w="20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10,797</w:t>
            </w: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412,364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780" w:type="dxa"/>
            <w:vAlign w:val="bottom"/>
            <w:gridSpan w:val="2"/>
            <w:vMerge w:val="restart"/>
          </w:tcPr>
          <w:p>
            <w:pPr>
              <w:spacing w:after="0"/>
              <w:rPr>
                <w:sz w:val="20"/>
                <w:szCs w:val="20"/>
                <w:color w:val="auto"/>
              </w:rPr>
            </w:pPr>
            <w:r>
              <w:rPr>
                <w:rFonts w:ascii="Arial" w:cs="Arial" w:eastAsia="Arial" w:hAnsi="Arial"/>
                <w:sz w:val="18"/>
                <w:szCs w:val="18"/>
                <w:color w:val="auto"/>
              </w:rPr>
              <w:t>Total</w:t>
            </w:r>
          </w:p>
        </w:tc>
        <w:tc>
          <w:tcPr>
            <w:tcW w:w="10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20" w:type="dxa"/>
            <w:vAlign w:val="bottom"/>
            <w:gridSpan w:val="2"/>
            <w:vMerge w:val="restart"/>
          </w:tcPr>
          <w:p>
            <w:pPr>
              <w:ind w:left="740"/>
              <w:spacing w:after="0"/>
              <w:rPr>
                <w:sz w:val="20"/>
                <w:szCs w:val="20"/>
                <w:color w:val="auto"/>
              </w:rPr>
            </w:pPr>
            <w:r>
              <w:rPr>
                <w:rFonts w:ascii="Arial" w:cs="Arial" w:eastAsia="Arial" w:hAnsi="Arial"/>
                <w:sz w:val="18"/>
                <w:szCs w:val="18"/>
                <w:color w:val="auto"/>
              </w:rPr>
              <w:t>$</w:t>
            </w:r>
          </w:p>
        </w:tc>
        <w:tc>
          <w:tcPr>
            <w:tcW w:w="580" w:type="dxa"/>
            <w:vAlign w:val="bottom"/>
            <w:vMerge w:val="restart"/>
          </w:tcPr>
          <w:p>
            <w:pPr>
              <w:jc w:val="right"/>
              <w:spacing w:after="0"/>
              <w:rPr>
                <w:sz w:val="20"/>
                <w:szCs w:val="20"/>
                <w:color w:val="auto"/>
              </w:rPr>
            </w:pPr>
            <w:r>
              <w:rPr>
                <w:rFonts w:ascii="Arial" w:cs="Arial" w:eastAsia="Arial" w:hAnsi="Arial"/>
                <w:sz w:val="18"/>
                <w:szCs w:val="18"/>
                <w:color w:val="auto"/>
              </w:rPr>
              <w:t>10.08</w:t>
            </w:r>
          </w:p>
        </w:tc>
        <w:tc>
          <w:tcPr>
            <w:tcW w:w="76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20" w:type="dxa"/>
            <w:vAlign w:val="bottom"/>
            <w:gridSpan w:val="2"/>
            <w:vMerge w:val="restart"/>
          </w:tcPr>
          <w:p>
            <w:pPr>
              <w:ind w:left="380"/>
              <w:spacing w:after="0"/>
              <w:rPr>
                <w:sz w:val="20"/>
                <w:szCs w:val="20"/>
                <w:color w:val="auto"/>
              </w:rPr>
            </w:pPr>
            <w:r>
              <w:rPr>
                <w:rFonts w:ascii="Arial" w:cs="Arial" w:eastAsia="Arial" w:hAnsi="Arial"/>
                <w:sz w:val="18"/>
                <w:szCs w:val="18"/>
                <w:color w:val="auto"/>
              </w:rPr>
              <w:t>$</w:t>
            </w:r>
          </w:p>
        </w:tc>
        <w:tc>
          <w:tcPr>
            <w:tcW w:w="1600" w:type="dxa"/>
            <w:vAlign w:val="bottom"/>
            <w:vMerge w:val="restart"/>
          </w:tcPr>
          <w:p>
            <w:pPr>
              <w:jc w:val="right"/>
              <w:spacing w:after="0"/>
              <w:rPr>
                <w:sz w:val="20"/>
                <w:szCs w:val="20"/>
                <w:color w:val="auto"/>
              </w:rPr>
            </w:pPr>
            <w:r>
              <w:rPr>
                <w:rFonts w:ascii="Arial" w:cs="Arial" w:eastAsia="Arial" w:hAnsi="Arial"/>
                <w:sz w:val="18"/>
                <w:szCs w:val="18"/>
                <w:color w:val="auto"/>
              </w:rPr>
              <w:t>412,364</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780" w:type="dxa"/>
            <w:vAlign w:val="bottom"/>
            <w:gridSpan w:val="2"/>
            <w:vMerge w:val="continue"/>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19,853</w:t>
            </w:r>
          </w:p>
        </w:tc>
        <w:tc>
          <w:tcPr>
            <w:tcW w:w="20" w:type="dxa"/>
            <w:vAlign w:val="bottom"/>
          </w:tcPr>
          <w:p>
            <w:pPr>
              <w:spacing w:after="0"/>
              <w:rPr>
                <w:sz w:val="19"/>
                <w:szCs w:val="19"/>
                <w:color w:val="auto"/>
              </w:rPr>
            </w:pPr>
          </w:p>
        </w:tc>
        <w:tc>
          <w:tcPr>
            <w:tcW w:w="1020" w:type="dxa"/>
            <w:vAlign w:val="bottom"/>
            <w:gridSpan w:val="2"/>
            <w:vMerge w:val="continue"/>
          </w:tcPr>
          <w:p>
            <w:pPr>
              <w:spacing w:after="0"/>
              <w:rPr>
                <w:sz w:val="19"/>
                <w:szCs w:val="19"/>
                <w:color w:val="auto"/>
              </w:rPr>
            </w:pPr>
          </w:p>
        </w:tc>
        <w:tc>
          <w:tcPr>
            <w:tcW w:w="580" w:type="dxa"/>
            <w:vAlign w:val="bottom"/>
            <w:vMerge w:val="continue"/>
          </w:tcPr>
          <w:p>
            <w:pPr>
              <w:spacing w:after="0"/>
              <w:rPr>
                <w:sz w:val="19"/>
                <w:szCs w:val="19"/>
                <w:color w:val="auto"/>
              </w:rPr>
            </w:pPr>
          </w:p>
        </w:tc>
        <w:tc>
          <w:tcPr>
            <w:tcW w:w="760" w:type="dxa"/>
            <w:vAlign w:val="bottom"/>
          </w:tcPr>
          <w:p>
            <w:pPr>
              <w:spacing w:after="0"/>
              <w:rPr>
                <w:sz w:val="19"/>
                <w:szCs w:val="19"/>
                <w:color w:val="auto"/>
              </w:rPr>
            </w:pPr>
          </w:p>
        </w:tc>
        <w:tc>
          <w:tcPr>
            <w:tcW w:w="2080" w:type="dxa"/>
            <w:vAlign w:val="bottom"/>
            <w:gridSpan w:val="2"/>
          </w:tcPr>
          <w:p>
            <w:pPr>
              <w:jc w:val="right"/>
              <w:ind w:right="380"/>
              <w:spacing w:after="0"/>
              <w:rPr>
                <w:sz w:val="20"/>
                <w:szCs w:val="20"/>
                <w:color w:val="auto"/>
              </w:rPr>
            </w:pPr>
            <w:r>
              <w:rPr>
                <w:rFonts w:ascii="Arial" w:cs="Arial" w:eastAsia="Arial" w:hAnsi="Arial"/>
                <w:sz w:val="18"/>
                <w:szCs w:val="18"/>
                <w:color w:val="auto"/>
              </w:rPr>
              <w:t>19,853</w:t>
            </w:r>
          </w:p>
        </w:tc>
        <w:tc>
          <w:tcPr>
            <w:tcW w:w="520" w:type="dxa"/>
            <w:vAlign w:val="bottom"/>
            <w:gridSpan w:val="2"/>
            <w:vMerge w:val="continue"/>
          </w:tcPr>
          <w:p>
            <w:pPr>
              <w:spacing w:after="0"/>
              <w:rPr>
                <w:sz w:val="19"/>
                <w:szCs w:val="19"/>
                <w:color w:val="auto"/>
              </w:rPr>
            </w:pPr>
          </w:p>
        </w:tc>
        <w:tc>
          <w:tcPr>
            <w:tcW w:w="160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898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336" w:lineRule="exact"/>
        <w:rPr>
          <w:sz w:val="20"/>
          <w:szCs w:val="20"/>
          <w:color w:val="auto"/>
        </w:rPr>
      </w:pPr>
    </w:p>
    <w:p>
      <w:pPr>
        <w:ind w:left="460" w:hanging="452"/>
        <w:spacing w:after="0" w:line="290"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2012, we announced an additional increase of $500 million to the share repurchase program. This increases the total available under the repurchase program to $2.5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repurchase program may be extended, modified, suspended or discontinued at any time. We may make repurchases in open market or privately negotiated transactions in order to effect our repurchases.</w:t>
      </w:r>
    </w:p>
    <w:p>
      <w:pPr>
        <w:spacing w:after="0" w:line="234"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198755</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325" w:lineRule="exact"/>
        <w:rPr>
          <w:sz w:val="20"/>
          <w:szCs w:val="20"/>
          <w:color w:val="auto"/>
        </w:rPr>
      </w:pPr>
    </w:p>
    <w:p>
      <w:pPr>
        <w:jc w:val="both"/>
        <w:ind w:left="460" w:right="340" w:hanging="452"/>
        <w:spacing w:after="0" w:line="306"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40"/>
          </w:cols>
          <w:pgMar w:left="240" w:top="459" w:right="31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00" w:type="dxa"/>
            <w:vAlign w:val="bottom"/>
          </w:tcPr>
          <w:p>
            <w:pPr>
              <w:spacing w:after="0"/>
              <w:rPr>
                <w:sz w:val="19"/>
                <w:szCs w:val="19"/>
                <w:color w:val="auto"/>
              </w:rPr>
            </w:pPr>
          </w:p>
        </w:tc>
        <w:tc>
          <w:tcPr>
            <w:tcW w:w="10520" w:type="dxa"/>
            <w:vAlign w:val="bottom"/>
            <w:gridSpan w:val="2"/>
          </w:tcPr>
          <w:p>
            <w:pPr>
              <w:ind w:left="502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9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4"/>
              </w:rPr>
              <w:t>June 6, 2013</w:t>
            </w:r>
          </w:p>
        </w:tc>
        <w:tc>
          <w:tcPr>
            <w:tcW w:w="10520" w:type="dxa"/>
            <w:vAlign w:val="bottom"/>
            <w:gridSpan w:val="2"/>
          </w:tcPr>
          <w:p>
            <w:pPr>
              <w:ind w:left="5020"/>
              <w:spacing w:after="0"/>
              <w:rPr>
                <w:sz w:val="20"/>
                <w:szCs w:val="20"/>
                <w:color w:val="auto"/>
              </w:rPr>
            </w:pPr>
            <w:r>
              <w:rPr>
                <w:rFonts w:ascii="Arial" w:cs="Arial" w:eastAsia="Arial" w:hAnsi="Arial"/>
                <w:sz w:val="18"/>
                <w:szCs w:val="18"/>
                <w:color w:val="auto"/>
              </w:rPr>
              <w:t>By:  /s/ Brad D. Feller</w:t>
            </w:r>
          </w:p>
        </w:tc>
        <w:tc>
          <w:tcPr>
            <w:tcW w:w="0" w:type="dxa"/>
            <w:vAlign w:val="bottom"/>
          </w:tcPr>
          <w:p>
            <w:pPr>
              <w:spacing w:after="0"/>
              <w:rPr>
                <w:sz w:val="1"/>
                <w:szCs w:val="1"/>
                <w:color w:val="auto"/>
              </w:rPr>
            </w:pPr>
          </w:p>
        </w:tc>
      </w:tr>
      <w:tr>
        <w:trPr>
          <w:trHeight w:val="21"/>
        </w:trPr>
        <w:tc>
          <w:tcPr>
            <w:tcW w:w="900" w:type="dxa"/>
            <w:vAlign w:val="bottom"/>
            <w:vMerge w:val="restart"/>
          </w:tcPr>
          <w:p>
            <w:pPr>
              <w:spacing w:after="0"/>
              <w:rPr>
                <w:sz w:val="20"/>
                <w:szCs w:val="20"/>
                <w:color w:val="auto"/>
              </w:rPr>
            </w:pPr>
            <w:r>
              <w:rPr>
                <w:rFonts w:ascii="Arial" w:cs="Arial" w:eastAsia="Arial" w:hAnsi="Arial"/>
                <w:sz w:val="18"/>
                <w:szCs w:val="18"/>
                <w:color w:val="auto"/>
              </w:rPr>
              <w:t>Date</w:t>
            </w:r>
          </w:p>
        </w:tc>
        <w:tc>
          <w:tcPr>
            <w:tcW w:w="5280" w:type="dxa"/>
            <w:vAlign w:val="bottom"/>
          </w:tcPr>
          <w:p>
            <w:pPr>
              <w:spacing w:after="0" w:line="20" w:lineRule="exact"/>
              <w:rPr>
                <w:sz w:val="1"/>
                <w:szCs w:val="1"/>
                <w:color w:val="auto"/>
              </w:rPr>
            </w:pPr>
          </w:p>
        </w:tc>
        <w:tc>
          <w:tcPr>
            <w:tcW w:w="5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01"/>
        </w:trPr>
        <w:tc>
          <w:tcPr>
            <w:tcW w:w="900" w:type="dxa"/>
            <w:vAlign w:val="bottom"/>
            <w:vMerge w:val="continue"/>
          </w:tcPr>
          <w:p>
            <w:pPr>
              <w:spacing w:after="0"/>
              <w:rPr>
                <w:sz w:val="17"/>
                <w:szCs w:val="17"/>
                <w:color w:val="auto"/>
              </w:rPr>
            </w:pPr>
          </w:p>
        </w:tc>
        <w:tc>
          <w:tcPr>
            <w:tcW w:w="5280" w:type="dxa"/>
            <w:vAlign w:val="bottom"/>
          </w:tcPr>
          <w:p>
            <w:pPr>
              <w:spacing w:after="0"/>
              <w:rPr>
                <w:sz w:val="17"/>
                <w:szCs w:val="17"/>
                <w:color w:val="auto"/>
              </w:rPr>
            </w:pPr>
          </w:p>
        </w:tc>
        <w:tc>
          <w:tcPr>
            <w:tcW w:w="5240" w:type="dxa"/>
            <w:vAlign w:val="bottom"/>
          </w:tcPr>
          <w:p>
            <w:pPr>
              <w:ind w:left="100"/>
              <w:spacing w:after="0" w:line="201" w:lineRule="exact"/>
              <w:rPr>
                <w:sz w:val="20"/>
                <w:szCs w:val="20"/>
                <w:color w:val="auto"/>
              </w:rPr>
            </w:pPr>
            <w:r>
              <w:rPr>
                <w:rFonts w:ascii="Arial" w:cs="Arial" w:eastAsia="Arial" w:hAnsi="Arial"/>
                <w:sz w:val="18"/>
                <w:szCs w:val="18"/>
                <w:b w:val="1"/>
                <w:bCs w:val="1"/>
                <w:color w:val="auto"/>
              </w:rPr>
              <w:t>Brad D. Feller</w:t>
            </w:r>
          </w:p>
        </w:tc>
        <w:tc>
          <w:tcPr>
            <w:tcW w:w="0" w:type="dxa"/>
            <w:vAlign w:val="bottom"/>
          </w:tcPr>
          <w:p>
            <w:pPr>
              <w:spacing w:after="0"/>
              <w:rPr>
                <w:sz w:val="1"/>
                <w:szCs w:val="1"/>
                <w:color w:val="auto"/>
              </w:rPr>
            </w:pPr>
          </w:p>
        </w:tc>
      </w:tr>
      <w:tr>
        <w:trPr>
          <w:trHeight w:val="210"/>
        </w:trPr>
        <w:tc>
          <w:tcPr>
            <w:tcW w:w="900" w:type="dxa"/>
            <w:vAlign w:val="bottom"/>
          </w:tcPr>
          <w:p>
            <w:pPr>
              <w:spacing w:after="0"/>
              <w:rPr>
                <w:sz w:val="18"/>
                <w:szCs w:val="18"/>
                <w:color w:val="auto"/>
              </w:rPr>
            </w:pPr>
          </w:p>
        </w:tc>
        <w:tc>
          <w:tcPr>
            <w:tcW w:w="5280" w:type="dxa"/>
            <w:vAlign w:val="bottom"/>
          </w:tcPr>
          <w:p>
            <w:pPr>
              <w:spacing w:after="0"/>
              <w:rPr>
                <w:sz w:val="18"/>
                <w:szCs w:val="18"/>
                <w:color w:val="auto"/>
              </w:rPr>
            </w:pPr>
          </w:p>
        </w:tc>
        <w:tc>
          <w:tcPr>
            <w:tcW w:w="5240" w:type="dxa"/>
            <w:vAlign w:val="bottom"/>
          </w:tcPr>
          <w:p>
            <w:pPr>
              <w:ind w:left="100"/>
              <w:spacing w:after="0"/>
              <w:rPr>
                <w:sz w:val="20"/>
                <w:szCs w:val="20"/>
                <w:color w:val="auto"/>
              </w:rPr>
            </w:pPr>
            <w:r>
              <w:rPr>
                <w:rFonts w:ascii="Arial" w:cs="Arial" w:eastAsia="Arial" w:hAnsi="Arial"/>
                <w:sz w:val="18"/>
                <w:szCs w:val="18"/>
                <w:b w:val="1"/>
                <w:bCs w:val="1"/>
                <w:i w:val="1"/>
                <w:iCs w:val="1"/>
                <w:color w:val="auto"/>
              </w:rPr>
              <w:t>Interim Chief Financial Officer</w:t>
            </w:r>
          </w:p>
        </w:tc>
        <w:tc>
          <w:tcPr>
            <w:tcW w:w="0" w:type="dxa"/>
            <w:vAlign w:val="bottom"/>
          </w:tcPr>
          <w:p>
            <w:pPr>
              <w:spacing w:after="0"/>
              <w:rPr>
                <w:sz w:val="1"/>
                <w:szCs w:val="1"/>
                <w:color w:val="auto"/>
              </w:rPr>
            </w:pPr>
          </w:p>
        </w:tc>
      </w:tr>
      <w:tr>
        <w:trPr>
          <w:trHeight w:val="228"/>
        </w:trPr>
        <w:tc>
          <w:tcPr>
            <w:tcW w:w="900" w:type="dxa"/>
            <w:vAlign w:val="bottom"/>
          </w:tcPr>
          <w:p>
            <w:pPr>
              <w:spacing w:after="0"/>
              <w:rPr>
                <w:sz w:val="19"/>
                <w:szCs w:val="19"/>
                <w:color w:val="auto"/>
              </w:rPr>
            </w:pPr>
          </w:p>
        </w:tc>
        <w:tc>
          <w:tcPr>
            <w:tcW w:w="5280" w:type="dxa"/>
            <w:vAlign w:val="bottom"/>
          </w:tcPr>
          <w:p>
            <w:pPr>
              <w:spacing w:after="0"/>
              <w:rPr>
                <w:sz w:val="19"/>
                <w:szCs w:val="19"/>
                <w:color w:val="auto"/>
              </w:rPr>
            </w:pPr>
          </w:p>
        </w:tc>
        <w:tc>
          <w:tcPr>
            <w:tcW w:w="5240" w:type="dxa"/>
            <w:vAlign w:val="bottom"/>
          </w:tcPr>
          <w:p>
            <w:pPr>
              <w:ind w:left="100"/>
              <w:spacing w:after="0"/>
              <w:rPr>
                <w:sz w:val="20"/>
                <w:szCs w:val="20"/>
                <w:color w:val="auto"/>
              </w:rPr>
            </w:pPr>
            <w:r>
              <w:rPr>
                <w:rFonts w:ascii="Arial" w:cs="Arial" w:eastAsia="Arial" w:hAnsi="Arial"/>
                <w:sz w:val="18"/>
                <w:szCs w:val="18"/>
                <w:b w:val="1"/>
                <w:bCs w:val="1"/>
                <w:color w:val="auto"/>
              </w:rPr>
              <w:t>(Principal Financial and Accounting Officer)</w:t>
            </w:r>
          </w:p>
        </w:tc>
        <w:tc>
          <w:tcPr>
            <w:tcW w:w="0" w:type="dxa"/>
            <w:vAlign w:val="bottom"/>
          </w:tcPr>
          <w:p>
            <w:pPr>
              <w:spacing w:after="0"/>
              <w:rPr>
                <w:sz w:val="1"/>
                <w:szCs w:val="1"/>
                <w:color w:val="auto"/>
              </w:rPr>
            </w:pPr>
          </w:p>
        </w:tc>
      </w:tr>
      <w:tr>
        <w:trPr>
          <w:trHeight w:val="378"/>
        </w:trPr>
        <w:tc>
          <w:tcPr>
            <w:tcW w:w="900" w:type="dxa"/>
            <w:vAlign w:val="bottom"/>
          </w:tcPr>
          <w:p>
            <w:pPr>
              <w:spacing w:after="0"/>
              <w:rPr>
                <w:sz w:val="24"/>
                <w:szCs w:val="24"/>
                <w:color w:val="auto"/>
              </w:rPr>
            </w:pPr>
          </w:p>
        </w:tc>
        <w:tc>
          <w:tcPr>
            <w:tcW w:w="5280" w:type="dxa"/>
            <w:vAlign w:val="bottom"/>
          </w:tcPr>
          <w:p>
            <w:pPr>
              <w:jc w:val="right"/>
              <w:ind w:right="292"/>
              <w:spacing w:after="0"/>
              <w:rPr>
                <w:sz w:val="20"/>
                <w:szCs w:val="20"/>
                <w:color w:val="auto"/>
              </w:rPr>
            </w:pPr>
            <w:r>
              <w:rPr>
                <w:rFonts w:ascii="Arial" w:cs="Arial" w:eastAsia="Arial" w:hAnsi="Arial"/>
                <w:sz w:val="18"/>
                <w:szCs w:val="18"/>
                <w:color w:val="auto"/>
              </w:rPr>
              <w:t>45</w:t>
            </w:r>
          </w:p>
        </w:tc>
        <w:tc>
          <w:tcPr>
            <w:tcW w:w="5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198755</wp:posOffset>
            </wp:positionV>
            <wp:extent cx="7289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325" w:lineRule="exact"/>
        <w:rPr>
          <w:sz w:val="20"/>
          <w:szCs w:val="20"/>
          <w:color w:val="auto"/>
        </w:rPr>
      </w:pPr>
    </w:p>
    <w:p>
      <w:pPr>
        <w:jc w:val="both"/>
        <w:ind w:left="460" w:hanging="452"/>
        <w:spacing w:after="0" w:line="306"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00"/>
          </w:cols>
          <w:pgMar w:left="240" w:top="459" w:right="65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June 6, 2013</w:t>
      </w:r>
      <w:r>
        <w:rPr>
          <w:sz w:val="20"/>
          <w:szCs w:val="20"/>
          <w:color w:val="auto"/>
        </w:rPr>
        <w:tab/>
      </w:r>
      <w:r>
        <w:rPr>
          <w:rFonts w:ascii="Arial" w:cs="Arial" w:eastAsia="Arial" w:hAnsi="Arial"/>
          <w:sz w:val="16"/>
          <w:szCs w:val="16"/>
          <w:color w:val="auto"/>
        </w:rPr>
        <w:t>By: /s/ Sehat Sutardja</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48" w:name="page49"/>
    <w:bookmarkEnd w:id="48"/>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Brad D. Feller, certify that:</w:t>
      </w:r>
    </w:p>
    <w:p>
      <w:pPr>
        <w:spacing w:after="0" w:line="90"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June 6, 2013</w:t>
      </w:r>
      <w:r>
        <w:rPr>
          <w:sz w:val="20"/>
          <w:szCs w:val="20"/>
          <w:color w:val="auto"/>
        </w:rPr>
        <w:tab/>
      </w:r>
      <w:r>
        <w:rPr>
          <w:rFonts w:ascii="Arial" w:cs="Arial" w:eastAsia="Arial" w:hAnsi="Arial"/>
          <w:sz w:val="16"/>
          <w:szCs w:val="16"/>
          <w:color w:val="auto"/>
        </w:rPr>
        <w:t>By:  /s/ Brad D. Feller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5" w:right="239" w:bottom="1440" w:gutter="0" w:footer="0" w:header="0"/>
        </w:sectPr>
      </w:pPr>
    </w:p>
    <w:bookmarkStart w:id="49" w:name="page50"/>
    <w:bookmarkEnd w:id="49"/>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60" w:hanging="446"/>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4,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June 6, 2013</w:t>
      </w:r>
      <w:r>
        <w:rPr>
          <w:sz w:val="20"/>
          <w:szCs w:val="20"/>
          <w:color w:val="auto"/>
        </w:rPr>
        <w:tab/>
      </w:r>
      <w:r>
        <w:rPr>
          <w:rFonts w:ascii="Arial" w:cs="Arial" w:eastAsia="Arial" w:hAnsi="Arial"/>
          <w:sz w:val="16"/>
          <w:szCs w:val="16"/>
          <w:color w:val="auto"/>
        </w:rPr>
        <w:t>By:  /s/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50" w:name="page51"/>
    <w:bookmarkEnd w:id="50"/>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I, Brad D. Feller, the Interim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4,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June 6, 2013</w:t>
      </w:r>
      <w:r>
        <w:rPr>
          <w:sz w:val="20"/>
          <w:szCs w:val="20"/>
          <w:color w:val="auto"/>
        </w:rPr>
        <w:tab/>
      </w:r>
      <w:r>
        <w:rPr>
          <w:rFonts w:ascii="Arial" w:cs="Arial" w:eastAsia="Arial" w:hAnsi="Arial"/>
          <w:sz w:val="16"/>
          <w:szCs w:val="16"/>
          <w:color w:val="auto"/>
        </w:rPr>
        <w:t>By:  /s/ B</w:t>
      </w:r>
      <w:r>
        <w:rPr>
          <w:rFonts w:ascii="Arial" w:cs="Arial" w:eastAsia="Arial" w:hAnsi="Arial"/>
          <w:sz w:val="13"/>
          <w:szCs w:val="13"/>
          <w:color w:val="auto"/>
        </w:rPr>
        <w:t>RAD</w:t>
      </w:r>
      <w:r>
        <w:rPr>
          <w:rFonts w:ascii="Arial" w:cs="Arial" w:eastAsia="Arial" w:hAnsi="Arial"/>
          <w:sz w:val="16"/>
          <w:szCs w:val="16"/>
          <w:color w:val="auto"/>
        </w:rPr>
        <w:t xml:space="preserve"> D. F</w:t>
      </w:r>
      <w:r>
        <w:rPr>
          <w:rFonts w:ascii="Arial" w:cs="Arial" w:eastAsia="Arial" w:hAnsi="Arial"/>
          <w:sz w:val="13"/>
          <w:szCs w:val="13"/>
          <w:color w:val="auto"/>
        </w:rPr>
        <w:t>ELLER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1)"/>
      <w:numFmt w:val="decimal"/>
      <w:start w:val="1"/>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2019-12-06T20:10:12Z</dcterms:created>
  <dcterms:modified xsi:type="dcterms:W3CDTF">2019-12-06T20:10:12Z</dcterms:modified>
</cp:coreProperties>
</file>