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6"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65430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6543040"/>
                    </a:xfrm>
                    <a:prstGeom prst="rect">
                      <a:avLst/>
                    </a:prstGeom>
                    <a:noFill/>
                  </pic:spPr>
                </pic:pic>
              </a:graphicData>
            </a:graphic>
          </wp:anchor>
        </w:drawing>
      </w:r>
    </w:p>
    <w:p>
      <w:pPr>
        <w:sectPr>
          <w:pgSz w:w="11900" w:h="16915" w:orient="portrait"/>
          <w:cols w:equalWidth="0" w:num="1">
            <w:col w:w="11420"/>
          </w:cols>
          <w:pgMar w:left="240" w:top="226" w:right="239" w:bottom="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EINHORN DAVID</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700" w:type="dxa"/>
            <w:vAlign w:val="bottom"/>
            <w:tcBorders>
              <w:top w:val="single" w:sz="8" w:color="0000EE"/>
              <w:bottom w:val="single" w:sz="8" w:color="9A9A9A"/>
            </w:tcBorders>
          </w:tcPr>
          <w:p>
            <w:pPr>
              <w:spacing w:after="0"/>
              <w:rPr>
                <w:sz w:val="15"/>
                <w:szCs w:val="15"/>
                <w:color w:val="auto"/>
              </w:rPr>
            </w:pPr>
          </w:p>
        </w:tc>
        <w:tc>
          <w:tcPr>
            <w:tcW w:w="152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03/29/2013</w:t>
            </w:r>
          </w:p>
        </w:tc>
        <w:tc>
          <w:tcPr>
            <w:tcW w:w="0" w:type="dxa"/>
            <w:vAlign w:val="bottom"/>
          </w:tcPr>
          <w:p>
            <w:pPr>
              <w:spacing w:after="0"/>
              <w:rPr>
                <w:sz w:val="1"/>
                <w:szCs w:val="1"/>
                <w:color w:val="auto"/>
              </w:rPr>
            </w:pPr>
          </w:p>
        </w:tc>
      </w:tr>
    </w:tbl>
    <w:p>
      <w:pPr>
        <w:spacing w:after="0" w:line="14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1040" w:type="dxa"/>
            <w:vAlign w:val="bottom"/>
          </w:tcPr>
          <w:p>
            <w:pPr>
              <w:ind w:left="20"/>
              <w:spacing w:after="0"/>
              <w:rPr>
                <w:sz w:val="20"/>
                <w:szCs w:val="20"/>
                <w:color w:val="auto"/>
              </w:rPr>
            </w:pPr>
            <w:r>
              <w:rPr>
                <w:rFonts w:ascii="Arial" w:cs="Arial" w:eastAsia="Arial" w:hAnsi="Arial"/>
                <w:sz w:val="14"/>
                <w:szCs w:val="14"/>
                <w:color w:val="auto"/>
              </w:rPr>
              <w:t>(Last)</w:t>
            </w:r>
          </w:p>
        </w:tc>
        <w:tc>
          <w:tcPr>
            <w:tcW w:w="1020" w:type="dxa"/>
            <w:vAlign w:val="bottom"/>
          </w:tcPr>
          <w:p>
            <w:pPr>
              <w:ind w:left="80"/>
              <w:spacing w:after="0"/>
              <w:rPr>
                <w:sz w:val="20"/>
                <w:szCs w:val="20"/>
                <w:color w:val="auto"/>
              </w:rPr>
            </w:pPr>
            <w:r>
              <w:rPr>
                <w:rFonts w:ascii="Arial" w:cs="Arial" w:eastAsia="Arial" w:hAnsi="Arial"/>
                <w:sz w:val="14"/>
                <w:szCs w:val="14"/>
                <w:color w:val="auto"/>
              </w:rPr>
              <w:t>(First)</w:t>
            </w:r>
          </w:p>
        </w:tc>
        <w:tc>
          <w:tcPr>
            <w:tcW w:w="1180" w:type="dxa"/>
            <w:vAlign w:val="bottom"/>
          </w:tcPr>
          <w:p>
            <w:pPr>
              <w:ind w:left="140"/>
              <w:spacing w:after="0"/>
              <w:rPr>
                <w:sz w:val="20"/>
                <w:szCs w:val="20"/>
                <w:color w:val="auto"/>
              </w:rPr>
            </w:pPr>
            <w:r>
              <w:rPr>
                <w:rFonts w:ascii="Arial" w:cs="Arial" w:eastAsia="Arial" w:hAnsi="Arial"/>
                <w:sz w:val="14"/>
                <w:szCs w:val="14"/>
                <w:color w:val="auto"/>
              </w:rPr>
              <w:t>(Middle)</w:t>
            </w:r>
          </w:p>
        </w:tc>
      </w:tr>
      <w:tr>
        <w:trPr>
          <w:trHeight w:val="282"/>
        </w:trPr>
        <w:tc>
          <w:tcPr>
            <w:tcW w:w="20" w:type="dxa"/>
            <w:vAlign w:val="bottom"/>
          </w:tcPr>
          <w:p>
            <w:pPr>
              <w:spacing w:after="0"/>
              <w:rPr>
                <w:sz w:val="24"/>
                <w:szCs w:val="24"/>
                <w:color w:val="auto"/>
              </w:rPr>
            </w:pPr>
          </w:p>
        </w:tc>
        <w:tc>
          <w:tcPr>
            <w:tcW w:w="2060" w:type="dxa"/>
            <w:vAlign w:val="bottom"/>
            <w:gridSpan w:val="2"/>
          </w:tcPr>
          <w:p>
            <w:pPr>
              <w:ind w:left="20"/>
              <w:spacing w:after="0"/>
              <w:rPr>
                <w:sz w:val="20"/>
                <w:szCs w:val="20"/>
                <w:color w:val="auto"/>
              </w:rPr>
            </w:pPr>
            <w:r>
              <w:rPr>
                <w:rFonts w:ascii="Arial" w:cs="Arial" w:eastAsia="Arial" w:hAnsi="Arial"/>
                <w:sz w:val="18"/>
                <w:szCs w:val="18"/>
                <w:color w:val="0000FF"/>
                <w:w w:val="97"/>
              </w:rPr>
              <w:t>140 EAST 45TH STREET</w:t>
            </w:r>
          </w:p>
        </w:tc>
        <w:tc>
          <w:tcPr>
            <w:tcW w:w="1180" w:type="dxa"/>
            <w:vAlign w:val="bottom"/>
          </w:tcPr>
          <w:p>
            <w:pPr>
              <w:spacing w:after="0"/>
              <w:rPr>
                <w:sz w:val="24"/>
                <w:szCs w:val="24"/>
                <w:color w:val="auto"/>
              </w:rPr>
            </w:pPr>
          </w:p>
        </w:tc>
      </w:tr>
      <w:tr>
        <w:trPr>
          <w:trHeight w:val="270"/>
        </w:trPr>
        <w:tc>
          <w:tcPr>
            <w:tcW w:w="20" w:type="dxa"/>
            <w:vAlign w:val="bottom"/>
          </w:tcPr>
          <w:p>
            <w:pPr>
              <w:spacing w:after="0"/>
              <w:rPr>
                <w:sz w:val="23"/>
                <w:szCs w:val="23"/>
                <w:color w:val="auto"/>
              </w:rPr>
            </w:pPr>
          </w:p>
        </w:tc>
        <w:tc>
          <w:tcPr>
            <w:tcW w:w="1040" w:type="dxa"/>
            <w:vAlign w:val="bottom"/>
          </w:tcPr>
          <w:p>
            <w:pPr>
              <w:ind w:left="20"/>
              <w:spacing w:after="0"/>
              <w:rPr>
                <w:sz w:val="20"/>
                <w:szCs w:val="20"/>
                <w:color w:val="auto"/>
              </w:rPr>
            </w:pPr>
            <w:r>
              <w:rPr>
                <w:rFonts w:ascii="Arial" w:cs="Arial" w:eastAsia="Arial" w:hAnsi="Arial"/>
                <w:sz w:val="18"/>
                <w:szCs w:val="18"/>
                <w:color w:val="0000FF"/>
              </w:rPr>
              <w:t>FLOOR 24</w:t>
            </w:r>
          </w:p>
        </w:tc>
        <w:tc>
          <w:tcPr>
            <w:tcW w:w="1020" w:type="dxa"/>
            <w:vAlign w:val="bottom"/>
          </w:tcPr>
          <w:p>
            <w:pPr>
              <w:spacing w:after="0"/>
              <w:rPr>
                <w:sz w:val="23"/>
                <w:szCs w:val="23"/>
                <w:color w:val="auto"/>
              </w:rPr>
            </w:pPr>
          </w:p>
        </w:tc>
        <w:tc>
          <w:tcPr>
            <w:tcW w:w="1180" w:type="dxa"/>
            <w:vAlign w:val="bottom"/>
          </w:tcPr>
          <w:p>
            <w:pPr>
              <w:spacing w:after="0"/>
              <w:rPr>
                <w:sz w:val="23"/>
                <w:szCs w:val="23"/>
                <w:color w:val="auto"/>
              </w:rPr>
            </w:pPr>
          </w:p>
        </w:tc>
      </w:tr>
      <w:tr>
        <w:trPr>
          <w:trHeight w:val="158"/>
        </w:trPr>
        <w:tc>
          <w:tcPr>
            <w:tcW w:w="20" w:type="dxa"/>
            <w:vAlign w:val="bottom"/>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0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r>
      <w:tr>
        <w:trPr>
          <w:trHeight w:val="270"/>
        </w:trPr>
        <w:tc>
          <w:tcPr>
            <w:tcW w:w="10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020" w:type="dxa"/>
            <w:vAlign w:val="bottom"/>
          </w:tcPr>
          <w:p>
            <w:pPr>
              <w:spacing w:after="0"/>
              <w:rPr>
                <w:sz w:val="23"/>
                <w:szCs w:val="23"/>
                <w:color w:val="auto"/>
              </w:rPr>
            </w:pPr>
          </w:p>
        </w:tc>
        <w:tc>
          <w:tcPr>
            <w:tcW w:w="1180" w:type="dxa"/>
            <w:vAlign w:val="bottom"/>
          </w:tcPr>
          <w:p>
            <w:pPr>
              <w:spacing w:after="0"/>
              <w:rPr>
                <w:sz w:val="23"/>
                <w:szCs w:val="23"/>
                <w:color w:val="auto"/>
              </w:rPr>
            </w:pPr>
          </w:p>
        </w:tc>
      </w:tr>
      <w:tr>
        <w:trPr>
          <w:trHeight w:val="242"/>
        </w:trPr>
        <w:tc>
          <w:tcPr>
            <w:tcW w:w="20" w:type="dxa"/>
            <w:vAlign w:val="bottom"/>
          </w:tcPr>
          <w:p>
            <w:pPr>
              <w:spacing w:after="0"/>
              <w:rPr>
                <w:sz w:val="21"/>
                <w:szCs w:val="21"/>
                <w:color w:val="auto"/>
              </w:rPr>
            </w:pPr>
          </w:p>
        </w:tc>
        <w:tc>
          <w:tcPr>
            <w:tcW w:w="1040" w:type="dxa"/>
            <w:vAlign w:val="bottom"/>
          </w:tcPr>
          <w:p>
            <w:pPr>
              <w:ind w:left="20"/>
              <w:spacing w:after="0"/>
              <w:rPr>
                <w:sz w:val="20"/>
                <w:szCs w:val="20"/>
                <w:color w:val="auto"/>
              </w:rPr>
            </w:pPr>
            <w:r>
              <w:rPr>
                <w:rFonts w:ascii="Arial" w:cs="Arial" w:eastAsia="Arial" w:hAnsi="Arial"/>
                <w:sz w:val="18"/>
                <w:szCs w:val="18"/>
                <w:color w:val="0000FF"/>
              </w:rPr>
              <w:t>NEW YORK</w:t>
            </w:r>
          </w:p>
        </w:tc>
        <w:tc>
          <w:tcPr>
            <w:tcW w:w="1020" w:type="dxa"/>
            <w:vAlign w:val="bottom"/>
          </w:tcPr>
          <w:p>
            <w:pPr>
              <w:ind w:left="80"/>
              <w:spacing w:after="0"/>
              <w:rPr>
                <w:sz w:val="20"/>
                <w:szCs w:val="20"/>
                <w:color w:val="auto"/>
              </w:rPr>
            </w:pPr>
            <w:r>
              <w:rPr>
                <w:rFonts w:ascii="Arial" w:cs="Arial" w:eastAsia="Arial" w:hAnsi="Arial"/>
                <w:sz w:val="18"/>
                <w:szCs w:val="18"/>
                <w:color w:val="0000FF"/>
              </w:rPr>
              <w:t>NY</w:t>
            </w:r>
          </w:p>
        </w:tc>
        <w:tc>
          <w:tcPr>
            <w:tcW w:w="1180" w:type="dxa"/>
            <w:vAlign w:val="bottom"/>
          </w:tcPr>
          <w:p>
            <w:pPr>
              <w:ind w:left="140"/>
              <w:spacing w:after="0"/>
              <w:rPr>
                <w:sz w:val="20"/>
                <w:szCs w:val="20"/>
                <w:color w:val="auto"/>
              </w:rPr>
            </w:pPr>
            <w:r>
              <w:rPr>
                <w:rFonts w:ascii="Arial" w:cs="Arial" w:eastAsia="Arial" w:hAnsi="Arial"/>
                <w:sz w:val="18"/>
                <w:szCs w:val="18"/>
                <w:color w:val="0000FF"/>
              </w:rPr>
              <w:t>10017</w:t>
            </w: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2"/>
          <w:szCs w:val="22"/>
          <w:color w:val="0000EE"/>
        </w:rPr>
      </w:pPr>
      <w:hyperlink r:id="rId12">
        <w:r>
          <w:rPr>
            <w:rFonts w:ascii="Arial" w:cs="Arial" w:eastAsia="Arial" w:hAnsi="Arial"/>
            <w:sz w:val="22"/>
            <w:szCs w:val="22"/>
            <w:u w:val="single" w:color="auto"/>
            <w:color w:val="0000EE"/>
          </w:rPr>
          <w:t>MARVELL TECHNOLOGY GROUP LTD</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1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320" w:type="dxa"/>
            <w:vAlign w:val="bottom"/>
            <w:gridSpan w:val="2"/>
          </w:tcPr>
          <w:p>
            <w:pPr>
              <w:spacing w:after="0"/>
              <w:rPr>
                <w:sz w:val="20"/>
                <w:szCs w:val="20"/>
                <w:color w:val="auto"/>
              </w:rPr>
            </w:pPr>
            <w:r>
              <w:rPr>
                <w:rFonts w:ascii="Arial" w:cs="Arial" w:eastAsia="Arial" w:hAnsi="Arial"/>
                <w:sz w:val="14"/>
                <w:szCs w:val="14"/>
                <w:color w:val="auto"/>
              </w:rPr>
              <w:t>4. Relationship of Reporting Person(s) to Issuer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2680" w:type="dxa"/>
            <w:vAlign w:val="bottom"/>
          </w:tcPr>
          <w:p>
            <w:pPr>
              <w:ind w:left="20"/>
              <w:spacing w:after="0"/>
              <w:rPr>
                <w:sz w:val="20"/>
                <w:szCs w:val="20"/>
                <w:color w:val="auto"/>
              </w:rPr>
            </w:pPr>
            <w:r>
              <w:rPr>
                <w:rFonts w:ascii="Arial" w:cs="Arial" w:eastAsia="Arial" w:hAnsi="Arial"/>
                <w:sz w:val="14"/>
                <w:szCs w:val="14"/>
                <w:color w:val="auto"/>
              </w:rPr>
              <w:t>If Amendment, Date of Original Filed</w:t>
            </w:r>
          </w:p>
        </w:tc>
      </w:tr>
      <w:tr>
        <w:trPr>
          <w:trHeight w:val="162"/>
        </w:trPr>
        <w:tc>
          <w:tcPr>
            <w:tcW w:w="1660" w:type="dxa"/>
            <w:vAlign w:val="bottom"/>
          </w:tcPr>
          <w:p>
            <w:pPr>
              <w:spacing w:after="0"/>
              <w:rPr>
                <w:sz w:val="20"/>
                <w:szCs w:val="20"/>
                <w:color w:val="auto"/>
              </w:rPr>
            </w:pPr>
            <w:r>
              <w:rPr>
                <w:rFonts w:ascii="Arial" w:cs="Arial" w:eastAsia="Arial" w:hAnsi="Arial"/>
                <w:sz w:val="14"/>
                <w:szCs w:val="14"/>
                <w:color w:val="auto"/>
              </w:rPr>
              <w:t>(Check all applicable)</w:t>
            </w:r>
          </w:p>
        </w:tc>
        <w:tc>
          <w:tcPr>
            <w:tcW w:w="1660" w:type="dxa"/>
            <w:vAlign w:val="bottom"/>
          </w:tcPr>
          <w:p>
            <w:pPr>
              <w:spacing w:after="0"/>
              <w:rPr>
                <w:sz w:val="14"/>
                <w:szCs w:val="14"/>
                <w:color w:val="auto"/>
              </w:rPr>
            </w:pPr>
          </w:p>
        </w:tc>
        <w:tc>
          <w:tcPr>
            <w:tcW w:w="2880" w:type="dxa"/>
            <w:vAlign w:val="bottom"/>
            <w:gridSpan w:val="2"/>
          </w:tcPr>
          <w:p>
            <w:pPr>
              <w:ind w:left="80"/>
              <w:spacing w:after="0"/>
              <w:rPr>
                <w:sz w:val="20"/>
                <w:szCs w:val="20"/>
                <w:color w:val="auto"/>
              </w:rPr>
            </w:pPr>
            <w:r>
              <w:rPr>
                <w:rFonts w:ascii="Arial" w:cs="Arial" w:eastAsia="Arial" w:hAnsi="Arial"/>
                <w:sz w:val="14"/>
                <w:szCs w:val="14"/>
                <w:color w:val="auto"/>
              </w:rPr>
              <w:t>(Month/Day/Year)</w:t>
            </w:r>
          </w:p>
        </w:tc>
      </w:tr>
      <w:tr>
        <w:trPr>
          <w:trHeight w:val="224"/>
        </w:trPr>
        <w:tc>
          <w:tcPr>
            <w:tcW w:w="1660" w:type="dxa"/>
            <w:vAlign w:val="bottom"/>
          </w:tcPr>
          <w:p>
            <w:pPr>
              <w:ind w:left="540"/>
              <w:spacing w:after="0"/>
              <w:rPr>
                <w:sz w:val="20"/>
                <w:szCs w:val="20"/>
                <w:color w:val="auto"/>
              </w:rPr>
            </w:pPr>
            <w:r>
              <w:rPr>
                <w:rFonts w:ascii="Arial" w:cs="Arial" w:eastAsia="Arial" w:hAnsi="Arial"/>
                <w:sz w:val="14"/>
                <w:szCs w:val="14"/>
                <w:color w:val="auto"/>
              </w:rPr>
              <w:t>Director</w:t>
            </w:r>
          </w:p>
        </w:tc>
        <w:tc>
          <w:tcPr>
            <w:tcW w:w="1660" w:type="dxa"/>
            <w:vAlign w:val="bottom"/>
          </w:tcPr>
          <w:p>
            <w:pPr>
              <w:ind w:left="160"/>
              <w:spacing w:after="0"/>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10% Owner</w:t>
            </w:r>
          </w:p>
        </w:tc>
        <w:tc>
          <w:tcPr>
            <w:tcW w:w="20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r>
      <w:tr>
        <w:trPr>
          <w:trHeight w:val="202"/>
        </w:trPr>
        <w:tc>
          <w:tcPr>
            <w:tcW w:w="1660" w:type="dxa"/>
            <w:vAlign w:val="bottom"/>
          </w:tcPr>
          <w:p>
            <w:pPr>
              <w:ind w:left="540"/>
              <w:spacing w:after="0"/>
              <w:rPr>
                <w:sz w:val="20"/>
                <w:szCs w:val="20"/>
                <w:color w:val="auto"/>
              </w:rPr>
            </w:pPr>
            <w:r>
              <w:rPr>
                <w:rFonts w:ascii="Arial" w:cs="Arial" w:eastAsia="Arial" w:hAnsi="Arial"/>
                <w:sz w:val="14"/>
                <w:szCs w:val="14"/>
                <w:color w:val="auto"/>
              </w:rPr>
              <w:t>Officer (give title</w:t>
            </w:r>
          </w:p>
        </w:tc>
        <w:tc>
          <w:tcPr>
            <w:tcW w:w="1660" w:type="dxa"/>
            <w:vAlign w:val="bottom"/>
          </w:tcPr>
          <w:p>
            <w:pPr>
              <w:ind w:left="500"/>
              <w:spacing w:after="0"/>
              <w:rPr>
                <w:sz w:val="20"/>
                <w:szCs w:val="20"/>
                <w:color w:val="auto"/>
              </w:rPr>
            </w:pPr>
            <w:r>
              <w:rPr>
                <w:rFonts w:ascii="Arial" w:cs="Arial" w:eastAsia="Arial" w:hAnsi="Arial"/>
                <w:sz w:val="14"/>
                <w:szCs w:val="14"/>
                <w:color w:val="auto"/>
              </w:rPr>
              <w:t>Other (specify</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2680" w:type="dxa"/>
            <w:vAlign w:val="bottom"/>
          </w:tcPr>
          <w:p>
            <w:pPr>
              <w:ind w:left="20"/>
              <w:spacing w:after="0"/>
              <w:rPr>
                <w:sz w:val="20"/>
                <w:szCs w:val="20"/>
                <w:color w:val="auto"/>
              </w:rPr>
            </w:pPr>
            <w:r>
              <w:rPr>
                <w:rFonts w:ascii="Arial" w:cs="Arial" w:eastAsia="Arial" w:hAnsi="Arial"/>
                <w:sz w:val="14"/>
                <w:szCs w:val="14"/>
                <w:color w:val="auto"/>
              </w:rPr>
              <w:t>Individual or Joint/Group Filing (Check</w:t>
            </w:r>
          </w:p>
        </w:tc>
      </w:tr>
      <w:tr>
        <w:trPr>
          <w:trHeight w:val="162"/>
        </w:trPr>
        <w:tc>
          <w:tcPr>
            <w:tcW w:w="1660" w:type="dxa"/>
            <w:vAlign w:val="bottom"/>
          </w:tcPr>
          <w:p>
            <w:pPr>
              <w:ind w:left="540"/>
              <w:spacing w:after="0"/>
              <w:rPr>
                <w:sz w:val="20"/>
                <w:szCs w:val="20"/>
                <w:color w:val="auto"/>
              </w:rPr>
            </w:pPr>
            <w:r>
              <w:rPr>
                <w:rFonts w:ascii="Arial" w:cs="Arial" w:eastAsia="Arial" w:hAnsi="Arial"/>
                <w:sz w:val="14"/>
                <w:szCs w:val="14"/>
                <w:color w:val="auto"/>
              </w:rPr>
              <w:t>below)</w:t>
            </w:r>
          </w:p>
        </w:tc>
        <w:tc>
          <w:tcPr>
            <w:tcW w:w="1660" w:type="dxa"/>
            <w:vAlign w:val="bottom"/>
          </w:tcPr>
          <w:p>
            <w:pPr>
              <w:ind w:left="500"/>
              <w:spacing w:after="0"/>
              <w:rPr>
                <w:sz w:val="20"/>
                <w:szCs w:val="20"/>
                <w:color w:val="auto"/>
              </w:rPr>
            </w:pPr>
            <w:r>
              <w:rPr>
                <w:rFonts w:ascii="Arial" w:cs="Arial" w:eastAsia="Arial" w:hAnsi="Arial"/>
                <w:sz w:val="14"/>
                <w:szCs w:val="14"/>
                <w:color w:val="auto"/>
              </w:rPr>
              <w:t>below)</w:t>
            </w:r>
          </w:p>
        </w:tc>
        <w:tc>
          <w:tcPr>
            <w:tcW w:w="2880" w:type="dxa"/>
            <w:vAlign w:val="bottom"/>
            <w:gridSpan w:val="2"/>
          </w:tcPr>
          <w:p>
            <w:pPr>
              <w:ind w:left="80"/>
              <w:spacing w:after="0"/>
              <w:rPr>
                <w:sz w:val="20"/>
                <w:szCs w:val="20"/>
                <w:color w:val="auto"/>
              </w:rPr>
            </w:pPr>
            <w:r>
              <w:rPr>
                <w:rFonts w:ascii="Arial" w:cs="Arial" w:eastAsia="Arial" w:hAnsi="Arial"/>
                <w:sz w:val="14"/>
                <w:szCs w:val="14"/>
                <w:color w:val="auto"/>
              </w:rPr>
              <w:t>Applicable Line)</w:t>
            </w:r>
          </w:p>
        </w:tc>
      </w:tr>
    </w:tbl>
    <w:p>
      <w:pPr>
        <w:ind w:left="3560"/>
        <w:spacing w:after="0" w:line="210" w:lineRule="auto"/>
        <w:tabs>
          <w:tab w:leader="none" w:pos="386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3" w:lineRule="exact"/>
        <w:rPr>
          <w:sz w:val="24"/>
          <w:szCs w:val="24"/>
          <w:color w:val="auto"/>
        </w:rPr>
      </w:pPr>
    </w:p>
    <w:p>
      <w:pPr>
        <w:ind w:left="3880"/>
        <w:spacing w:after="0"/>
        <w:rPr>
          <w:sz w:val="20"/>
          <w:szCs w:val="20"/>
          <w:color w:val="auto"/>
        </w:rPr>
      </w:pPr>
      <w:r>
        <w:rPr>
          <w:rFonts w:ascii="Arial" w:cs="Arial" w:eastAsia="Arial" w:hAnsi="Arial"/>
          <w:sz w:val="14"/>
          <w:szCs w:val="14"/>
          <w:color w:val="auto"/>
        </w:rPr>
        <w:t>Form filed by More than One</w:t>
      </w:r>
    </w:p>
    <w:p>
      <w:pPr>
        <w:ind w:left="3880"/>
        <w:spacing w:after="0"/>
        <w:rPr>
          <w:sz w:val="20"/>
          <w:szCs w:val="20"/>
          <w:color w:val="auto"/>
        </w:rPr>
      </w:pPr>
      <w:r>
        <w:rPr>
          <w:rFonts w:ascii="Arial" w:cs="Arial" w:eastAsia="Arial" w:hAnsi="Arial"/>
          <w:sz w:val="14"/>
          <w:szCs w:val="14"/>
          <w:color w:val="auto"/>
        </w:rPr>
        <w:t>Reporting Person</w:t>
      </w:r>
    </w:p>
    <w:p>
      <w:pPr>
        <w:spacing w:after="0" w:line="200" w:lineRule="exact"/>
        <w:rPr>
          <w:sz w:val="24"/>
          <w:szCs w:val="24"/>
          <w:color w:val="auto"/>
        </w:rPr>
      </w:pPr>
    </w:p>
    <w:p>
      <w:pPr>
        <w:sectPr>
          <w:pgSz w:w="11900" w:h="16915" w:orient="portrait"/>
          <w:cols w:equalWidth="0" w:num="2">
            <w:col w:w="4720" w:space="480"/>
            <w:col w:w="6220"/>
          </w:cols>
          <w:pgMar w:left="240" w:top="226" w:right="239" w:bottom="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c>
          <w:tcPr>
            <w:tcW w:w="2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c>
          <w:tcPr>
            <w:tcW w:w="2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48"/>
        </w:trPr>
        <w:tc>
          <w:tcPr>
            <w:tcW w:w="20" w:type="dxa"/>
            <w:vAlign w:val="bottom"/>
          </w:tcPr>
          <w:p>
            <w:pPr>
              <w:spacing w:after="0"/>
              <w:rPr>
                <w:sz w:val="4"/>
                <w:szCs w:val="4"/>
                <w:color w:val="auto"/>
              </w:rPr>
            </w:pPr>
          </w:p>
        </w:tc>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9"/>
              </w:rPr>
              <w:t>1,981,597</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(6)</w:t>
            </w:r>
          </w:p>
        </w:tc>
        <w:tc>
          <w:tcPr>
            <w:tcW w:w="20" w:type="dxa"/>
            <w:vAlign w:val="bottom"/>
          </w:tcPr>
          <w:p>
            <w:pPr>
              <w:spacing w:after="0"/>
              <w:rPr>
                <w:sz w:val="24"/>
                <w:szCs w:val="2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8"/>
              </w:rPr>
              <w:t>11,329,605</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(7)</w:t>
            </w:r>
          </w:p>
        </w:tc>
        <w:tc>
          <w:tcPr>
            <w:tcW w:w="20" w:type="dxa"/>
            <w:vAlign w:val="bottom"/>
          </w:tcPr>
          <w:p>
            <w:pPr>
              <w:spacing w:after="0"/>
              <w:rPr>
                <w:sz w:val="24"/>
                <w:szCs w:val="2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8"/>
              </w:rPr>
              <w:t>19,208,659</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(8)</w:t>
            </w:r>
          </w:p>
        </w:tc>
        <w:tc>
          <w:tcPr>
            <w:tcW w:w="20" w:type="dxa"/>
            <w:vAlign w:val="bottom"/>
          </w:tcPr>
          <w:p>
            <w:pPr>
              <w:spacing w:after="0"/>
              <w:rPr>
                <w:sz w:val="24"/>
                <w:szCs w:val="2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9"/>
              </w:rPr>
              <w:t>7,131,000</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(9)</w:t>
            </w:r>
          </w:p>
        </w:tc>
        <w:tc>
          <w:tcPr>
            <w:tcW w:w="20" w:type="dxa"/>
            <w:vAlign w:val="bottom"/>
          </w:tcPr>
          <w:p>
            <w:pPr>
              <w:spacing w:after="0"/>
              <w:rPr>
                <w:sz w:val="24"/>
                <w:szCs w:val="2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9"/>
              </w:rPr>
              <w:t>5,977,287</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(10)</w:t>
            </w:r>
          </w:p>
        </w:tc>
        <w:tc>
          <w:tcPr>
            <w:tcW w:w="20" w:type="dxa"/>
            <w:vAlign w:val="bottom"/>
          </w:tcPr>
          <w:p>
            <w:pPr>
              <w:spacing w:after="0"/>
              <w:rPr>
                <w:sz w:val="24"/>
                <w:szCs w:val="24"/>
                <w:color w:val="auto"/>
              </w:rPr>
            </w:pPr>
          </w:p>
        </w:tc>
      </w:tr>
      <w:tr>
        <w:trPr>
          <w:trHeight w:val="331"/>
        </w:trPr>
        <w:tc>
          <w:tcPr>
            <w:tcW w:w="20" w:type="dxa"/>
            <w:vAlign w:val="bottom"/>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9"/>
              </w:rPr>
              <w:t>5,855,295</w:t>
            </w:r>
          </w:p>
        </w:tc>
        <w:tc>
          <w:tcPr>
            <w:tcW w:w="1320" w:type="dxa"/>
            <w:vAlign w:val="bottom"/>
            <w:tcBorders>
              <w:bottom w:val="single" w:sz="8" w:color="2C2C2C"/>
            </w:tcBorders>
          </w:tcPr>
          <w:p>
            <w:pPr>
              <w:jc w:val="center"/>
              <w:ind w:left="120"/>
              <w:spacing w:after="0" w:line="324" w:lineRule="exact"/>
              <w:rPr>
                <w:sz w:val="20"/>
                <w:szCs w:val="20"/>
                <w:color w:val="auto"/>
              </w:rPr>
            </w:pPr>
            <w:r>
              <w:rPr>
                <w:rFonts w:ascii="Arial" w:cs="Arial" w:eastAsia="Arial" w:hAnsi="Arial"/>
                <w:sz w:val="35"/>
                <w:szCs w:val="35"/>
                <w:color w:val="0000FF"/>
                <w:w w:val="98"/>
                <w:vertAlign w:val="subscript"/>
              </w:rPr>
              <w:t>I</w:t>
            </w:r>
            <w:r>
              <w:rPr>
                <w:rFonts w:ascii="Arial" w:cs="Arial" w:eastAsia="Arial" w:hAnsi="Arial"/>
                <w:sz w:val="11"/>
                <w:szCs w:val="11"/>
                <w:color w:val="008000"/>
                <w:w w:val="98"/>
              </w:rPr>
              <w:t>(1)(2)(3)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(11)</w:t>
            </w:r>
          </w:p>
        </w:tc>
        <w:tc>
          <w:tcPr>
            <w:tcW w:w="20" w:type="dxa"/>
            <w:vAlign w:val="bottom"/>
          </w:tcPr>
          <w:p>
            <w:pPr>
              <w:spacing w:after="0"/>
              <w:rPr>
                <w:sz w:val="24"/>
                <w:szCs w:val="24"/>
                <w:color w:val="auto"/>
              </w:rPr>
            </w:pPr>
          </w:p>
        </w:tc>
      </w:tr>
      <w:tr>
        <w:trPr>
          <w:trHeight w:val="356"/>
        </w:trPr>
        <w:tc>
          <w:tcPr>
            <w:tcW w:w="20" w:type="dxa"/>
            <w:vAlign w:val="bottom"/>
            <w:tcBorders>
              <w:bottom w:val="single" w:sz="8" w:color="2C2C2C"/>
            </w:tcBorders>
          </w:tcPr>
          <w:p>
            <w:pPr>
              <w:spacing w:after="0"/>
              <w:rPr>
                <w:sz w:val="24"/>
                <w:szCs w:val="24"/>
                <w:color w:val="auto"/>
              </w:rPr>
            </w:pPr>
          </w:p>
        </w:tc>
        <w:tc>
          <w:tcPr>
            <w:tcW w:w="344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3620" w:type="dxa"/>
            <w:vAlign w:val="bottom"/>
            <w:tcBorders>
              <w:bottom w:val="single" w:sz="8" w:color="2C2C2C"/>
            </w:tcBorders>
          </w:tcPr>
          <w:p>
            <w:pPr>
              <w:jc w:val="center"/>
              <w:ind w:left="1617"/>
              <w:spacing w:after="0"/>
              <w:rPr>
                <w:sz w:val="20"/>
                <w:szCs w:val="20"/>
                <w:color w:val="auto"/>
              </w:rPr>
            </w:pPr>
            <w:r>
              <w:rPr>
                <w:rFonts w:ascii="Arial" w:cs="Arial" w:eastAsia="Arial" w:hAnsi="Arial"/>
                <w:sz w:val="18"/>
                <w:szCs w:val="18"/>
                <w:color w:val="0000FF"/>
                <w:w w:val="86"/>
              </w:rPr>
              <w:t>319,000</w:t>
            </w:r>
          </w:p>
        </w:tc>
        <w:tc>
          <w:tcPr>
            <w:tcW w:w="1320" w:type="dxa"/>
            <w:vAlign w:val="bottom"/>
            <w:tcBorders>
              <w:bottom w:val="single" w:sz="8" w:color="2C2C2C"/>
            </w:tcBorders>
          </w:tcPr>
          <w:p>
            <w:pPr>
              <w:jc w:val="center"/>
              <w:ind w:left="100"/>
              <w:spacing w:after="0" w:line="324" w:lineRule="exact"/>
              <w:rPr>
                <w:sz w:val="20"/>
                <w:szCs w:val="20"/>
                <w:color w:val="auto"/>
              </w:rPr>
            </w:pPr>
            <w:r>
              <w:rPr>
                <w:rFonts w:ascii="Arial" w:cs="Arial" w:eastAsia="Arial" w:hAnsi="Arial"/>
                <w:sz w:val="35"/>
                <w:szCs w:val="35"/>
                <w:color w:val="0000FF"/>
                <w:w w:val="95"/>
                <w:vertAlign w:val="subscript"/>
              </w:rPr>
              <w:t>I</w:t>
            </w:r>
            <w:r>
              <w:rPr>
                <w:rFonts w:ascii="Arial" w:cs="Arial" w:eastAsia="Arial" w:hAnsi="Arial"/>
                <w:sz w:val="11"/>
                <w:szCs w:val="11"/>
                <w:color w:val="008000"/>
                <w:w w:val="95"/>
              </w:rPr>
              <w:t>(2)(3)</w:t>
            </w:r>
          </w:p>
        </w:tc>
        <w:tc>
          <w:tcPr>
            <w:tcW w:w="300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rPr>
              <w:t>See Footnote</w:t>
            </w:r>
            <w:r>
              <w:rPr>
                <w:rFonts w:ascii="Arial" w:cs="Arial" w:eastAsia="Arial" w:hAnsi="Arial"/>
                <w:sz w:val="22"/>
                <w:szCs w:val="22"/>
                <w:color w:val="008000"/>
                <w:vertAlign w:val="superscript"/>
              </w:rPr>
              <w:t>(12)</w:t>
            </w:r>
          </w:p>
        </w:tc>
        <w:tc>
          <w:tcPr>
            <w:tcW w:w="20" w:type="dxa"/>
            <w:vAlign w:val="bottom"/>
            <w:tcBorders>
              <w:bottom w:val="single" w:sz="8" w:color="2C2C2C"/>
            </w:tcBorders>
          </w:tcPr>
          <w:p>
            <w:pPr>
              <w:spacing w:after="0"/>
              <w:rPr>
                <w:sz w:val="24"/>
                <w:szCs w:val="24"/>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2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86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90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1680" w:type="dxa"/>
            <w:vAlign w:val="bottom"/>
            <w:gridSpan w:val="2"/>
          </w:tcPr>
          <w:p>
            <w:pPr>
              <w:ind w:left="12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86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Underlying Derivative Security (Instr. 4)</w:t>
            </w:r>
          </w:p>
        </w:tc>
        <w:tc>
          <w:tcPr>
            <w:tcW w:w="9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8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8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9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8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34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86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90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166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342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860" w:type="dxa"/>
            <w:vAlign w:val="bottom"/>
          </w:tcPr>
          <w:p>
            <w:pPr>
              <w:spacing w:after="0"/>
              <w:rPr>
                <w:sz w:val="4"/>
                <w:szCs w:val="4"/>
                <w:color w:val="auto"/>
              </w:rPr>
            </w:pPr>
          </w:p>
        </w:tc>
        <w:tc>
          <w:tcPr>
            <w:tcW w:w="100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Amount or</w:t>
            </w:r>
          </w:p>
        </w:tc>
        <w:tc>
          <w:tcPr>
            <w:tcW w:w="900" w:type="dxa"/>
            <w:vAlign w:val="bottom"/>
            <w:vMerge w:val="continue"/>
          </w:tcPr>
          <w:p>
            <w:pPr>
              <w:spacing w:after="0"/>
              <w:rPr>
                <w:sz w:val="4"/>
                <w:szCs w:val="4"/>
                <w:color w:val="auto"/>
              </w:rPr>
            </w:pPr>
          </w:p>
        </w:tc>
        <w:tc>
          <w:tcPr>
            <w:tcW w:w="860" w:type="dxa"/>
            <w:vAlign w:val="bottom"/>
            <w:vMerge w:val="continue"/>
          </w:tcPr>
          <w:p>
            <w:pPr>
              <w:spacing w:after="0"/>
              <w:rPr>
                <w:sz w:val="4"/>
                <w:szCs w:val="4"/>
                <w:color w:val="auto"/>
              </w:rPr>
            </w:pPr>
          </w:p>
        </w:tc>
        <w:tc>
          <w:tcPr>
            <w:tcW w:w="16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000" w:type="dxa"/>
            <w:vAlign w:val="bottom"/>
            <w:vMerge w:val="continue"/>
          </w:tcPr>
          <w:p>
            <w:pPr>
              <w:spacing w:after="0"/>
              <w:rPr>
                <w:sz w:val="12"/>
                <w:szCs w:val="12"/>
                <w:color w:val="auto"/>
              </w:rPr>
            </w:pPr>
          </w:p>
        </w:tc>
        <w:tc>
          <w:tcPr>
            <w:tcW w:w="90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1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186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Title</w:t>
            </w:r>
          </w:p>
        </w:tc>
        <w:tc>
          <w:tcPr>
            <w:tcW w:w="1000" w:type="dxa"/>
            <w:vAlign w:val="bottom"/>
          </w:tcPr>
          <w:p>
            <w:pPr>
              <w:ind w:left="240"/>
              <w:spacing w:after="0" w:line="149" w:lineRule="exact"/>
              <w:rPr>
                <w:sz w:val="20"/>
                <w:szCs w:val="20"/>
                <w:color w:val="auto"/>
              </w:rPr>
            </w:pPr>
            <w:r>
              <w:rPr>
                <w:rFonts w:ascii="Arial" w:cs="Arial" w:eastAsia="Arial" w:hAnsi="Arial"/>
                <w:sz w:val="14"/>
                <w:szCs w:val="14"/>
                <w:b w:val="1"/>
                <w:bCs w:val="1"/>
                <w:color w:val="auto"/>
              </w:rPr>
              <w:t>Number of</w:t>
            </w:r>
          </w:p>
        </w:tc>
        <w:tc>
          <w:tcPr>
            <w:tcW w:w="9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1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34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860" w:type="dxa"/>
            <w:vAlign w:val="bottom"/>
            <w:vMerge w:val="continue"/>
          </w:tcPr>
          <w:p>
            <w:pPr>
              <w:spacing w:after="0"/>
              <w:rPr>
                <w:sz w:val="15"/>
                <w:szCs w:val="15"/>
                <w:color w:val="auto"/>
              </w:rPr>
            </w:pPr>
          </w:p>
        </w:tc>
        <w:tc>
          <w:tcPr>
            <w:tcW w:w="1000" w:type="dxa"/>
            <w:vAlign w:val="bottom"/>
          </w:tcPr>
          <w:p>
            <w:pPr>
              <w:ind w:left="240"/>
              <w:spacing w:after="0"/>
              <w:rPr>
                <w:sz w:val="20"/>
                <w:szCs w:val="20"/>
                <w:color w:val="auto"/>
              </w:rPr>
            </w:pPr>
            <w:r>
              <w:rPr>
                <w:rFonts w:ascii="Arial" w:cs="Arial" w:eastAsia="Arial" w:hAnsi="Arial"/>
                <w:sz w:val="14"/>
                <w:szCs w:val="14"/>
                <w:b w:val="1"/>
                <w:bCs w:val="1"/>
                <w:color w:val="auto"/>
              </w:rPr>
              <w:t>Shares</w:t>
            </w:r>
          </w:p>
        </w:tc>
        <w:tc>
          <w:tcPr>
            <w:tcW w:w="9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342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8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66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9"/>
              </w:rPr>
              <w:t>446,000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6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w w:val="99"/>
              </w:rPr>
              <w:t>See Footnotes</w:t>
            </w:r>
            <w:r>
              <w:rPr>
                <w:rFonts w:ascii="Arial" w:cs="Arial" w:eastAsia="Arial" w:hAnsi="Arial"/>
                <w:sz w:val="22"/>
                <w:szCs w:val="22"/>
                <w:color w:val="008000"/>
                <w:w w:val="99"/>
                <w:vertAlign w:val="superscript"/>
              </w:rPr>
              <w:t>(4)(6)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7"/>
              </w:rPr>
              <w:t>2,528,600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6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w w:val="99"/>
              </w:rPr>
              <w:t>See Footnotes</w:t>
            </w:r>
            <w:r>
              <w:rPr>
                <w:rFonts w:ascii="Arial" w:cs="Arial" w:eastAsia="Arial" w:hAnsi="Arial"/>
                <w:sz w:val="22"/>
                <w:szCs w:val="22"/>
                <w:color w:val="008000"/>
                <w:w w:val="99"/>
                <w:vertAlign w:val="superscript"/>
              </w:rPr>
              <w:t>(4)(7)</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7"/>
              </w:rPr>
              <w:t>4,432,400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6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w w:val="99"/>
              </w:rPr>
              <w:t>See Footnotes</w:t>
            </w:r>
            <w:r>
              <w:rPr>
                <w:rFonts w:ascii="Arial" w:cs="Arial" w:eastAsia="Arial" w:hAnsi="Arial"/>
                <w:sz w:val="22"/>
                <w:szCs w:val="22"/>
                <w:color w:val="008000"/>
                <w:w w:val="99"/>
                <w:vertAlign w:val="superscript"/>
              </w:rPr>
              <w:t>(4)(8)</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7"/>
              </w:rPr>
              <w:t>1,844,200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6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w w:val="99"/>
              </w:rPr>
              <w:t>See Footnotes</w:t>
            </w:r>
            <w:r>
              <w:rPr>
                <w:rFonts w:ascii="Arial" w:cs="Arial" w:eastAsia="Arial" w:hAnsi="Arial"/>
                <w:sz w:val="22"/>
                <w:szCs w:val="22"/>
                <w:color w:val="008000"/>
                <w:w w:val="99"/>
                <w:vertAlign w:val="superscript"/>
              </w:rPr>
              <w:t>(4)(9)</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7"/>
              </w:rPr>
              <w:t>1,336,100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60" w:type="dxa"/>
            <w:vAlign w:val="bottom"/>
            <w:tcBorders>
              <w:bottom w:val="single" w:sz="8" w:color="2C2C2C"/>
            </w:tcBorders>
          </w:tcPr>
          <w:p>
            <w:pPr>
              <w:ind w:left="120"/>
              <w:spacing w:after="0"/>
              <w:rPr>
                <w:sz w:val="20"/>
                <w:szCs w:val="20"/>
                <w:color w:val="auto"/>
              </w:rPr>
            </w:pPr>
            <w:r>
              <w:rPr>
                <w:rFonts w:ascii="Arial" w:cs="Arial" w:eastAsia="Arial" w:hAnsi="Arial"/>
                <w:sz w:val="18"/>
                <w:szCs w:val="18"/>
                <w:color w:val="0000FF"/>
                <w:w w:val="94"/>
              </w:rPr>
              <w:t>See Footnotes</w:t>
            </w:r>
            <w:r>
              <w:rPr>
                <w:rFonts w:ascii="Arial" w:cs="Arial" w:eastAsia="Arial" w:hAnsi="Arial"/>
                <w:sz w:val="22"/>
                <w:szCs w:val="22"/>
                <w:color w:val="008000"/>
                <w:w w:val="94"/>
                <w:vertAlign w:val="superscript"/>
              </w:rPr>
              <w:t>(4)(10)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Borders>
              <w:bottom w:val="single" w:sz="8" w:color="2C2C2C"/>
            </w:tcBorders>
          </w:tcPr>
          <w:p>
            <w:pPr>
              <w:spacing w:after="0"/>
              <w:rPr>
                <w:sz w:val="24"/>
                <w:szCs w:val="24"/>
                <w:color w:val="auto"/>
              </w:rPr>
            </w:pPr>
          </w:p>
        </w:tc>
        <w:tc>
          <w:tcPr>
            <w:tcW w:w="342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Total Return Equity Swap</w:t>
            </w:r>
          </w:p>
        </w:tc>
        <w:tc>
          <w:tcPr>
            <w:tcW w:w="880" w:type="dxa"/>
            <w:vAlign w:val="bottom"/>
            <w:tcBorders>
              <w:bottom w:val="single" w:sz="8" w:color="2C2C2C"/>
            </w:tcBorders>
          </w:tcPr>
          <w:p>
            <w:pPr>
              <w:jc w:val="right"/>
              <w:ind w:right="239"/>
              <w:spacing w:after="0"/>
              <w:rPr>
                <w:sz w:val="20"/>
                <w:szCs w:val="20"/>
                <w:color w:val="auto"/>
              </w:rPr>
            </w:pPr>
            <w:r>
              <w:rPr>
                <w:rFonts w:ascii="Arial" w:cs="Arial" w:eastAsia="Arial" w:hAnsi="Arial"/>
                <w:sz w:val="11"/>
                <w:szCs w:val="11"/>
                <w:color w:val="008000"/>
              </w:rPr>
              <w:t>(4)(5)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4"/>
                <w:szCs w:val="14"/>
                <w:color w:val="0000FF"/>
                <w:w w:val="88"/>
              </w:rPr>
              <w:t>02/07/2014</w:t>
            </w:r>
          </w:p>
        </w:tc>
        <w:tc>
          <w:tcPr>
            <w:tcW w:w="1860" w:type="dxa"/>
            <w:vAlign w:val="bottom"/>
            <w:tcBorders>
              <w:bottom w:val="single" w:sz="8" w:color="2C2C2C"/>
            </w:tcBorders>
          </w:tcPr>
          <w:p>
            <w:pPr>
              <w:ind w:left="440"/>
              <w:spacing w:after="0"/>
              <w:rPr>
                <w:sz w:val="20"/>
                <w:szCs w:val="20"/>
                <w:color w:val="auto"/>
              </w:rPr>
            </w:pPr>
            <w:r>
              <w:rPr>
                <w:rFonts w:ascii="Arial" w:cs="Arial" w:eastAsia="Arial" w:hAnsi="Arial"/>
                <w:sz w:val="18"/>
                <w:szCs w:val="18"/>
                <w:color w:val="0000FF"/>
              </w:rPr>
              <w:t>Common Shares</w:t>
            </w:r>
          </w:p>
        </w:tc>
        <w:tc>
          <w:tcPr>
            <w:tcW w:w="1000" w:type="dxa"/>
            <w:vAlign w:val="bottom"/>
            <w:tcBorders>
              <w:bottom w:val="single" w:sz="8" w:color="2C2C2C"/>
            </w:tcBorders>
          </w:tcPr>
          <w:p>
            <w:pPr>
              <w:jc w:val="center"/>
              <w:ind w:left="99"/>
              <w:spacing w:after="0"/>
              <w:rPr>
                <w:sz w:val="20"/>
                <w:szCs w:val="20"/>
                <w:color w:val="auto"/>
              </w:rPr>
            </w:pPr>
            <w:r>
              <w:rPr>
                <w:rFonts w:ascii="Arial" w:cs="Arial" w:eastAsia="Arial" w:hAnsi="Arial"/>
                <w:sz w:val="18"/>
                <w:szCs w:val="18"/>
                <w:color w:val="0000FF"/>
                <w:w w:val="87"/>
              </w:rPr>
              <w:t>1,292,700</w:t>
            </w:r>
          </w:p>
        </w:tc>
        <w:tc>
          <w:tcPr>
            <w:tcW w:w="900" w:type="dxa"/>
            <w:vAlign w:val="bottom"/>
            <w:tcBorders>
              <w:bottom w:val="single" w:sz="8" w:color="2C2C2C"/>
            </w:tcBorders>
          </w:tcPr>
          <w:p>
            <w:pPr>
              <w:jc w:val="right"/>
              <w:ind w:right="222"/>
              <w:spacing w:after="0"/>
              <w:rPr>
                <w:sz w:val="20"/>
                <w:szCs w:val="20"/>
                <w:color w:val="auto"/>
              </w:rPr>
            </w:pPr>
            <w:r>
              <w:rPr>
                <w:rFonts w:ascii="Arial" w:cs="Arial" w:eastAsia="Arial" w:hAnsi="Arial"/>
                <w:sz w:val="18"/>
                <w:szCs w:val="18"/>
                <w:color w:val="0000FF"/>
              </w:rPr>
              <w:t>7.93</w:t>
            </w:r>
          </w:p>
        </w:tc>
        <w:tc>
          <w:tcPr>
            <w:tcW w:w="860" w:type="dxa"/>
            <w:vAlign w:val="bottom"/>
            <w:tcBorders>
              <w:bottom w:val="single" w:sz="8" w:color="2C2C2C"/>
            </w:tcBorders>
          </w:tcPr>
          <w:p>
            <w:pPr>
              <w:ind w:left="160"/>
              <w:spacing w:after="0" w:line="324" w:lineRule="exact"/>
              <w:rPr>
                <w:sz w:val="20"/>
                <w:szCs w:val="20"/>
                <w:color w:val="auto"/>
              </w:rPr>
            </w:pPr>
            <w:r>
              <w:rPr>
                <w:rFonts w:ascii="Arial" w:cs="Arial" w:eastAsia="Arial" w:hAnsi="Arial"/>
                <w:sz w:val="35"/>
                <w:szCs w:val="35"/>
                <w:color w:val="0000FF"/>
                <w:vertAlign w:val="subscript"/>
              </w:rPr>
              <w:t>I</w:t>
            </w:r>
            <w:r>
              <w:rPr>
                <w:rFonts w:ascii="Arial" w:cs="Arial" w:eastAsia="Arial" w:hAnsi="Arial"/>
                <w:sz w:val="11"/>
                <w:szCs w:val="11"/>
                <w:color w:val="008000"/>
              </w:rPr>
              <w:t>(1)(3)(4)(5)</w:t>
            </w:r>
          </w:p>
        </w:tc>
        <w:tc>
          <w:tcPr>
            <w:tcW w:w="168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0000FF"/>
                <w:w w:val="95"/>
              </w:rPr>
              <w:t>See Footnotes</w:t>
            </w:r>
            <w:r>
              <w:rPr>
                <w:rFonts w:ascii="Arial" w:cs="Arial" w:eastAsia="Arial" w:hAnsi="Arial"/>
                <w:sz w:val="22"/>
                <w:szCs w:val="22"/>
                <w:color w:val="008000"/>
                <w:w w:val="95"/>
                <w:vertAlign w:val="superscript"/>
              </w:rPr>
              <w:t>(4)(11)</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420" w:type="dxa"/>
            <w:vAlign w:val="bottom"/>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0" w:right="10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David Einhorn is the senior managing member of Greenlight Capital, L.L.C. ("Greenlight LLC"), DME Advisors GP, LLC ("DME GP") and DME Management GP, LLC ("DME Management GP"), and the president of Greenlight Capital, Inc. ("Greenlight Inc."). DME GP is the general partner of DME Advisors, LP ("DME") and DME Capital Management, LP ("DME CM").</w:t>
      </w:r>
    </w:p>
    <w:p>
      <w:pPr>
        <w:ind w:left="40" w:right="60" w:firstLine="9"/>
        <w:spacing w:after="0" w:line="273"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One or more of the foregoing entities control the disposition and voting of common shares, par value $0.002 per share (the "Common Shares"), of Marvell Technology Group Ltd. ("Issuer"), owned by one or more of the following entities: Greenlight Capital, L.P. ("Greenlight Fund"), Greenlight Capital Qualified, L.P. ("Greenlight Qualified"), Greenlight Capital Offshore Partners ("Greenlight Offshore"), Greenlight Capital (Gold), LP ("Greenlight Gold"), Greenlight Capital Offshore Master (Gold), Ltd. ("Greenlight Gold Offshore"), Greenlight Masters Partners ("Greenlight Masters") and an account managed by DME (the "Managed Account," and, together with Greenlight Fund, Greenlight Qualified, Greenlight Offshore, Greenlight Gold, Greenlight Gold Offshore, Greenlight Masters, Greenlight LLC, Greenlight Inc., DME GP, DME, DME Management GP and DME CM, the "Greenlight Parties"), in the respective capacities and quantities further described in the footnotes below.</w:t>
      </w:r>
    </w:p>
    <w:p>
      <w:pPr>
        <w:spacing w:after="0" w:line="11" w:lineRule="exact"/>
        <w:rPr>
          <w:rFonts w:ascii="Arial" w:cs="Arial" w:eastAsia="Arial" w:hAnsi="Arial"/>
          <w:sz w:val="12"/>
          <w:szCs w:val="12"/>
          <w:color w:val="008000"/>
        </w:rPr>
      </w:pPr>
    </w:p>
    <w:p>
      <w:pPr>
        <w:jc w:val="both"/>
        <w:ind w:left="40" w:right="8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Pursuant to Rule 16a-1 under the Securities Exchange Act of 1934, as amended (the "Act"), Mr. Einhorn and the Greenlight Parties disclaim beneficial ownership of the Common Shares except to the extent of their respective pecuniary interests therein. The filing of this Form 3 shall not be construed as an admission that David Einhorn or any of the Greenlight Parties is or was for the purposes of Section 16(a) of the Act, or otherwise, the beneficial owner of any of the Common Shares owned by Greenlight Fund, Greenlight Qualified, Greenlight Offshore, Greenlight Gold, Greenlight Gold Offshore, Greenlight Masters or the Managed Account.</w:t>
      </w:r>
    </w:p>
    <w:p>
      <w:pPr>
        <w:spacing w:after="0" w:line="31" w:lineRule="exact"/>
        <w:rPr>
          <w:rFonts w:ascii="Arial" w:cs="Arial" w:eastAsia="Arial" w:hAnsi="Arial"/>
          <w:sz w:val="14"/>
          <w:szCs w:val="14"/>
          <w:color w:val="008000"/>
        </w:rPr>
      </w:pPr>
    </w:p>
    <w:p>
      <w:pPr>
        <w:ind w:left="40" w:right="80" w:firstLine="9"/>
        <w:spacing w:after="0" w:line="273"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January 2, 2013, Greenlight Fund, Greenlight Qualified, Greenlight Offshore, Greenlight Gold, Greenlight Gold Offshore and the Managed Account entered into total return equity swap agreements (each, a "Swap") with a securities broker, pursuant to which, upon the expiration of the term of each respective Swap, (i) the applicable Greenlight Party referenced in the Swap will be obligated to pay to the broker an amount, based on a cost price of approximately $7.93 per Common Share, for each Common Share referenced in such Swap (in the respective quantities described in the footnotes below), and (ii) the broker will be obligated to pay to the applicable Greenlight Party referenced in the Swap the market value of such number of Common Shares as are referenced in the Swap (in the respective quantities described in the footnotes below), as of the expiration of the term of the Swap.</w:t>
      </w:r>
    </w:p>
    <w:p>
      <w:pPr>
        <w:spacing w:after="0" w:line="11" w:lineRule="exact"/>
        <w:rPr>
          <w:rFonts w:ascii="Arial" w:cs="Arial" w:eastAsia="Arial" w:hAnsi="Arial"/>
          <w:sz w:val="12"/>
          <w:szCs w:val="12"/>
          <w:color w:val="008000"/>
        </w:rPr>
      </w:pPr>
    </w:p>
    <w:p>
      <w:pPr>
        <w:ind w:left="40" w:right="1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Any dividends received by the broker on the Common Shares referenced in each Swap during the term of the Swap will be paid to the applicable Greenlight Party. During the term of each Swap, the applicable Greenlight Party will pay the broker interest on the aggregate price payable by such Greenlight Party. The terms of the Swaps do not permit the Greenlight Parties to vote or dispose of any Common Shares, or to acquire any Common Shares pursuant to the Swaps.</w:t>
      </w:r>
    </w:p>
    <w:p>
      <w:pPr>
        <w:spacing w:after="0" w:line="30" w:lineRule="exact"/>
        <w:rPr>
          <w:rFonts w:ascii="Arial" w:cs="Arial" w:eastAsia="Arial" w:hAnsi="Arial"/>
          <w:sz w:val="14"/>
          <w:szCs w:val="14"/>
          <w:color w:val="008000"/>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Greenlight LLC controls the voting and disposition of 1,981,597 Common Shares through the account of Greenlight Fund, of which Greenlight LLC is the general partner. As the senior managing member of Greenlight LLC, Mr. Einhorn may be deemed to beneficially own the securities held by Greenlight Fund. Greenlight Fund also has exposure to 446,000 Common Shares pursuant to a Swap, as further described in Footnote 4.</w:t>
      </w:r>
    </w:p>
    <w:p>
      <w:pPr>
        <w:spacing w:after="0" w:line="30" w:lineRule="exact"/>
        <w:rPr>
          <w:rFonts w:ascii="Arial" w:cs="Arial" w:eastAsia="Arial" w:hAnsi="Arial"/>
          <w:sz w:val="14"/>
          <w:szCs w:val="14"/>
          <w:color w:val="008000"/>
        </w:rPr>
      </w:pPr>
    </w:p>
    <w:p>
      <w:pPr>
        <w:ind w:left="40" w:right="320" w:firstLine="9"/>
        <w:spacing w:after="0" w:line="31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Greenlight LLC controls the voting and disposition of 11,329,605 Common Shares through the account of Greenlight Qualified, of which Greenlight LLC is the general partner. As the senior managing member of Greenlight LLC, Mr. Einhorn may be deemed to beneficially own the securities held by Greenlight Qualified. Greenlight Qualified also has exposure to 2,528,600 Common Shares pursuant to a</w:t>
      </w:r>
    </w:p>
    <w:p>
      <w:pPr>
        <w:sectPr>
          <w:pgSz w:w="11900" w:h="16915" w:orient="portrait"/>
          <w:cols w:equalWidth="0" w:num="1">
            <w:col w:w="11420"/>
          </w:cols>
          <w:pgMar w:left="240" w:top="226"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008000"/>
        </w:rPr>
        <w:t>Swap, as further described in Footnote 4.</w:t>
      </w:r>
    </w:p>
    <w:p>
      <w:pPr>
        <w:spacing w:after="0" w:line="42" w:lineRule="exact"/>
        <w:rPr>
          <w:sz w:val="20"/>
          <w:szCs w:val="20"/>
          <w:color w:val="auto"/>
        </w:rPr>
      </w:pPr>
    </w:p>
    <w:p>
      <w:pPr>
        <w:ind w:right="120" w:firstLine="9"/>
        <w:spacing w:after="0" w:line="233"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Greenlight Inc. controls the voting and disposition of 19,208,659 Common Shares through the account of Greenlight Offshore. Greenlight Inc. is the investment manager of Greenlight Offshore. As the president of Greenlight Inc., Mr. Einhorn may be deemed to beneficially own the shares held by Greenlight Offshore. Greenlight Offshore also has exposure to 4,432,400 Common Shares pursuant to a Swap, as further described in Footnote 4.</w:t>
      </w:r>
    </w:p>
    <w:p>
      <w:pPr>
        <w:spacing w:after="0" w:line="30" w:lineRule="exact"/>
        <w:rPr>
          <w:rFonts w:ascii="Arial" w:cs="Arial" w:eastAsia="Arial" w:hAnsi="Arial"/>
          <w:sz w:val="14"/>
          <w:szCs w:val="14"/>
          <w:color w:val="008000"/>
        </w:rPr>
      </w:pPr>
    </w:p>
    <w:p>
      <w:pPr>
        <w:ind w:firstLine="9"/>
        <w:spacing w:after="0" w:line="233"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DME controls the voting and disposition of 7,131,000 Common Shares through the Managed Account, for which DME serves as the investment manager. As the senior managing member of DME GP, which is the general partner of DME, Mr. Einhorn may be deemed to beneficially own the shares held by the Managed Account. The Managed Account also has exposure to 1,844,200 Common Shares pursuant to a Swap, as further described in Footnote 4.</w:t>
      </w:r>
    </w:p>
    <w:p>
      <w:pPr>
        <w:spacing w:after="0" w:line="30" w:lineRule="exact"/>
        <w:rPr>
          <w:rFonts w:ascii="Arial" w:cs="Arial" w:eastAsia="Arial" w:hAnsi="Arial"/>
          <w:sz w:val="14"/>
          <w:szCs w:val="14"/>
          <w:color w:val="008000"/>
        </w:rPr>
      </w:pPr>
    </w:p>
    <w:p>
      <w:pPr>
        <w:ind w:right="40" w:firstLine="9"/>
        <w:spacing w:after="0" w:line="288" w:lineRule="auto"/>
        <w:tabs>
          <w:tab w:leader="none" w:pos="20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DME Management GP controls the voting and disposition of 5,977,287 Common Shares through the account of Greenlight Gold, of which DME Management GP is the general partner. As the senior managing member of DME Management GP, Mr. Einhorn may be deemed to beneficially own the securities held by Greenlight Gold. Greenlight Gold also has exposure to 1,336,100 Common Shares pursuant to a Swap, as further described in Footnote 4.</w:t>
      </w:r>
    </w:p>
    <w:p>
      <w:pPr>
        <w:spacing w:after="0" w:line="2" w:lineRule="exact"/>
        <w:rPr>
          <w:rFonts w:ascii="Arial" w:cs="Arial" w:eastAsia="Arial" w:hAnsi="Arial"/>
          <w:sz w:val="12"/>
          <w:szCs w:val="12"/>
          <w:color w:val="008000"/>
        </w:rPr>
      </w:pPr>
    </w:p>
    <w:p>
      <w:pPr>
        <w:ind w:right="200" w:firstLine="9"/>
        <w:spacing w:after="0" w:line="288" w:lineRule="auto"/>
        <w:tabs>
          <w:tab w:leader="none" w:pos="198"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DME CM controls the voting and disposition of 5,855,295 Common Shares through the account of Greenlight Gold Offshore, of which DME CM is the investment manager. As the senior managing member of DME GP, which is the general partner of DME CM, Mr. Einhorn may be deemed to beneficially own the shares held by Greenlight Gold Offshore. Greenlight Gold Offshore also has exposure to 1,292,700 Common Shares pursuant to a Swap, as further described in Footnote 4.</w:t>
      </w:r>
    </w:p>
    <w:p>
      <w:pPr>
        <w:spacing w:after="0" w:line="2" w:lineRule="exact"/>
        <w:rPr>
          <w:rFonts w:ascii="Arial" w:cs="Arial" w:eastAsia="Arial" w:hAnsi="Arial"/>
          <w:sz w:val="12"/>
          <w:szCs w:val="12"/>
          <w:color w:val="008000"/>
        </w:rPr>
      </w:pPr>
    </w:p>
    <w:p>
      <w:pPr>
        <w:ind w:right="260" w:firstLine="9"/>
        <w:spacing w:after="0" w:line="298" w:lineRule="auto"/>
        <w:tabs>
          <w:tab w:leader="none" w:pos="20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Mr. Einhorn indirectly controls the voting and disposition of 319,000 Common Shares through the account of Greenlight Masters. Mr. Einhorn may be deemed to have indirect investment and/or voting power over Greenlight Masters through its general partners and/or investment manager.</w:t>
      </w:r>
    </w:p>
    <w:p>
      <w:pPr>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ind w:right="240" w:firstLine="9"/>
        <w:spacing w:after="0" w:line="318" w:lineRule="auto"/>
        <w:tabs>
          <w:tab w:leader="none" w:pos="101"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The Power of Attorney executed by David Einhorn, authorizing the signatory to sign and file this Form 3 on David Einhorn's behalf, filed as Exhibit 99.2 to the Schedule 13G filed with the Securities and Exchange Commission on May 24, 2010 by the reporting persons with respect to the common stock of NCR Corporation, is hereby incorporated by reference.</w:t>
      </w:r>
    </w:p>
    <w:p>
      <w:pPr>
        <w:sectPr>
          <w:pgSz w:w="11900" w:h="16838" w:orient="portrait"/>
          <w:cols w:equalWidth="0" w:num="1">
            <w:col w:w="11320"/>
          </w:cols>
          <w:pgMar w:left="280" w:top="129" w:right="299" w:bottom="1440" w:gutter="0" w:footer="0" w:header="0"/>
        </w:sectPr>
      </w:pPr>
    </w:p>
    <w:p>
      <w:pPr>
        <w:spacing w:after="0" w:line="15" w:lineRule="exact"/>
        <w:rPr>
          <w:sz w:val="20"/>
          <w:szCs w:val="20"/>
          <w:color w:val="auto"/>
        </w:rPr>
      </w:pPr>
    </w:p>
    <w:p>
      <w:pPr>
        <w:ind w:left="6820"/>
        <w:spacing w:after="0"/>
        <w:rPr>
          <w:sz w:val="20"/>
          <w:szCs w:val="20"/>
          <w:color w:val="auto"/>
        </w:rPr>
      </w:pPr>
      <w:r>
        <w:rPr>
          <w:rFonts w:ascii="Arial" w:cs="Arial" w:eastAsia="Arial" w:hAnsi="Arial"/>
          <w:sz w:val="16"/>
          <w:szCs w:val="16"/>
          <w:color w:val="0000FF"/>
        </w:rPr>
        <w:t>/s/ Daniel Roitman *, on behalf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4336415</wp:posOffset>
            </wp:positionH>
            <wp:positionV relativeFrom="paragraph">
              <wp:posOffset>0</wp:posOffset>
            </wp:positionV>
            <wp:extent cx="139954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399540" cy="8890"/>
                    </a:xfrm>
                    <a:prstGeom prst="rect">
                      <a:avLst/>
                    </a:prstGeom>
                    <a:noFill/>
                  </pic:spPr>
                </pic:pic>
              </a:graphicData>
            </a:graphic>
          </wp:anchor>
        </w:drawing>
      </w:r>
    </w:p>
    <w:p>
      <w:pPr>
        <w:spacing w:after="0" w:line="18" w:lineRule="exact"/>
        <w:rPr>
          <w:sz w:val="20"/>
          <w:szCs w:val="20"/>
          <w:color w:val="auto"/>
        </w:rPr>
      </w:pPr>
    </w:p>
    <w:p>
      <w:pPr>
        <w:ind w:left="6820"/>
        <w:spacing w:after="0"/>
        <w:rPr>
          <w:sz w:val="20"/>
          <w:szCs w:val="20"/>
          <w:color w:val="auto"/>
        </w:rPr>
      </w:pPr>
      <w:r>
        <w:rPr>
          <w:rFonts w:ascii="Arial" w:cs="Arial" w:eastAsia="Arial" w:hAnsi="Arial"/>
          <w:sz w:val="18"/>
          <w:szCs w:val="18"/>
          <w:color w:val="0000FF"/>
        </w:rPr>
        <w:t>of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4336415</wp:posOffset>
            </wp:positionH>
            <wp:positionV relativeFrom="paragraph">
              <wp:posOffset>-17780</wp:posOffset>
            </wp:positionV>
            <wp:extent cx="7804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44" w:lineRule="exact"/>
        <w:rPr>
          <w:sz w:val="20"/>
          <w:szCs w:val="20"/>
          <w:color w:val="auto"/>
        </w:rPr>
      </w:pPr>
    </w:p>
    <w:p>
      <w:pPr>
        <w:ind w:left="6820"/>
        <w:spacing w:after="0"/>
        <w:rPr>
          <w:sz w:val="20"/>
          <w:szCs w:val="20"/>
          <w:color w:val="auto"/>
        </w:rPr>
      </w:pPr>
      <w:r>
        <w:rPr>
          <w:rFonts w:ascii="Arial" w:cs="Arial" w:eastAsia="Arial" w:hAnsi="Arial"/>
          <w:sz w:val="14"/>
          <w:szCs w:val="14"/>
          <w:color w:val="auto"/>
        </w:rPr>
        <w:t>** Signature of Reporting Person</w:t>
      </w:r>
    </w:p>
    <w:p>
      <w:pPr>
        <w:spacing w:after="0" w:line="42"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0"/>
          <w:szCs w:val="20"/>
          <w:color w:val="auto"/>
        </w:rPr>
      </w:pPr>
    </w:p>
    <w:p>
      <w:pPr>
        <w:jc w:val="both"/>
        <w:ind w:right="1240" w:firstLine="9"/>
        <w:spacing w:after="0" w:line="350" w:lineRule="auto"/>
        <w:tabs>
          <w:tab w:leader="none" w:pos="14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0"/>
          <w:szCs w:val="20"/>
          <w:color w:val="auto"/>
        </w:rPr>
      </w:pPr>
      <w:r>
        <w:rPr>
          <w:sz w:val="20"/>
          <w:szCs w:val="20"/>
          <w:color w:val="auto"/>
        </w:rPr>
        <w:br w:type="column"/>
      </w:r>
    </w:p>
    <w:p>
      <w:pPr>
        <w:spacing w:after="0" w:line="103" w:lineRule="exact"/>
        <w:rPr>
          <w:sz w:val="20"/>
          <w:szCs w:val="20"/>
          <w:color w:val="auto"/>
        </w:rPr>
      </w:pPr>
    </w:p>
    <w:p>
      <w:pPr>
        <w:spacing w:after="0"/>
        <w:rPr>
          <w:sz w:val="20"/>
          <w:szCs w:val="20"/>
          <w:color w:val="auto"/>
        </w:rPr>
      </w:pPr>
      <w:r>
        <w:rPr>
          <w:rFonts w:ascii="Arial" w:cs="Arial" w:eastAsia="Arial" w:hAnsi="Arial"/>
          <w:sz w:val="15"/>
          <w:szCs w:val="15"/>
          <w:color w:val="0000FF"/>
        </w:rPr>
        <w:t>04/05/2013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pacing w:after="0" w:line="836" w:lineRule="exact"/>
        <w:rPr>
          <w:sz w:val="20"/>
          <w:szCs w:val="20"/>
          <w:color w:val="auto"/>
        </w:rPr>
      </w:pPr>
    </w:p>
    <w:p>
      <w:pPr>
        <w:sectPr>
          <w:pgSz w:w="11900" w:h="16838" w:orient="portrait"/>
          <w:cols w:equalWidth="0" w:num="2">
            <w:col w:w="9040" w:space="80"/>
            <w:col w:w="2200"/>
          </w:cols>
          <w:pgMar w:left="280" w:top="129" w:right="299" w:bottom="1440" w:gutter="0" w:footer="0" w:header="0"/>
          <w:type w:val="continuous"/>
        </w:sect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129" w:right="29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8"/>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1" Type="http://schemas.openxmlformats.org/officeDocument/2006/relationships/hyperlink" Target="http://www.sec.gov/cgi-bin/browse-edgar?action=getcompany&amp;CIK=0001240451"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2019-12-17T16:46:24Z</dcterms:created>
  <dcterms:modified xsi:type="dcterms:W3CDTF">2019-12-17T16:46:24Z</dcterms:modified>
</cp:coreProperties>
</file>