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4040" w:type="dxa"/>
        <w:tblCellMar>
          <w:top w:w="0" w:type="dxa"/>
          <w:left w:w="0" w:type="dxa"/>
          <w:bottom w:w="0" w:type="dxa"/>
          <w:right w:w="0" w:type="dxa"/>
        </w:tblCellMar>
      </w:tblPr>
      <w:tr>
        <w:trPr>
          <w:trHeight w:val="206"/>
        </w:trPr>
        <w:tc>
          <w:tcPr>
            <w:tcW w:w="3160" w:type="dxa"/>
            <w:vAlign w:val="bottom"/>
          </w:tcPr>
          <w:p>
            <w:pPr>
              <w:ind w:left="860"/>
              <w:spacing w:after="0"/>
              <w:rPr>
                <w:sz w:val="20"/>
                <w:szCs w:val="20"/>
                <w:color w:val="auto"/>
              </w:rPr>
            </w:pPr>
            <w:r>
              <w:rPr>
                <w:rFonts w:ascii="Arial" w:cs="Arial" w:eastAsia="Arial" w:hAnsi="Arial"/>
                <w:sz w:val="17"/>
                <w:szCs w:val="17"/>
                <w:b w:val="1"/>
                <w:bCs w:val="1"/>
                <w:color w:val="auto"/>
              </w:rPr>
              <w:t>UNITED STATES</w:t>
            </w:r>
          </w:p>
        </w:tc>
        <w:tc>
          <w:tcPr>
            <w:tcW w:w="20" w:type="dxa"/>
            <w:vAlign w:val="bottom"/>
          </w:tcPr>
          <w:p>
            <w:pPr>
              <w:spacing w:after="0"/>
              <w:rPr>
                <w:sz w:val="17"/>
                <w:szCs w:val="17"/>
                <w:color w:val="auto"/>
              </w:rPr>
            </w:pPr>
          </w:p>
        </w:tc>
        <w:tc>
          <w:tcPr>
            <w:tcW w:w="2360" w:type="dxa"/>
            <w:vAlign w:val="bottom"/>
            <w:gridSpan w:val="2"/>
          </w:tcPr>
          <w:p>
            <w:pPr>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31"/>
        </w:trPr>
        <w:tc>
          <w:tcPr>
            <w:tcW w:w="3160" w:type="dxa"/>
            <w:vAlign w:val="bottom"/>
            <w:vMerge w:val="restart"/>
          </w:tcPr>
          <w:p>
            <w:pPr>
              <w:ind w:left="320"/>
              <w:spacing w:after="0"/>
              <w:rPr>
                <w:sz w:val="20"/>
                <w:szCs w:val="20"/>
                <w:color w:val="auto"/>
              </w:rPr>
            </w:pPr>
            <w:r>
              <w:rPr>
                <w:rFonts w:ascii="Arial" w:cs="Arial" w:eastAsia="Arial" w:hAnsi="Arial"/>
                <w:sz w:val="17"/>
                <w:szCs w:val="17"/>
                <w:b w:val="1"/>
                <w:bCs w:val="1"/>
                <w:color w:val="auto"/>
              </w:rPr>
              <w:t>SECURITIES AND EXCHANGE</w:t>
            </w:r>
          </w:p>
        </w:tc>
        <w:tc>
          <w:tcPr>
            <w:tcW w:w="20" w:type="dxa"/>
            <w:vAlign w:val="bottom"/>
          </w:tcPr>
          <w:p>
            <w:pPr>
              <w:spacing w:after="0"/>
              <w:rPr>
                <w:sz w:val="2"/>
                <w:szCs w:val="2"/>
                <w:color w:val="auto"/>
              </w:rPr>
            </w:pPr>
          </w:p>
        </w:tc>
        <w:tc>
          <w:tcPr>
            <w:tcW w:w="2340" w:type="dxa"/>
            <w:vAlign w:val="bottom"/>
            <w:vMerge w:val="restart"/>
          </w:tcPr>
          <w:p>
            <w:pPr>
              <w:spacing w:after="0"/>
              <w:rPr>
                <w:sz w:val="20"/>
                <w:szCs w:val="20"/>
                <w:color w:val="auto"/>
              </w:rPr>
            </w:pPr>
            <w:r>
              <w:rPr>
                <w:rFonts w:ascii="Arial" w:cs="Arial" w:eastAsia="Arial" w:hAnsi="Arial"/>
                <w:sz w:val="17"/>
                <w:szCs w:val="17"/>
                <w:color w:val="auto"/>
              </w:rPr>
              <w:t>OMB Number:3235-0145</w:t>
            </w: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5"/>
        </w:trPr>
        <w:tc>
          <w:tcPr>
            <w:tcW w:w="3160" w:type="dxa"/>
            <w:vAlign w:val="bottom"/>
            <w:vMerge w:val="continue"/>
          </w:tcPr>
          <w:p>
            <w:pPr>
              <w:spacing w:after="0"/>
              <w:rPr>
                <w:sz w:val="15"/>
                <w:szCs w:val="15"/>
                <w:color w:val="auto"/>
              </w:rPr>
            </w:pPr>
          </w:p>
        </w:tc>
        <w:tc>
          <w:tcPr>
            <w:tcW w:w="20" w:type="dxa"/>
            <w:vAlign w:val="bottom"/>
            <w:shd w:val="clear" w:color="auto" w:fill="000000"/>
          </w:tcPr>
          <w:p>
            <w:pPr>
              <w:spacing w:after="0"/>
              <w:rPr>
                <w:sz w:val="15"/>
                <w:szCs w:val="15"/>
                <w:color w:val="auto"/>
              </w:rPr>
            </w:pPr>
          </w:p>
        </w:tc>
        <w:tc>
          <w:tcPr>
            <w:tcW w:w="2340" w:type="dxa"/>
            <w:vAlign w:val="bottom"/>
            <w:vMerge w:val="continue"/>
          </w:tcPr>
          <w:p>
            <w:pPr>
              <w:spacing w:after="0"/>
              <w:rPr>
                <w:sz w:val="15"/>
                <w:szCs w:val="15"/>
                <w:color w:val="auto"/>
              </w:rPr>
            </w:pPr>
          </w:p>
        </w:tc>
        <w:tc>
          <w:tcPr>
            <w:tcW w:w="20" w:type="dxa"/>
            <w:vAlign w:val="bottom"/>
            <w:shd w:val="clear" w:color="auto" w:fill="000000"/>
          </w:tcPr>
          <w:p>
            <w:pPr>
              <w:spacing w:after="0"/>
              <w:rPr>
                <w:sz w:val="15"/>
                <w:szCs w:val="15"/>
                <w:color w:val="auto"/>
              </w:rPr>
            </w:pPr>
          </w:p>
        </w:tc>
        <w:tc>
          <w:tcPr>
            <w:tcW w:w="0" w:type="dxa"/>
            <w:vAlign w:val="bottom"/>
          </w:tcPr>
          <w:p>
            <w:pPr>
              <w:spacing w:after="0"/>
              <w:rPr>
                <w:sz w:val="1"/>
                <w:szCs w:val="1"/>
                <w:color w:val="auto"/>
              </w:rPr>
            </w:pPr>
          </w:p>
        </w:tc>
      </w:tr>
      <w:tr>
        <w:trPr>
          <w:trHeight w:val="206"/>
        </w:trPr>
        <w:tc>
          <w:tcPr>
            <w:tcW w:w="3160" w:type="dxa"/>
            <w:vAlign w:val="bottom"/>
          </w:tcPr>
          <w:p>
            <w:pPr>
              <w:spacing w:after="0"/>
              <w:rPr>
                <w:sz w:val="20"/>
                <w:szCs w:val="20"/>
                <w:color w:val="auto"/>
              </w:rPr>
            </w:pPr>
            <w:r>
              <w:rPr>
                <w:rFonts w:ascii="Arial" w:cs="Arial" w:eastAsia="Arial" w:hAnsi="Arial"/>
                <w:sz w:val="17"/>
                <w:szCs w:val="17"/>
                <w:b w:val="1"/>
                <w:bCs w:val="1"/>
                <w:color w:val="auto"/>
              </w:rPr>
              <w:t>COMMISSION</w:t>
            </w:r>
          </w:p>
        </w:tc>
        <w:tc>
          <w:tcPr>
            <w:tcW w:w="20" w:type="dxa"/>
            <w:vAlign w:val="bottom"/>
            <w:shd w:val="clear" w:color="auto" w:fill="000000"/>
          </w:tcPr>
          <w:p>
            <w:pPr>
              <w:spacing w:after="0"/>
              <w:rPr>
                <w:sz w:val="17"/>
                <w:szCs w:val="17"/>
                <w:color w:val="auto"/>
              </w:rPr>
            </w:pPr>
          </w:p>
        </w:tc>
        <w:tc>
          <w:tcPr>
            <w:tcW w:w="2340" w:type="dxa"/>
            <w:vAlign w:val="bottom"/>
          </w:tcPr>
          <w:p>
            <w:pPr>
              <w:spacing w:after="0"/>
              <w:rPr>
                <w:sz w:val="20"/>
                <w:szCs w:val="20"/>
                <w:color w:val="auto"/>
              </w:rPr>
            </w:pPr>
            <w:r>
              <w:rPr>
                <w:rFonts w:ascii="Arial" w:cs="Arial" w:eastAsia="Arial" w:hAnsi="Arial"/>
                <w:sz w:val="17"/>
                <w:szCs w:val="17"/>
                <w:color w:val="auto"/>
              </w:rPr>
              <w:t>Expires: February 28, 2009</w:t>
            </w:r>
          </w:p>
        </w:tc>
        <w:tc>
          <w:tcPr>
            <w:tcW w:w="20" w:type="dxa"/>
            <w:vAlign w:val="bottom"/>
            <w:shd w:val="clear" w:color="auto" w:fill="000000"/>
          </w:tcPr>
          <w:p>
            <w:pPr>
              <w:spacing w:after="0"/>
              <w:rPr>
                <w:sz w:val="17"/>
                <w:szCs w:val="17"/>
                <w:color w:val="auto"/>
              </w:rPr>
            </w:pPr>
          </w:p>
        </w:tc>
        <w:tc>
          <w:tcPr>
            <w:tcW w:w="0" w:type="dxa"/>
            <w:vAlign w:val="bottom"/>
          </w:tcPr>
          <w:p>
            <w:pPr>
              <w:spacing w:after="0"/>
              <w:rPr>
                <w:sz w:val="1"/>
                <w:szCs w:val="1"/>
                <w:color w:val="auto"/>
              </w:rPr>
            </w:pPr>
          </w:p>
        </w:tc>
      </w:tr>
      <w:tr>
        <w:trPr>
          <w:trHeight w:val="225"/>
        </w:trPr>
        <w:tc>
          <w:tcPr>
            <w:tcW w:w="3160" w:type="dxa"/>
            <w:vAlign w:val="bottom"/>
          </w:tcPr>
          <w:p>
            <w:pPr>
              <w:ind w:left="600"/>
              <w:spacing w:after="0"/>
              <w:rPr>
                <w:sz w:val="20"/>
                <w:szCs w:val="20"/>
                <w:color w:val="auto"/>
              </w:rPr>
            </w:pPr>
            <w:r>
              <w:rPr>
                <w:rFonts w:ascii="Arial" w:cs="Arial" w:eastAsia="Arial" w:hAnsi="Arial"/>
                <w:sz w:val="17"/>
                <w:szCs w:val="17"/>
                <w:b w:val="1"/>
                <w:bCs w:val="1"/>
                <w:color w:val="auto"/>
              </w:rPr>
              <w:t>Washington, D.C. 20549</w:t>
            </w:r>
          </w:p>
        </w:tc>
        <w:tc>
          <w:tcPr>
            <w:tcW w:w="20" w:type="dxa"/>
            <w:vAlign w:val="bottom"/>
            <w:shd w:val="clear" w:color="auto" w:fill="000000"/>
          </w:tcPr>
          <w:p>
            <w:pPr>
              <w:spacing w:after="0"/>
              <w:rPr>
                <w:sz w:val="19"/>
                <w:szCs w:val="19"/>
                <w:color w:val="auto"/>
              </w:rPr>
            </w:pPr>
          </w:p>
        </w:tc>
        <w:tc>
          <w:tcPr>
            <w:tcW w:w="2340" w:type="dxa"/>
            <w:vAlign w:val="bottom"/>
          </w:tcPr>
          <w:p>
            <w:pPr>
              <w:spacing w:after="0"/>
              <w:rPr>
                <w:sz w:val="20"/>
                <w:szCs w:val="20"/>
                <w:color w:val="auto"/>
              </w:rPr>
            </w:pPr>
            <w:r>
              <w:rPr>
                <w:rFonts w:ascii="Arial" w:cs="Arial" w:eastAsia="Arial" w:hAnsi="Arial"/>
                <w:sz w:val="17"/>
                <w:szCs w:val="17"/>
                <w:color w:val="auto"/>
              </w:rPr>
              <w:t>Estimated average burden</w:t>
            </w:r>
          </w:p>
        </w:tc>
        <w:tc>
          <w:tcPr>
            <w:tcW w:w="20" w:type="dxa"/>
            <w:vAlign w:val="bottom"/>
            <w:shd w:val="clear" w:color="auto" w:fill="000000"/>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3160" w:type="dxa"/>
            <w:vAlign w:val="bottom"/>
          </w:tcPr>
          <w:p>
            <w:pPr>
              <w:spacing w:after="0"/>
              <w:rPr>
                <w:sz w:val="18"/>
                <w:szCs w:val="18"/>
                <w:color w:val="auto"/>
              </w:rPr>
            </w:pPr>
          </w:p>
        </w:tc>
        <w:tc>
          <w:tcPr>
            <w:tcW w:w="20" w:type="dxa"/>
            <w:vAlign w:val="bottom"/>
            <w:tcBorders>
              <w:bottom w:val="single" w:sz="8" w:color="auto"/>
            </w:tcBorders>
            <w:shd w:val="clear" w:color="auto" w:fill="000000"/>
          </w:tcPr>
          <w:p>
            <w:pPr>
              <w:spacing w:after="0"/>
              <w:rPr>
                <w:sz w:val="18"/>
                <w:szCs w:val="18"/>
                <w:color w:val="auto"/>
              </w:rPr>
            </w:pPr>
          </w:p>
        </w:tc>
        <w:tc>
          <w:tcPr>
            <w:tcW w:w="2340" w:type="dxa"/>
            <w:vAlign w:val="bottom"/>
            <w:tcBorders>
              <w:bottom w:val="single" w:sz="8" w:color="auto"/>
            </w:tcBorders>
          </w:tcPr>
          <w:p>
            <w:pPr>
              <w:spacing w:after="0"/>
              <w:rPr>
                <w:sz w:val="20"/>
                <w:szCs w:val="20"/>
                <w:color w:val="auto"/>
              </w:rPr>
            </w:pPr>
            <w:r>
              <w:rPr>
                <w:rFonts w:ascii="Arial" w:cs="Arial" w:eastAsia="Arial" w:hAnsi="Arial"/>
                <w:sz w:val="17"/>
                <w:szCs w:val="17"/>
                <w:color w:val="auto"/>
              </w:rPr>
              <w:t>hours per response… 10.4</w:t>
            </w:r>
          </w:p>
        </w:tc>
        <w:tc>
          <w:tcPr>
            <w:tcW w:w="20" w:type="dxa"/>
            <w:vAlign w:val="bottom"/>
            <w:tcBorders>
              <w:bottom w:val="single" w:sz="8" w:color="auto"/>
            </w:tcBorders>
            <w:shd w:val="clear" w:color="auto" w:fill="000000"/>
          </w:tcPr>
          <w:p>
            <w:pPr>
              <w:spacing w:after="0"/>
              <w:rPr>
                <w:sz w:val="18"/>
                <w:szCs w:val="18"/>
                <w:color w:val="auto"/>
              </w:rPr>
            </w:pPr>
          </w:p>
        </w:tc>
        <w:tc>
          <w:tcPr>
            <w:tcW w:w="0" w:type="dxa"/>
            <w:vAlign w:val="bottom"/>
          </w:tcPr>
          <w:p>
            <w:pPr>
              <w:spacing w:after="0"/>
              <w:rPr>
                <w:sz w:val="1"/>
                <w:szCs w:val="1"/>
                <w:color w:val="auto"/>
              </w:rPr>
            </w:pPr>
          </w:p>
        </w:tc>
      </w:tr>
      <w:tr>
        <w:trPr>
          <w:trHeight w:val="663"/>
        </w:trPr>
        <w:tc>
          <w:tcPr>
            <w:tcW w:w="3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360" w:type="dxa"/>
            <w:vAlign w:val="bottom"/>
            <w:gridSpan w:val="2"/>
          </w:tcPr>
          <w:p>
            <w:pPr>
              <w:ind w:left="780"/>
              <w:spacing w:after="0"/>
              <w:rPr>
                <w:sz w:val="20"/>
                <w:szCs w:val="20"/>
                <w:color w:val="auto"/>
              </w:rPr>
            </w:pPr>
            <w:r>
              <w:rPr>
                <w:rFonts w:ascii="Arial" w:cs="Arial" w:eastAsia="Arial" w:hAnsi="Arial"/>
                <w:sz w:val="17"/>
                <w:szCs w:val="17"/>
                <w:b w:val="1"/>
                <w:bCs w:val="1"/>
                <w:color w:val="auto"/>
              </w:rPr>
              <w:t>SCHEDULE 13G</w:t>
            </w:r>
          </w:p>
        </w:tc>
        <w:tc>
          <w:tcPr>
            <w:tcW w:w="0" w:type="dxa"/>
            <w:vAlign w:val="bottom"/>
          </w:tcPr>
          <w:p>
            <w:pPr>
              <w:spacing w:after="0"/>
              <w:rPr>
                <w:sz w:val="1"/>
                <w:szCs w:val="1"/>
                <w:color w:val="auto"/>
              </w:rPr>
            </w:pPr>
          </w:p>
        </w:tc>
      </w:tr>
    </w:tbl>
    <w:p>
      <w:pPr>
        <w:spacing w:after="0" w:line="216"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4706620</wp:posOffset>
            </wp:positionH>
            <wp:positionV relativeFrom="page">
              <wp:posOffset>289560</wp:posOffset>
            </wp:positionV>
            <wp:extent cx="1541780" cy="1644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541780" cy="164465"/>
                    </a:xfrm>
                    <a:prstGeom prst="rect">
                      <a:avLst/>
                    </a:prstGeom>
                    <a:noFill/>
                  </pic:spPr>
                </pic:pic>
              </a:graphicData>
            </a:graphic>
          </wp:anchor>
        </w:drawing>
      </w:r>
    </w:p>
    <w:p>
      <w:pPr>
        <w:jc w:val="center"/>
        <w:ind w:right="-159"/>
        <w:spacing w:after="0"/>
        <w:rPr>
          <w:sz w:val="20"/>
          <w:szCs w:val="20"/>
          <w:color w:val="auto"/>
        </w:rPr>
      </w:pPr>
      <w:r>
        <w:rPr>
          <w:rFonts w:ascii="Arial" w:cs="Arial" w:eastAsia="Arial" w:hAnsi="Arial"/>
          <w:sz w:val="17"/>
          <w:szCs w:val="17"/>
          <w:b w:val="1"/>
          <w:bCs w:val="1"/>
          <w:color w:val="auto"/>
        </w:rPr>
        <w:t>Under the Securities Exchange Act of 1934</w:t>
      </w:r>
    </w:p>
    <w:p>
      <w:pPr>
        <w:spacing w:after="0" w:line="243"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(Amendment No. 1)*</w:t>
      </w:r>
    </w:p>
    <w:p>
      <w:pPr>
        <w:spacing w:after="0" w:line="200" w:lineRule="exact"/>
        <w:rPr>
          <w:sz w:val="24"/>
          <w:szCs w:val="24"/>
          <w:color w:val="auto"/>
        </w:rPr>
      </w:pPr>
    </w:p>
    <w:p>
      <w:pPr>
        <w:spacing w:after="0" w:line="276"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10"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(Name of Issuer)</w:t>
      </w:r>
    </w:p>
    <w:p>
      <w:pPr>
        <w:spacing w:after="0" w:line="237"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Common shares, par value $0.002 per share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10"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(Title of Class of Securities)</w:t>
      </w:r>
    </w:p>
    <w:p>
      <w:pPr>
        <w:spacing w:after="0" w:line="237"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G5876H105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10"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(CUSIP Number)</w:t>
      </w:r>
    </w:p>
    <w:p>
      <w:pPr>
        <w:spacing w:after="0" w:line="237" w:lineRule="exact"/>
        <w:rPr>
          <w:sz w:val="24"/>
          <w:szCs w:val="24"/>
          <w:color w:val="auto"/>
        </w:rPr>
      </w:pPr>
    </w:p>
    <w:p>
      <w:pPr>
        <w:jc w:val="center"/>
        <w:ind w:right="-159"/>
        <w:spacing w:after="0"/>
        <w:rPr>
          <w:sz w:val="20"/>
          <w:szCs w:val="20"/>
          <w:color w:val="auto"/>
        </w:rPr>
      </w:pPr>
      <w:r>
        <w:rPr>
          <w:rFonts w:ascii="Arial" w:cs="Arial" w:eastAsia="Arial" w:hAnsi="Arial"/>
          <w:sz w:val="17"/>
          <w:szCs w:val="17"/>
          <w:b w:val="1"/>
          <w:bCs w:val="1"/>
          <w:color w:val="auto"/>
        </w:rPr>
        <w:t>December 31, 2012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18415</wp:posOffset>
            </wp:positionV>
            <wp:extent cx="72529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10" w:lineRule="exact"/>
        <w:rPr>
          <w:sz w:val="24"/>
          <w:szCs w:val="24"/>
          <w:color w:val="auto"/>
        </w:rPr>
      </w:pPr>
    </w:p>
    <w:p>
      <w:pPr>
        <w:jc w:val="center"/>
        <w:ind w:right="-159"/>
        <w:spacing w:after="0"/>
        <w:rPr>
          <w:sz w:val="20"/>
          <w:szCs w:val="20"/>
          <w:color w:val="auto"/>
        </w:rPr>
      </w:pPr>
      <w:r>
        <w:rPr>
          <w:rFonts w:ascii="Arial" w:cs="Arial" w:eastAsia="Arial" w:hAnsi="Arial"/>
          <w:sz w:val="17"/>
          <w:szCs w:val="17"/>
          <w:color w:val="auto"/>
        </w:rPr>
        <w:t>(Date of Event which Requires Filing of this Statement)</w:t>
      </w:r>
    </w:p>
    <w:p>
      <w:pPr>
        <w:spacing w:after="0" w:line="243" w:lineRule="exact"/>
        <w:rPr>
          <w:sz w:val="24"/>
          <w:szCs w:val="24"/>
          <w:color w:val="auto"/>
        </w:rPr>
      </w:pPr>
    </w:p>
    <w:p>
      <w:pPr>
        <w:spacing w:after="0"/>
        <w:rPr>
          <w:sz w:val="20"/>
          <w:szCs w:val="20"/>
          <w:color w:val="auto"/>
        </w:rPr>
      </w:pPr>
      <w:r>
        <w:rPr>
          <w:rFonts w:ascii="Arial" w:cs="Arial" w:eastAsia="Arial" w:hAnsi="Arial"/>
          <w:sz w:val="17"/>
          <w:szCs w:val="17"/>
          <w:color w:val="auto"/>
        </w:rPr>
        <w:t>Check the appropriate box to designate the rule pursuant to which this Schedule is filed:</w:t>
      </w:r>
    </w:p>
    <w:p>
      <w:pPr>
        <w:spacing w:after="0" w:line="243" w:lineRule="exact"/>
        <w:rPr>
          <w:sz w:val="24"/>
          <w:szCs w:val="24"/>
          <w:color w:val="auto"/>
        </w:rPr>
      </w:pPr>
    </w:p>
    <w:p>
      <w:pPr>
        <w:ind w:left="40"/>
        <w:spacing w:after="0"/>
        <w:tabs>
          <w:tab w:leader="none" w:pos="700" w:val="left"/>
        </w:tabs>
        <w:rPr>
          <w:sz w:val="20"/>
          <w:szCs w:val="20"/>
          <w:color w:val="auto"/>
        </w:rPr>
      </w:pPr>
      <w:r>
        <w:rPr>
          <w:rFonts w:ascii="Arial" w:cs="Arial" w:eastAsia="Arial" w:hAnsi="Arial"/>
          <w:sz w:val="17"/>
          <w:szCs w:val="17"/>
          <w:color w:val="auto"/>
        </w:rPr>
        <w:t>[ ]</w:t>
      </w:r>
      <w:r>
        <w:rPr>
          <w:sz w:val="20"/>
          <w:szCs w:val="20"/>
          <w:color w:val="auto"/>
        </w:rPr>
        <w:tab/>
      </w:r>
      <w:r>
        <w:rPr>
          <w:rFonts w:ascii="Arial" w:cs="Arial" w:eastAsia="Arial" w:hAnsi="Arial"/>
          <w:sz w:val="15"/>
          <w:szCs w:val="15"/>
          <w:color w:val="auto"/>
        </w:rPr>
        <w:t>Rule 13d-1(b)</w:t>
      </w:r>
    </w:p>
    <w:p>
      <w:pPr>
        <w:spacing w:after="0" w:line="243" w:lineRule="exact"/>
        <w:rPr>
          <w:sz w:val="24"/>
          <w:szCs w:val="24"/>
          <w:color w:val="auto"/>
        </w:rPr>
      </w:pPr>
    </w:p>
    <w:p>
      <w:pPr>
        <w:ind w:left="720" w:hanging="674"/>
        <w:spacing w:after="0"/>
        <w:tabs>
          <w:tab w:leader="none" w:pos="720" w:val="left"/>
        </w:tabs>
        <w:numPr>
          <w:ilvl w:val="1"/>
          <w:numId w:val="1"/>
        </w:numPr>
        <w:rPr>
          <w:rFonts w:ascii="Arial" w:cs="Arial" w:eastAsia="Arial" w:hAnsi="Arial"/>
          <w:sz w:val="17"/>
          <w:szCs w:val="17"/>
          <w:color w:val="auto"/>
        </w:rPr>
      </w:pPr>
      <w:r>
        <w:rPr>
          <w:rFonts w:ascii="Arial" w:cs="Arial" w:eastAsia="Arial" w:hAnsi="Arial"/>
          <w:sz w:val="17"/>
          <w:szCs w:val="17"/>
          <w:color w:val="auto"/>
        </w:rPr>
        <w:t>Rule 13d-1(c)</w:t>
      </w:r>
    </w:p>
    <w:p>
      <w:pPr>
        <w:spacing w:after="0" w:line="243" w:lineRule="exact"/>
        <w:rPr>
          <w:rFonts w:ascii="Arial" w:cs="Arial" w:eastAsia="Arial" w:hAnsi="Arial"/>
          <w:sz w:val="17"/>
          <w:szCs w:val="17"/>
          <w:color w:val="auto"/>
        </w:rPr>
      </w:pPr>
    </w:p>
    <w:p>
      <w:pPr>
        <w:ind w:left="40"/>
        <w:spacing w:after="0"/>
        <w:rPr>
          <w:rFonts w:ascii="Arial" w:cs="Arial" w:eastAsia="Arial" w:hAnsi="Arial"/>
          <w:sz w:val="17"/>
          <w:szCs w:val="17"/>
          <w:color w:val="auto"/>
        </w:rPr>
      </w:pPr>
      <w:r>
        <w:rPr>
          <w:rFonts w:ascii="Arial" w:cs="Arial" w:eastAsia="Arial" w:hAnsi="Arial"/>
          <w:sz w:val="17"/>
          <w:szCs w:val="17"/>
          <w:color w:val="auto"/>
        </w:rPr>
        <w:t>[ ]</w:t>
      </w:r>
      <w:r>
        <w:rPr>
          <w:rFonts w:ascii="Arial" w:cs="Arial" w:eastAsia="Arial" w:hAnsi="Arial"/>
          <w:sz w:val="15"/>
          <w:szCs w:val="15"/>
          <w:color w:val="auto"/>
        </w:rPr>
        <w:t>Rule 13d-1(d)</w:t>
      </w:r>
    </w:p>
    <w:p>
      <w:pPr>
        <w:spacing w:after="0" w:line="243" w:lineRule="exact"/>
        <w:rPr>
          <w:rFonts w:ascii="Arial" w:cs="Arial" w:eastAsia="Arial" w:hAnsi="Arial"/>
          <w:sz w:val="17"/>
          <w:szCs w:val="17"/>
          <w:color w:val="auto"/>
        </w:rPr>
      </w:pPr>
    </w:p>
    <w:p>
      <w:pPr>
        <w:jc w:val="both"/>
        <w:spacing w:after="0" w:line="266" w:lineRule="auto"/>
        <w:rPr>
          <w:rFonts w:ascii="Arial" w:cs="Arial" w:eastAsia="Arial" w:hAnsi="Arial"/>
          <w:sz w:val="17"/>
          <w:szCs w:val="17"/>
          <w:color w:val="auto"/>
        </w:rPr>
      </w:pPr>
      <w:r>
        <w:rPr>
          <w:rFonts w:ascii="Arial" w:cs="Arial" w:eastAsia="Arial" w:hAnsi="Arial"/>
          <w:sz w:val="17"/>
          <w:szCs w:val="17"/>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 Beneficial ownership information contained herein is given as of the date listed above.</w:t>
      </w:r>
    </w:p>
    <w:p>
      <w:pPr>
        <w:spacing w:after="0" w:line="202" w:lineRule="exact"/>
        <w:rPr>
          <w:sz w:val="24"/>
          <w:szCs w:val="24"/>
          <w:color w:val="auto"/>
        </w:rPr>
      </w:pPr>
    </w:p>
    <w:p>
      <w:pPr>
        <w:ind w:firstLine="620"/>
        <w:spacing w:after="0" w:line="31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504825</wp:posOffset>
            </wp:positionV>
            <wp:extent cx="7257415" cy="209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260"/>
          </w:cols>
          <w:pgMar w:left="240" w:top="457" w:right="399" w:bottom="1440" w:gutter="0" w:footer="0" w:header="0"/>
        </w:sectPr>
      </w:pPr>
    </w:p>
    <w:bookmarkStart w:id="1" w:name="page2"/>
    <w:bookmarkEnd w:id="1"/>
    <w:p>
      <w:pPr>
        <w:ind w:left="460" w:right="8940" w:hanging="457"/>
        <w:spacing w:after="0" w:line="296" w:lineRule="auto"/>
        <w:tabs>
          <w:tab w:leader="none" w:pos="460" w:val="left"/>
        </w:tabs>
        <w:numPr>
          <w:ilvl w:val="0"/>
          <w:numId w:val="2"/>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474345</wp:posOffset>
            </wp:positionV>
            <wp:extent cx="72529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Greenlight Capital,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460" w:hanging="457"/>
        <w:spacing w:after="0"/>
        <w:tabs>
          <w:tab w:leader="none" w:pos="460" w:val="left"/>
        </w:tabs>
        <w:numPr>
          <w:ilvl w:val="0"/>
          <w:numId w:val="3"/>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140" w:hanging="672"/>
        <w:spacing w:after="0"/>
        <w:tabs>
          <w:tab w:leader="none" w:pos="1140" w:val="left"/>
        </w:tabs>
        <w:numPr>
          <w:ilvl w:val="1"/>
          <w:numId w:val="3"/>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140" w:hanging="672"/>
        <w:spacing w:after="0"/>
        <w:tabs>
          <w:tab w:leader="none" w:pos="1140" w:val="left"/>
        </w:tabs>
        <w:numPr>
          <w:ilvl w:val="1"/>
          <w:numId w:val="3"/>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460" w:hanging="457"/>
        <w:spacing w:after="0"/>
        <w:tabs>
          <w:tab w:leader="none" w:pos="460" w:val="left"/>
        </w:tabs>
        <w:numPr>
          <w:ilvl w:val="0"/>
          <w:numId w:val="4"/>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780" w:right="8400" w:hanging="777"/>
        <w:spacing w:after="0" w:line="272" w:lineRule="auto"/>
        <w:tabs>
          <w:tab w:leader="none" w:pos="470" w:val="left"/>
        </w:tabs>
        <w:numPr>
          <w:ilvl w:val="0"/>
          <w:numId w:val="5"/>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182"/>
        </w:trPr>
        <w:tc>
          <w:tcPr>
            <w:tcW w:w="1380" w:type="dxa"/>
            <w:vAlign w:val="bottom"/>
            <w:tcBorders>
              <w:top w:val="single" w:sz="8" w:color="auto"/>
            </w:tcBorders>
          </w:tcPr>
          <w:p>
            <w:pPr>
              <w:jc w:val="center"/>
              <w:spacing w:after="0" w:line="182" w:lineRule="exact"/>
              <w:rPr>
                <w:sz w:val="20"/>
                <w:szCs w:val="20"/>
                <w:color w:val="auto"/>
              </w:rPr>
            </w:pPr>
            <w:r>
              <w:rPr>
                <w:rFonts w:ascii="Arial" w:cs="Arial" w:eastAsia="Arial" w:hAnsi="Arial"/>
                <w:sz w:val="17"/>
                <w:szCs w:val="17"/>
                <w:color w:val="auto"/>
                <w:w w:val="92"/>
              </w:rPr>
              <w:t>Number</w:t>
            </w:r>
          </w:p>
        </w:tc>
        <w:tc>
          <w:tcPr>
            <w:tcW w:w="180" w:type="dxa"/>
            <w:vAlign w:val="bottom"/>
            <w:tcBorders>
              <w:top w:val="single" w:sz="8" w:color="auto"/>
            </w:tcBorders>
          </w:tcPr>
          <w:p>
            <w:pPr>
              <w:jc w:val="right"/>
              <w:spacing w:after="0" w:line="182" w:lineRule="exact"/>
              <w:rPr>
                <w:sz w:val="20"/>
                <w:szCs w:val="20"/>
                <w:color w:val="auto"/>
              </w:rPr>
            </w:pPr>
            <w:r>
              <w:rPr>
                <w:rFonts w:ascii="Arial" w:cs="Arial" w:eastAsia="Arial" w:hAnsi="Arial"/>
                <w:sz w:val="17"/>
                <w:szCs w:val="17"/>
                <w:color w:val="auto"/>
                <w:w w:val="84"/>
              </w:rPr>
              <w:t>5</w:t>
            </w:r>
          </w:p>
        </w:tc>
        <w:tc>
          <w:tcPr>
            <w:tcW w:w="9860" w:type="dxa"/>
            <w:vAlign w:val="bottom"/>
            <w:tcBorders>
              <w:top w:val="single" w:sz="8" w:color="auto"/>
            </w:tcBorders>
          </w:tcPr>
          <w:p>
            <w:pPr>
              <w:ind w:left="80"/>
              <w:spacing w:after="0" w:line="182" w:lineRule="exact"/>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217"/>
        </w:trPr>
        <w:tc>
          <w:tcPr>
            <w:tcW w:w="1380" w:type="dxa"/>
            <w:vAlign w:val="bottom"/>
          </w:tcPr>
          <w:p>
            <w:pPr>
              <w:jc w:val="center"/>
              <w:spacing w:after="0"/>
              <w:rPr>
                <w:sz w:val="20"/>
                <w:szCs w:val="20"/>
                <w:color w:val="auto"/>
              </w:rPr>
            </w:pPr>
            <w:r>
              <w:rPr>
                <w:rFonts w:ascii="Arial" w:cs="Arial" w:eastAsia="Arial" w:hAnsi="Arial"/>
                <w:sz w:val="17"/>
                <w:szCs w:val="17"/>
                <w:color w:val="auto"/>
                <w:w w:val="87"/>
              </w:rPr>
              <w:t>of Shares</w:t>
            </w: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176"/>
        </w:trPr>
        <w:tc>
          <w:tcPr>
            <w:tcW w:w="1380" w:type="dxa"/>
            <w:vAlign w:val="bottom"/>
          </w:tcPr>
          <w:p>
            <w:pPr>
              <w:jc w:val="center"/>
              <w:spacing w:after="0" w:line="176" w:lineRule="exact"/>
              <w:rPr>
                <w:sz w:val="20"/>
                <w:szCs w:val="20"/>
                <w:color w:val="auto"/>
              </w:rPr>
            </w:pPr>
            <w:r>
              <w:rPr>
                <w:rFonts w:ascii="Arial" w:cs="Arial" w:eastAsia="Arial" w:hAnsi="Arial"/>
                <w:sz w:val="17"/>
                <w:szCs w:val="17"/>
                <w:color w:val="auto"/>
                <w:w w:val="97"/>
              </w:rPr>
              <w:t>Beneficially</w:t>
            </w:r>
          </w:p>
        </w:tc>
        <w:tc>
          <w:tcPr>
            <w:tcW w:w="180" w:type="dxa"/>
            <w:vAlign w:val="bottom"/>
          </w:tcPr>
          <w:p>
            <w:pPr>
              <w:jc w:val="right"/>
              <w:spacing w:after="0" w:line="176" w:lineRule="exact"/>
              <w:rPr>
                <w:sz w:val="20"/>
                <w:szCs w:val="20"/>
                <w:color w:val="auto"/>
              </w:rPr>
            </w:pPr>
            <w:r>
              <w:rPr>
                <w:rFonts w:ascii="Arial" w:cs="Arial" w:eastAsia="Arial" w:hAnsi="Arial"/>
                <w:sz w:val="17"/>
                <w:szCs w:val="17"/>
                <w:color w:val="auto"/>
                <w:w w:val="84"/>
              </w:rPr>
              <w:t>6</w:t>
            </w:r>
          </w:p>
        </w:tc>
        <w:tc>
          <w:tcPr>
            <w:tcW w:w="9860" w:type="dxa"/>
            <w:vAlign w:val="bottom"/>
          </w:tcPr>
          <w:p>
            <w:pPr>
              <w:ind w:left="80"/>
              <w:spacing w:after="0" w:line="176"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1"/>
              </w:rPr>
              <w:t>Owned by</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13,311,202 shares**</w:t>
            </w:r>
          </w:p>
        </w:tc>
        <w:tc>
          <w:tcPr>
            <w:tcW w:w="0" w:type="dxa"/>
            <w:vAlign w:val="bottom"/>
          </w:tcPr>
          <w:p>
            <w:pPr>
              <w:spacing w:after="0"/>
              <w:rPr>
                <w:sz w:val="1"/>
                <w:szCs w:val="1"/>
                <w:color w:val="auto"/>
              </w:rPr>
            </w:pPr>
          </w:p>
        </w:tc>
      </w:tr>
      <w:tr>
        <w:trPr>
          <w:trHeight w:val="25"/>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87"/>
              </w:rPr>
              <w:t>Each</w:t>
            </w:r>
          </w:p>
        </w:tc>
        <w:tc>
          <w:tcPr>
            <w:tcW w:w="180" w:type="dxa"/>
            <w:vAlign w:val="bottom"/>
            <w:tcBorders>
              <w:bottom w:val="single" w:sz="8" w:color="auto"/>
            </w:tcBorders>
          </w:tcPr>
          <w:p>
            <w:pPr>
              <w:spacing w:after="0"/>
              <w:rPr>
                <w:sz w:val="2"/>
                <w:szCs w:val="2"/>
                <w:color w:val="auto"/>
              </w:rPr>
            </w:pPr>
          </w:p>
        </w:tc>
        <w:tc>
          <w:tcPr>
            <w:tcW w:w="98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1"/>
        </w:trPr>
        <w:tc>
          <w:tcPr>
            <w:tcW w:w="1380" w:type="dxa"/>
            <w:vAlign w:val="bottom"/>
            <w:vMerge w:val="continue"/>
          </w:tcPr>
          <w:p>
            <w:pPr>
              <w:spacing w:after="0"/>
              <w:rPr>
                <w:sz w:val="14"/>
                <w:szCs w:val="14"/>
                <w:color w:val="auto"/>
              </w:rPr>
            </w:pPr>
          </w:p>
        </w:tc>
        <w:tc>
          <w:tcPr>
            <w:tcW w:w="180" w:type="dxa"/>
            <w:vAlign w:val="bottom"/>
          </w:tcPr>
          <w:p>
            <w:pPr>
              <w:jc w:val="right"/>
              <w:spacing w:after="0" w:line="161" w:lineRule="exact"/>
              <w:rPr>
                <w:sz w:val="20"/>
                <w:szCs w:val="20"/>
                <w:color w:val="auto"/>
              </w:rPr>
            </w:pPr>
            <w:r>
              <w:rPr>
                <w:rFonts w:ascii="Arial" w:cs="Arial" w:eastAsia="Arial" w:hAnsi="Arial"/>
                <w:sz w:val="17"/>
                <w:szCs w:val="17"/>
                <w:color w:val="auto"/>
                <w:w w:val="84"/>
              </w:rPr>
              <w:t>7</w:t>
            </w:r>
          </w:p>
        </w:tc>
        <w:tc>
          <w:tcPr>
            <w:tcW w:w="9860" w:type="dxa"/>
            <w:vAlign w:val="bottom"/>
          </w:tcPr>
          <w:p>
            <w:pPr>
              <w:ind w:left="80"/>
              <w:spacing w:after="0" w:line="161"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4"/>
              </w:rPr>
              <w:t>Reporting</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38"/>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2"/>
              </w:rPr>
              <w:t>Person With</w:t>
            </w:r>
          </w:p>
        </w:tc>
        <w:tc>
          <w:tcPr>
            <w:tcW w:w="180" w:type="dxa"/>
            <w:vAlign w:val="bottom"/>
            <w:tcBorders>
              <w:bottom w:val="single" w:sz="8" w:color="auto"/>
            </w:tcBorders>
          </w:tcPr>
          <w:p>
            <w:pPr>
              <w:spacing w:after="0"/>
              <w:rPr>
                <w:sz w:val="3"/>
                <w:szCs w:val="3"/>
                <w:color w:val="auto"/>
              </w:rPr>
            </w:pPr>
          </w:p>
        </w:tc>
        <w:tc>
          <w:tcPr>
            <w:tcW w:w="986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201"/>
        </w:trPr>
        <w:tc>
          <w:tcPr>
            <w:tcW w:w="1380" w:type="dxa"/>
            <w:vAlign w:val="bottom"/>
            <w:vMerge w:val="continue"/>
          </w:tcPr>
          <w:p>
            <w:pPr>
              <w:spacing w:after="0"/>
              <w:rPr>
                <w:sz w:val="17"/>
                <w:szCs w:val="17"/>
                <w:color w:val="auto"/>
              </w:rPr>
            </w:pPr>
          </w:p>
        </w:tc>
        <w:tc>
          <w:tcPr>
            <w:tcW w:w="180" w:type="dxa"/>
            <w:vAlign w:val="bottom"/>
          </w:tcPr>
          <w:p>
            <w:pPr>
              <w:jc w:val="right"/>
              <w:spacing w:after="0"/>
              <w:rPr>
                <w:sz w:val="20"/>
                <w:szCs w:val="20"/>
                <w:color w:val="auto"/>
              </w:rPr>
            </w:pPr>
            <w:r>
              <w:rPr>
                <w:rFonts w:ascii="Arial" w:cs="Arial" w:eastAsia="Arial" w:hAnsi="Arial"/>
                <w:sz w:val="17"/>
                <w:szCs w:val="17"/>
                <w:color w:val="auto"/>
                <w:w w:val="84"/>
              </w:rPr>
              <w:t>8</w:t>
            </w:r>
          </w:p>
        </w:tc>
        <w:tc>
          <w:tcPr>
            <w:tcW w:w="9860" w:type="dxa"/>
            <w:vAlign w:val="bottom"/>
          </w:tcPr>
          <w:p>
            <w:pPr>
              <w:ind w:left="8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bl>
    <w:p>
      <w:pPr>
        <w:ind w:left="1700"/>
        <w:spacing w:after="0"/>
        <w:rPr>
          <w:sz w:val="20"/>
          <w:szCs w:val="20"/>
          <w:color w:val="auto"/>
        </w:rPr>
      </w:pPr>
      <w:r>
        <w:rPr>
          <w:rFonts w:ascii="Arial" w:cs="Arial" w:eastAsia="Arial" w:hAnsi="Arial"/>
          <w:sz w:val="17"/>
          <w:szCs w:val="17"/>
          <w:color w:val="auto"/>
        </w:rPr>
        <w:t>13,311,202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5715</wp:posOffset>
            </wp:positionV>
            <wp:extent cx="7252970" cy="165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3" w:lineRule="exact"/>
        <w:rPr>
          <w:sz w:val="20"/>
          <w:szCs w:val="20"/>
          <w:color w:val="auto"/>
        </w:rPr>
      </w:pPr>
    </w:p>
    <w:p>
      <w:pPr>
        <w:ind w:left="780" w:right="6360" w:hanging="777"/>
        <w:spacing w:after="0" w:line="261" w:lineRule="auto"/>
        <w:tabs>
          <w:tab w:leader="none" w:pos="470" w:val="left"/>
        </w:tabs>
        <w:numPr>
          <w:ilvl w:val="0"/>
          <w:numId w:val="6"/>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13,311,202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tabs>
          <w:tab w:leader="none" w:pos="440" w:val="left"/>
          <w:tab w:leader="none" w:pos="6640" w:val="left"/>
        </w:tabs>
        <w:rPr>
          <w:sz w:val="20"/>
          <w:szCs w:val="20"/>
          <w:color w:val="auto"/>
        </w:rPr>
      </w:pPr>
      <w:r>
        <w:rPr>
          <w:rFonts w:ascii="Arial" w:cs="Arial" w:eastAsia="Arial" w:hAnsi="Arial"/>
          <w:sz w:val="16"/>
          <w:szCs w:val="16"/>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780" w:right="7340" w:hanging="777"/>
        <w:spacing w:after="0" w:line="261" w:lineRule="auto"/>
        <w:tabs>
          <w:tab w:leader="none" w:pos="470" w:val="left"/>
        </w:tabs>
        <w:numPr>
          <w:ilvl w:val="0"/>
          <w:numId w:val="7"/>
        </w:numPr>
        <w:rPr>
          <w:rFonts w:ascii="Arial" w:cs="Arial" w:eastAsia="Arial" w:hAnsi="Arial"/>
          <w:sz w:val="17"/>
          <w:szCs w:val="17"/>
          <w:color w:val="auto"/>
        </w:rPr>
      </w:pPr>
      <w:r>
        <w:rPr>
          <w:rFonts w:ascii="Arial" w:cs="Arial" w:eastAsia="Arial" w:hAnsi="Arial"/>
          <w:sz w:val="17"/>
          <w:szCs w:val="17"/>
          <w:color w:val="auto"/>
        </w:rPr>
        <w:t>Percent of Class Represented by Amount in Row (9) 2.5%**</w:t>
      </w:r>
    </w:p>
    <w:p>
      <w:pPr>
        <w:ind w:left="460" w:hanging="457"/>
        <w:spacing w:after="0"/>
        <w:tabs>
          <w:tab w:leader="none" w:pos="460" w:val="left"/>
        </w:tabs>
        <w:numPr>
          <w:ilvl w:val="0"/>
          <w:numId w:val="7"/>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-123825</wp:posOffset>
            </wp:positionV>
            <wp:extent cx="725297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 w:lineRule="exact"/>
        <w:rPr>
          <w:sz w:val="20"/>
          <w:szCs w:val="20"/>
          <w:color w:val="auto"/>
        </w:rPr>
      </w:pPr>
    </w:p>
    <w:p>
      <w:pPr>
        <w:ind w:left="780"/>
        <w:spacing w:after="0"/>
        <w:rPr>
          <w:sz w:val="20"/>
          <w:szCs w:val="20"/>
          <w:color w:val="auto"/>
        </w:rPr>
      </w:pPr>
      <w:r>
        <w:rPr>
          <w:rFonts w:ascii="Arial" w:cs="Arial" w:eastAsia="Arial" w:hAnsi="Arial"/>
          <w:sz w:val="17"/>
          <w:szCs w:val="17"/>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553720</wp:posOffset>
            </wp:positionV>
            <wp:extent cx="7257415" cy="209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747" w:right="239" w:bottom="1440" w:gutter="0" w:footer="0" w:header="0"/>
        </w:sectPr>
      </w:pPr>
    </w:p>
    <w:bookmarkStart w:id="2" w:name="page3"/>
    <w:bookmarkEnd w:id="2"/>
    <w:p>
      <w:pPr>
        <w:ind w:left="460" w:right="8940" w:hanging="457"/>
        <w:spacing w:after="0" w:line="296" w:lineRule="auto"/>
        <w:tabs>
          <w:tab w:leader="none" w:pos="460" w:val="left"/>
        </w:tabs>
        <w:numPr>
          <w:ilvl w:val="0"/>
          <w:numId w:val="8"/>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326390</wp:posOffset>
            </wp:positionV>
            <wp:extent cx="7252970" cy="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Greenlight Capital,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460" w:hanging="457"/>
        <w:spacing w:after="0"/>
        <w:tabs>
          <w:tab w:leader="none" w:pos="460" w:val="left"/>
        </w:tabs>
        <w:numPr>
          <w:ilvl w:val="0"/>
          <w:numId w:val="9"/>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140" w:hanging="672"/>
        <w:spacing w:after="0"/>
        <w:tabs>
          <w:tab w:leader="none" w:pos="1140" w:val="left"/>
        </w:tabs>
        <w:numPr>
          <w:ilvl w:val="1"/>
          <w:numId w:val="9"/>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140" w:hanging="672"/>
        <w:spacing w:after="0"/>
        <w:tabs>
          <w:tab w:leader="none" w:pos="1140" w:val="left"/>
        </w:tabs>
        <w:numPr>
          <w:ilvl w:val="1"/>
          <w:numId w:val="9"/>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460" w:hanging="457"/>
        <w:spacing w:after="0"/>
        <w:tabs>
          <w:tab w:leader="none" w:pos="460" w:val="left"/>
        </w:tabs>
        <w:numPr>
          <w:ilvl w:val="0"/>
          <w:numId w:val="10"/>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780" w:right="8400" w:hanging="777"/>
        <w:spacing w:after="0" w:line="272" w:lineRule="auto"/>
        <w:tabs>
          <w:tab w:leader="none" w:pos="470" w:val="left"/>
        </w:tabs>
        <w:numPr>
          <w:ilvl w:val="0"/>
          <w:numId w:val="11"/>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182"/>
        </w:trPr>
        <w:tc>
          <w:tcPr>
            <w:tcW w:w="1380" w:type="dxa"/>
            <w:vAlign w:val="bottom"/>
            <w:tcBorders>
              <w:top w:val="single" w:sz="8" w:color="auto"/>
            </w:tcBorders>
          </w:tcPr>
          <w:p>
            <w:pPr>
              <w:jc w:val="center"/>
              <w:spacing w:after="0" w:line="182" w:lineRule="exact"/>
              <w:rPr>
                <w:sz w:val="20"/>
                <w:szCs w:val="20"/>
                <w:color w:val="auto"/>
              </w:rPr>
            </w:pPr>
            <w:r>
              <w:rPr>
                <w:rFonts w:ascii="Arial" w:cs="Arial" w:eastAsia="Arial" w:hAnsi="Arial"/>
                <w:sz w:val="17"/>
                <w:szCs w:val="17"/>
                <w:color w:val="auto"/>
                <w:w w:val="92"/>
              </w:rPr>
              <w:t>Number</w:t>
            </w:r>
          </w:p>
        </w:tc>
        <w:tc>
          <w:tcPr>
            <w:tcW w:w="180" w:type="dxa"/>
            <w:vAlign w:val="bottom"/>
            <w:tcBorders>
              <w:top w:val="single" w:sz="8" w:color="auto"/>
            </w:tcBorders>
          </w:tcPr>
          <w:p>
            <w:pPr>
              <w:jc w:val="right"/>
              <w:spacing w:after="0" w:line="182" w:lineRule="exact"/>
              <w:rPr>
                <w:sz w:val="20"/>
                <w:szCs w:val="20"/>
                <w:color w:val="auto"/>
              </w:rPr>
            </w:pPr>
            <w:r>
              <w:rPr>
                <w:rFonts w:ascii="Arial" w:cs="Arial" w:eastAsia="Arial" w:hAnsi="Arial"/>
                <w:sz w:val="17"/>
                <w:szCs w:val="17"/>
                <w:color w:val="auto"/>
                <w:w w:val="84"/>
              </w:rPr>
              <w:t>5</w:t>
            </w:r>
          </w:p>
        </w:tc>
        <w:tc>
          <w:tcPr>
            <w:tcW w:w="9860" w:type="dxa"/>
            <w:vAlign w:val="bottom"/>
            <w:tcBorders>
              <w:top w:val="single" w:sz="8" w:color="auto"/>
            </w:tcBorders>
          </w:tcPr>
          <w:p>
            <w:pPr>
              <w:ind w:left="80"/>
              <w:spacing w:after="0" w:line="182" w:lineRule="exact"/>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217"/>
        </w:trPr>
        <w:tc>
          <w:tcPr>
            <w:tcW w:w="1380" w:type="dxa"/>
            <w:vAlign w:val="bottom"/>
          </w:tcPr>
          <w:p>
            <w:pPr>
              <w:jc w:val="center"/>
              <w:spacing w:after="0"/>
              <w:rPr>
                <w:sz w:val="20"/>
                <w:szCs w:val="20"/>
                <w:color w:val="auto"/>
              </w:rPr>
            </w:pPr>
            <w:r>
              <w:rPr>
                <w:rFonts w:ascii="Arial" w:cs="Arial" w:eastAsia="Arial" w:hAnsi="Arial"/>
                <w:sz w:val="17"/>
                <w:szCs w:val="17"/>
                <w:color w:val="auto"/>
                <w:w w:val="87"/>
              </w:rPr>
              <w:t>of Shares</w:t>
            </w: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176"/>
        </w:trPr>
        <w:tc>
          <w:tcPr>
            <w:tcW w:w="1380" w:type="dxa"/>
            <w:vAlign w:val="bottom"/>
          </w:tcPr>
          <w:p>
            <w:pPr>
              <w:jc w:val="center"/>
              <w:spacing w:after="0" w:line="176" w:lineRule="exact"/>
              <w:rPr>
                <w:sz w:val="20"/>
                <w:szCs w:val="20"/>
                <w:color w:val="auto"/>
              </w:rPr>
            </w:pPr>
            <w:r>
              <w:rPr>
                <w:rFonts w:ascii="Arial" w:cs="Arial" w:eastAsia="Arial" w:hAnsi="Arial"/>
                <w:sz w:val="17"/>
                <w:szCs w:val="17"/>
                <w:color w:val="auto"/>
                <w:w w:val="97"/>
              </w:rPr>
              <w:t>Beneficially</w:t>
            </w:r>
          </w:p>
        </w:tc>
        <w:tc>
          <w:tcPr>
            <w:tcW w:w="180" w:type="dxa"/>
            <w:vAlign w:val="bottom"/>
          </w:tcPr>
          <w:p>
            <w:pPr>
              <w:jc w:val="right"/>
              <w:spacing w:after="0" w:line="176" w:lineRule="exact"/>
              <w:rPr>
                <w:sz w:val="20"/>
                <w:szCs w:val="20"/>
                <w:color w:val="auto"/>
              </w:rPr>
            </w:pPr>
            <w:r>
              <w:rPr>
                <w:rFonts w:ascii="Arial" w:cs="Arial" w:eastAsia="Arial" w:hAnsi="Arial"/>
                <w:sz w:val="17"/>
                <w:szCs w:val="17"/>
                <w:color w:val="auto"/>
                <w:w w:val="84"/>
              </w:rPr>
              <w:t>6</w:t>
            </w:r>
          </w:p>
        </w:tc>
        <w:tc>
          <w:tcPr>
            <w:tcW w:w="9860" w:type="dxa"/>
            <w:vAlign w:val="bottom"/>
          </w:tcPr>
          <w:p>
            <w:pPr>
              <w:ind w:left="80"/>
              <w:spacing w:after="0" w:line="176"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1"/>
              </w:rPr>
              <w:t>Owned by</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32,519,861 shares**</w:t>
            </w:r>
          </w:p>
        </w:tc>
        <w:tc>
          <w:tcPr>
            <w:tcW w:w="0" w:type="dxa"/>
            <w:vAlign w:val="bottom"/>
          </w:tcPr>
          <w:p>
            <w:pPr>
              <w:spacing w:after="0"/>
              <w:rPr>
                <w:sz w:val="1"/>
                <w:szCs w:val="1"/>
                <w:color w:val="auto"/>
              </w:rPr>
            </w:pPr>
          </w:p>
        </w:tc>
      </w:tr>
      <w:tr>
        <w:trPr>
          <w:trHeight w:val="25"/>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87"/>
              </w:rPr>
              <w:t>Each</w:t>
            </w:r>
          </w:p>
        </w:tc>
        <w:tc>
          <w:tcPr>
            <w:tcW w:w="180" w:type="dxa"/>
            <w:vAlign w:val="bottom"/>
            <w:tcBorders>
              <w:bottom w:val="single" w:sz="8" w:color="auto"/>
            </w:tcBorders>
          </w:tcPr>
          <w:p>
            <w:pPr>
              <w:spacing w:after="0"/>
              <w:rPr>
                <w:sz w:val="2"/>
                <w:szCs w:val="2"/>
                <w:color w:val="auto"/>
              </w:rPr>
            </w:pPr>
          </w:p>
        </w:tc>
        <w:tc>
          <w:tcPr>
            <w:tcW w:w="98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1"/>
        </w:trPr>
        <w:tc>
          <w:tcPr>
            <w:tcW w:w="1380" w:type="dxa"/>
            <w:vAlign w:val="bottom"/>
            <w:vMerge w:val="continue"/>
          </w:tcPr>
          <w:p>
            <w:pPr>
              <w:spacing w:after="0"/>
              <w:rPr>
                <w:sz w:val="14"/>
                <w:szCs w:val="14"/>
                <w:color w:val="auto"/>
              </w:rPr>
            </w:pPr>
          </w:p>
        </w:tc>
        <w:tc>
          <w:tcPr>
            <w:tcW w:w="180" w:type="dxa"/>
            <w:vAlign w:val="bottom"/>
          </w:tcPr>
          <w:p>
            <w:pPr>
              <w:jc w:val="right"/>
              <w:spacing w:after="0" w:line="161" w:lineRule="exact"/>
              <w:rPr>
                <w:sz w:val="20"/>
                <w:szCs w:val="20"/>
                <w:color w:val="auto"/>
              </w:rPr>
            </w:pPr>
            <w:r>
              <w:rPr>
                <w:rFonts w:ascii="Arial" w:cs="Arial" w:eastAsia="Arial" w:hAnsi="Arial"/>
                <w:sz w:val="17"/>
                <w:szCs w:val="17"/>
                <w:color w:val="auto"/>
                <w:w w:val="84"/>
              </w:rPr>
              <w:t>7</w:t>
            </w:r>
          </w:p>
        </w:tc>
        <w:tc>
          <w:tcPr>
            <w:tcW w:w="9860" w:type="dxa"/>
            <w:vAlign w:val="bottom"/>
          </w:tcPr>
          <w:p>
            <w:pPr>
              <w:ind w:left="80"/>
              <w:spacing w:after="0" w:line="161"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4"/>
              </w:rPr>
              <w:t>Reporting</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38"/>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2"/>
              </w:rPr>
              <w:t>Person With</w:t>
            </w:r>
          </w:p>
        </w:tc>
        <w:tc>
          <w:tcPr>
            <w:tcW w:w="180" w:type="dxa"/>
            <w:vAlign w:val="bottom"/>
            <w:tcBorders>
              <w:bottom w:val="single" w:sz="8" w:color="auto"/>
            </w:tcBorders>
          </w:tcPr>
          <w:p>
            <w:pPr>
              <w:spacing w:after="0"/>
              <w:rPr>
                <w:sz w:val="3"/>
                <w:szCs w:val="3"/>
                <w:color w:val="auto"/>
              </w:rPr>
            </w:pPr>
          </w:p>
        </w:tc>
        <w:tc>
          <w:tcPr>
            <w:tcW w:w="986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201"/>
        </w:trPr>
        <w:tc>
          <w:tcPr>
            <w:tcW w:w="1380" w:type="dxa"/>
            <w:vAlign w:val="bottom"/>
            <w:vMerge w:val="continue"/>
          </w:tcPr>
          <w:p>
            <w:pPr>
              <w:spacing w:after="0"/>
              <w:rPr>
                <w:sz w:val="17"/>
                <w:szCs w:val="17"/>
                <w:color w:val="auto"/>
              </w:rPr>
            </w:pPr>
          </w:p>
        </w:tc>
        <w:tc>
          <w:tcPr>
            <w:tcW w:w="180" w:type="dxa"/>
            <w:vAlign w:val="bottom"/>
          </w:tcPr>
          <w:p>
            <w:pPr>
              <w:jc w:val="right"/>
              <w:spacing w:after="0"/>
              <w:rPr>
                <w:sz w:val="20"/>
                <w:szCs w:val="20"/>
                <w:color w:val="auto"/>
              </w:rPr>
            </w:pPr>
            <w:r>
              <w:rPr>
                <w:rFonts w:ascii="Arial" w:cs="Arial" w:eastAsia="Arial" w:hAnsi="Arial"/>
                <w:sz w:val="17"/>
                <w:szCs w:val="17"/>
                <w:color w:val="auto"/>
                <w:w w:val="84"/>
              </w:rPr>
              <w:t>8</w:t>
            </w:r>
          </w:p>
        </w:tc>
        <w:tc>
          <w:tcPr>
            <w:tcW w:w="9860" w:type="dxa"/>
            <w:vAlign w:val="bottom"/>
          </w:tcPr>
          <w:p>
            <w:pPr>
              <w:ind w:left="8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bl>
    <w:p>
      <w:pPr>
        <w:ind w:left="1700"/>
        <w:spacing w:after="0"/>
        <w:rPr>
          <w:sz w:val="20"/>
          <w:szCs w:val="20"/>
          <w:color w:val="auto"/>
        </w:rPr>
      </w:pPr>
      <w:r>
        <w:rPr>
          <w:rFonts w:ascii="Arial" w:cs="Arial" w:eastAsia="Arial" w:hAnsi="Arial"/>
          <w:sz w:val="17"/>
          <w:szCs w:val="17"/>
          <w:color w:val="auto"/>
        </w:rPr>
        <w:t>32,519,861shares**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5715</wp:posOffset>
            </wp:positionV>
            <wp:extent cx="7252970" cy="1651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3" w:lineRule="exact"/>
        <w:rPr>
          <w:sz w:val="20"/>
          <w:szCs w:val="20"/>
          <w:color w:val="auto"/>
        </w:rPr>
      </w:pPr>
    </w:p>
    <w:p>
      <w:pPr>
        <w:ind w:left="780" w:right="6360" w:hanging="777"/>
        <w:spacing w:after="0" w:line="261" w:lineRule="auto"/>
        <w:tabs>
          <w:tab w:leader="none" w:pos="470" w:val="left"/>
        </w:tabs>
        <w:numPr>
          <w:ilvl w:val="0"/>
          <w:numId w:val="12"/>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32,519,861shares**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tabs>
          <w:tab w:leader="none" w:pos="440" w:val="left"/>
          <w:tab w:leader="none" w:pos="6640" w:val="left"/>
        </w:tabs>
        <w:rPr>
          <w:sz w:val="20"/>
          <w:szCs w:val="20"/>
          <w:color w:val="auto"/>
        </w:rPr>
      </w:pPr>
      <w:r>
        <w:rPr>
          <w:rFonts w:ascii="Arial" w:cs="Arial" w:eastAsia="Arial" w:hAnsi="Arial"/>
          <w:sz w:val="16"/>
          <w:szCs w:val="16"/>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780" w:right="7340" w:hanging="777"/>
        <w:spacing w:after="0" w:line="261" w:lineRule="auto"/>
        <w:tabs>
          <w:tab w:leader="none" w:pos="470" w:val="left"/>
        </w:tabs>
        <w:numPr>
          <w:ilvl w:val="0"/>
          <w:numId w:val="13"/>
        </w:numPr>
        <w:rPr>
          <w:rFonts w:ascii="Arial" w:cs="Arial" w:eastAsia="Arial" w:hAnsi="Arial"/>
          <w:sz w:val="17"/>
          <w:szCs w:val="17"/>
          <w:color w:val="auto"/>
        </w:rPr>
      </w:pPr>
      <w:r>
        <w:rPr>
          <w:rFonts w:ascii="Arial" w:cs="Arial" w:eastAsia="Arial" w:hAnsi="Arial"/>
          <w:sz w:val="17"/>
          <w:szCs w:val="17"/>
          <w:color w:val="auto"/>
        </w:rPr>
        <w:t>Percent of Class Represented by Amount in Row (9) 6.1%**</w:t>
      </w:r>
    </w:p>
    <w:p>
      <w:pPr>
        <w:ind w:left="460" w:hanging="457"/>
        <w:spacing w:after="0"/>
        <w:tabs>
          <w:tab w:leader="none" w:pos="460" w:val="left"/>
        </w:tabs>
        <w:numPr>
          <w:ilvl w:val="0"/>
          <w:numId w:val="13"/>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-123825</wp:posOffset>
            </wp:positionV>
            <wp:extent cx="7252970" cy="82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 w:lineRule="exact"/>
        <w:rPr>
          <w:sz w:val="20"/>
          <w:szCs w:val="20"/>
          <w:color w:val="auto"/>
        </w:rPr>
      </w:pPr>
    </w:p>
    <w:p>
      <w:pPr>
        <w:ind w:left="780"/>
        <w:spacing w:after="0"/>
        <w:rPr>
          <w:sz w:val="20"/>
          <w:szCs w:val="20"/>
          <w:color w:val="auto"/>
        </w:rPr>
      </w:pPr>
      <w:r>
        <w:rPr>
          <w:rFonts w:ascii="Arial" w:cs="Arial" w:eastAsia="Arial" w:hAnsi="Arial"/>
          <w:sz w:val="17"/>
          <w:szCs w:val="17"/>
          <w:color w:val="auto"/>
        </w:rPr>
        <w:t>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25"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553720</wp:posOffset>
            </wp:positionV>
            <wp:extent cx="7257415" cy="209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514" w:right="239" w:bottom="1440" w:gutter="0" w:footer="0" w:header="0"/>
        </w:sectPr>
      </w:pPr>
    </w:p>
    <w:bookmarkStart w:id="3" w:name="page4"/>
    <w:bookmarkEnd w:id="3"/>
    <w:p>
      <w:pPr>
        <w:jc w:val="both"/>
        <w:ind w:left="460" w:right="8940" w:hanging="457"/>
        <w:spacing w:after="0" w:line="296" w:lineRule="auto"/>
        <w:tabs>
          <w:tab w:leader="none" w:pos="460" w:val="left"/>
        </w:tabs>
        <w:numPr>
          <w:ilvl w:val="0"/>
          <w:numId w:val="14"/>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474345</wp:posOffset>
            </wp:positionV>
            <wp:extent cx="7252970" cy="825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DME Management GP,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460" w:hanging="457"/>
        <w:spacing w:after="0"/>
        <w:tabs>
          <w:tab w:leader="none" w:pos="460" w:val="left"/>
        </w:tabs>
        <w:numPr>
          <w:ilvl w:val="0"/>
          <w:numId w:val="15"/>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140" w:hanging="672"/>
        <w:spacing w:after="0"/>
        <w:tabs>
          <w:tab w:leader="none" w:pos="1140" w:val="left"/>
        </w:tabs>
        <w:numPr>
          <w:ilvl w:val="1"/>
          <w:numId w:val="15"/>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140" w:hanging="672"/>
        <w:spacing w:after="0"/>
        <w:tabs>
          <w:tab w:leader="none" w:pos="1140" w:val="left"/>
        </w:tabs>
        <w:numPr>
          <w:ilvl w:val="1"/>
          <w:numId w:val="15"/>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460" w:hanging="457"/>
        <w:spacing w:after="0"/>
        <w:tabs>
          <w:tab w:leader="none" w:pos="460" w:val="left"/>
        </w:tabs>
        <w:numPr>
          <w:ilvl w:val="0"/>
          <w:numId w:val="16"/>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780" w:right="8400" w:hanging="777"/>
        <w:spacing w:after="0" w:line="272" w:lineRule="auto"/>
        <w:tabs>
          <w:tab w:leader="none" w:pos="470" w:val="left"/>
        </w:tabs>
        <w:numPr>
          <w:ilvl w:val="0"/>
          <w:numId w:val="17"/>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182"/>
        </w:trPr>
        <w:tc>
          <w:tcPr>
            <w:tcW w:w="1380" w:type="dxa"/>
            <w:vAlign w:val="bottom"/>
            <w:tcBorders>
              <w:top w:val="single" w:sz="8" w:color="auto"/>
            </w:tcBorders>
          </w:tcPr>
          <w:p>
            <w:pPr>
              <w:jc w:val="center"/>
              <w:spacing w:after="0" w:line="182" w:lineRule="exact"/>
              <w:rPr>
                <w:sz w:val="20"/>
                <w:szCs w:val="20"/>
                <w:color w:val="auto"/>
              </w:rPr>
            </w:pPr>
            <w:r>
              <w:rPr>
                <w:rFonts w:ascii="Arial" w:cs="Arial" w:eastAsia="Arial" w:hAnsi="Arial"/>
                <w:sz w:val="17"/>
                <w:szCs w:val="17"/>
                <w:color w:val="auto"/>
                <w:w w:val="92"/>
              </w:rPr>
              <w:t>Number</w:t>
            </w:r>
          </w:p>
        </w:tc>
        <w:tc>
          <w:tcPr>
            <w:tcW w:w="180" w:type="dxa"/>
            <w:vAlign w:val="bottom"/>
            <w:tcBorders>
              <w:top w:val="single" w:sz="8" w:color="auto"/>
            </w:tcBorders>
          </w:tcPr>
          <w:p>
            <w:pPr>
              <w:jc w:val="right"/>
              <w:spacing w:after="0" w:line="182" w:lineRule="exact"/>
              <w:rPr>
                <w:sz w:val="20"/>
                <w:szCs w:val="20"/>
                <w:color w:val="auto"/>
              </w:rPr>
            </w:pPr>
            <w:r>
              <w:rPr>
                <w:rFonts w:ascii="Arial" w:cs="Arial" w:eastAsia="Arial" w:hAnsi="Arial"/>
                <w:sz w:val="17"/>
                <w:szCs w:val="17"/>
                <w:color w:val="auto"/>
                <w:w w:val="84"/>
              </w:rPr>
              <w:t>5</w:t>
            </w:r>
          </w:p>
        </w:tc>
        <w:tc>
          <w:tcPr>
            <w:tcW w:w="9860" w:type="dxa"/>
            <w:vAlign w:val="bottom"/>
            <w:tcBorders>
              <w:top w:val="single" w:sz="8" w:color="auto"/>
            </w:tcBorders>
          </w:tcPr>
          <w:p>
            <w:pPr>
              <w:ind w:left="80"/>
              <w:spacing w:after="0" w:line="182" w:lineRule="exact"/>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217"/>
        </w:trPr>
        <w:tc>
          <w:tcPr>
            <w:tcW w:w="1380" w:type="dxa"/>
            <w:vAlign w:val="bottom"/>
          </w:tcPr>
          <w:p>
            <w:pPr>
              <w:jc w:val="center"/>
              <w:spacing w:after="0"/>
              <w:rPr>
                <w:sz w:val="20"/>
                <w:szCs w:val="20"/>
                <w:color w:val="auto"/>
              </w:rPr>
            </w:pPr>
            <w:r>
              <w:rPr>
                <w:rFonts w:ascii="Arial" w:cs="Arial" w:eastAsia="Arial" w:hAnsi="Arial"/>
                <w:sz w:val="17"/>
                <w:szCs w:val="17"/>
                <w:color w:val="auto"/>
                <w:w w:val="87"/>
              </w:rPr>
              <w:t>of Shares</w:t>
            </w: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176"/>
        </w:trPr>
        <w:tc>
          <w:tcPr>
            <w:tcW w:w="1380" w:type="dxa"/>
            <w:vAlign w:val="bottom"/>
          </w:tcPr>
          <w:p>
            <w:pPr>
              <w:jc w:val="center"/>
              <w:spacing w:after="0" w:line="176" w:lineRule="exact"/>
              <w:rPr>
                <w:sz w:val="20"/>
                <w:szCs w:val="20"/>
                <w:color w:val="auto"/>
              </w:rPr>
            </w:pPr>
            <w:r>
              <w:rPr>
                <w:rFonts w:ascii="Arial" w:cs="Arial" w:eastAsia="Arial" w:hAnsi="Arial"/>
                <w:sz w:val="17"/>
                <w:szCs w:val="17"/>
                <w:color w:val="auto"/>
                <w:w w:val="97"/>
              </w:rPr>
              <w:t>Beneficially</w:t>
            </w:r>
          </w:p>
        </w:tc>
        <w:tc>
          <w:tcPr>
            <w:tcW w:w="180" w:type="dxa"/>
            <w:vAlign w:val="bottom"/>
          </w:tcPr>
          <w:p>
            <w:pPr>
              <w:jc w:val="right"/>
              <w:spacing w:after="0" w:line="176" w:lineRule="exact"/>
              <w:rPr>
                <w:sz w:val="20"/>
                <w:szCs w:val="20"/>
                <w:color w:val="auto"/>
              </w:rPr>
            </w:pPr>
            <w:r>
              <w:rPr>
                <w:rFonts w:ascii="Arial" w:cs="Arial" w:eastAsia="Arial" w:hAnsi="Arial"/>
                <w:sz w:val="17"/>
                <w:szCs w:val="17"/>
                <w:color w:val="auto"/>
                <w:w w:val="84"/>
              </w:rPr>
              <w:t>6</w:t>
            </w:r>
          </w:p>
        </w:tc>
        <w:tc>
          <w:tcPr>
            <w:tcW w:w="9860" w:type="dxa"/>
            <w:vAlign w:val="bottom"/>
          </w:tcPr>
          <w:p>
            <w:pPr>
              <w:ind w:left="80"/>
              <w:spacing w:after="0" w:line="176"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1"/>
              </w:rPr>
              <w:t>Owned by</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5,977,287 shares**</w:t>
            </w:r>
          </w:p>
        </w:tc>
        <w:tc>
          <w:tcPr>
            <w:tcW w:w="0" w:type="dxa"/>
            <w:vAlign w:val="bottom"/>
          </w:tcPr>
          <w:p>
            <w:pPr>
              <w:spacing w:after="0"/>
              <w:rPr>
                <w:sz w:val="1"/>
                <w:szCs w:val="1"/>
                <w:color w:val="auto"/>
              </w:rPr>
            </w:pPr>
          </w:p>
        </w:tc>
      </w:tr>
      <w:tr>
        <w:trPr>
          <w:trHeight w:val="25"/>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87"/>
              </w:rPr>
              <w:t>Each</w:t>
            </w:r>
          </w:p>
        </w:tc>
        <w:tc>
          <w:tcPr>
            <w:tcW w:w="180" w:type="dxa"/>
            <w:vAlign w:val="bottom"/>
            <w:tcBorders>
              <w:bottom w:val="single" w:sz="8" w:color="auto"/>
            </w:tcBorders>
          </w:tcPr>
          <w:p>
            <w:pPr>
              <w:spacing w:after="0"/>
              <w:rPr>
                <w:sz w:val="2"/>
                <w:szCs w:val="2"/>
                <w:color w:val="auto"/>
              </w:rPr>
            </w:pPr>
          </w:p>
        </w:tc>
        <w:tc>
          <w:tcPr>
            <w:tcW w:w="98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1"/>
        </w:trPr>
        <w:tc>
          <w:tcPr>
            <w:tcW w:w="1380" w:type="dxa"/>
            <w:vAlign w:val="bottom"/>
            <w:vMerge w:val="continue"/>
          </w:tcPr>
          <w:p>
            <w:pPr>
              <w:spacing w:after="0"/>
              <w:rPr>
                <w:sz w:val="14"/>
                <w:szCs w:val="14"/>
                <w:color w:val="auto"/>
              </w:rPr>
            </w:pPr>
          </w:p>
        </w:tc>
        <w:tc>
          <w:tcPr>
            <w:tcW w:w="180" w:type="dxa"/>
            <w:vAlign w:val="bottom"/>
          </w:tcPr>
          <w:p>
            <w:pPr>
              <w:jc w:val="right"/>
              <w:spacing w:after="0" w:line="161" w:lineRule="exact"/>
              <w:rPr>
                <w:sz w:val="20"/>
                <w:szCs w:val="20"/>
                <w:color w:val="auto"/>
              </w:rPr>
            </w:pPr>
            <w:r>
              <w:rPr>
                <w:rFonts w:ascii="Arial" w:cs="Arial" w:eastAsia="Arial" w:hAnsi="Arial"/>
                <w:sz w:val="17"/>
                <w:szCs w:val="17"/>
                <w:color w:val="auto"/>
                <w:w w:val="84"/>
              </w:rPr>
              <w:t>7</w:t>
            </w:r>
          </w:p>
        </w:tc>
        <w:tc>
          <w:tcPr>
            <w:tcW w:w="9860" w:type="dxa"/>
            <w:vAlign w:val="bottom"/>
          </w:tcPr>
          <w:p>
            <w:pPr>
              <w:ind w:left="80"/>
              <w:spacing w:after="0" w:line="161"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4"/>
              </w:rPr>
              <w:t>Reporting</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38"/>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2"/>
              </w:rPr>
              <w:t>Person With</w:t>
            </w:r>
          </w:p>
        </w:tc>
        <w:tc>
          <w:tcPr>
            <w:tcW w:w="180" w:type="dxa"/>
            <w:vAlign w:val="bottom"/>
            <w:tcBorders>
              <w:bottom w:val="single" w:sz="8" w:color="auto"/>
            </w:tcBorders>
          </w:tcPr>
          <w:p>
            <w:pPr>
              <w:spacing w:after="0"/>
              <w:rPr>
                <w:sz w:val="3"/>
                <w:szCs w:val="3"/>
                <w:color w:val="auto"/>
              </w:rPr>
            </w:pPr>
          </w:p>
        </w:tc>
        <w:tc>
          <w:tcPr>
            <w:tcW w:w="986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201"/>
        </w:trPr>
        <w:tc>
          <w:tcPr>
            <w:tcW w:w="1380" w:type="dxa"/>
            <w:vAlign w:val="bottom"/>
            <w:vMerge w:val="continue"/>
          </w:tcPr>
          <w:p>
            <w:pPr>
              <w:spacing w:after="0"/>
              <w:rPr>
                <w:sz w:val="17"/>
                <w:szCs w:val="17"/>
                <w:color w:val="auto"/>
              </w:rPr>
            </w:pPr>
          </w:p>
        </w:tc>
        <w:tc>
          <w:tcPr>
            <w:tcW w:w="180" w:type="dxa"/>
            <w:vAlign w:val="bottom"/>
          </w:tcPr>
          <w:p>
            <w:pPr>
              <w:jc w:val="right"/>
              <w:spacing w:after="0"/>
              <w:rPr>
                <w:sz w:val="20"/>
                <w:szCs w:val="20"/>
                <w:color w:val="auto"/>
              </w:rPr>
            </w:pPr>
            <w:r>
              <w:rPr>
                <w:rFonts w:ascii="Arial" w:cs="Arial" w:eastAsia="Arial" w:hAnsi="Arial"/>
                <w:sz w:val="17"/>
                <w:szCs w:val="17"/>
                <w:color w:val="auto"/>
                <w:w w:val="84"/>
              </w:rPr>
              <w:t>8</w:t>
            </w:r>
          </w:p>
        </w:tc>
        <w:tc>
          <w:tcPr>
            <w:tcW w:w="9860" w:type="dxa"/>
            <w:vAlign w:val="bottom"/>
          </w:tcPr>
          <w:p>
            <w:pPr>
              <w:ind w:left="8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bl>
    <w:p>
      <w:pPr>
        <w:ind w:left="1700"/>
        <w:spacing w:after="0"/>
        <w:rPr>
          <w:sz w:val="20"/>
          <w:szCs w:val="20"/>
          <w:color w:val="auto"/>
        </w:rPr>
      </w:pPr>
      <w:r>
        <w:rPr>
          <w:rFonts w:ascii="Arial" w:cs="Arial" w:eastAsia="Arial" w:hAnsi="Arial"/>
          <w:sz w:val="17"/>
          <w:szCs w:val="17"/>
          <w:color w:val="auto"/>
        </w:rPr>
        <w:t>5,977,287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5715</wp:posOffset>
            </wp:positionV>
            <wp:extent cx="7252970" cy="1651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3" w:lineRule="exact"/>
        <w:rPr>
          <w:sz w:val="20"/>
          <w:szCs w:val="20"/>
          <w:color w:val="auto"/>
        </w:rPr>
      </w:pPr>
    </w:p>
    <w:p>
      <w:pPr>
        <w:ind w:left="780" w:right="6360" w:hanging="777"/>
        <w:spacing w:after="0" w:line="261" w:lineRule="auto"/>
        <w:tabs>
          <w:tab w:leader="none" w:pos="470" w:val="left"/>
        </w:tabs>
        <w:numPr>
          <w:ilvl w:val="0"/>
          <w:numId w:val="18"/>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5,977,287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tabs>
          <w:tab w:leader="none" w:pos="440" w:val="left"/>
          <w:tab w:leader="none" w:pos="6640" w:val="left"/>
        </w:tabs>
        <w:rPr>
          <w:sz w:val="20"/>
          <w:szCs w:val="20"/>
          <w:color w:val="auto"/>
        </w:rPr>
      </w:pPr>
      <w:r>
        <w:rPr>
          <w:rFonts w:ascii="Arial" w:cs="Arial" w:eastAsia="Arial" w:hAnsi="Arial"/>
          <w:sz w:val="16"/>
          <w:szCs w:val="16"/>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780" w:right="7340" w:hanging="777"/>
        <w:spacing w:after="0" w:line="261" w:lineRule="auto"/>
        <w:tabs>
          <w:tab w:leader="none" w:pos="470" w:val="left"/>
        </w:tabs>
        <w:numPr>
          <w:ilvl w:val="0"/>
          <w:numId w:val="19"/>
        </w:numPr>
        <w:rPr>
          <w:rFonts w:ascii="Arial" w:cs="Arial" w:eastAsia="Arial" w:hAnsi="Arial"/>
          <w:sz w:val="17"/>
          <w:szCs w:val="17"/>
          <w:color w:val="auto"/>
        </w:rPr>
      </w:pPr>
      <w:r>
        <w:rPr>
          <w:rFonts w:ascii="Arial" w:cs="Arial" w:eastAsia="Arial" w:hAnsi="Arial"/>
          <w:sz w:val="17"/>
          <w:szCs w:val="17"/>
          <w:color w:val="auto"/>
        </w:rPr>
        <w:t>Percent of Class Represented by Amount in Row (9) 1.1%**</w:t>
      </w:r>
    </w:p>
    <w:p>
      <w:pPr>
        <w:ind w:left="460" w:hanging="457"/>
        <w:spacing w:after="0"/>
        <w:tabs>
          <w:tab w:leader="none" w:pos="460" w:val="left"/>
        </w:tabs>
        <w:numPr>
          <w:ilvl w:val="0"/>
          <w:numId w:val="19"/>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-123825</wp:posOffset>
            </wp:positionV>
            <wp:extent cx="7252970" cy="825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 w:lineRule="exact"/>
        <w:rPr>
          <w:sz w:val="20"/>
          <w:szCs w:val="20"/>
          <w:color w:val="auto"/>
        </w:rPr>
      </w:pPr>
    </w:p>
    <w:p>
      <w:pPr>
        <w:ind w:left="780"/>
        <w:spacing w:after="0"/>
        <w:rPr>
          <w:sz w:val="20"/>
          <w:szCs w:val="20"/>
          <w:color w:val="auto"/>
        </w:rPr>
      </w:pPr>
      <w:r>
        <w:rPr>
          <w:rFonts w:ascii="Arial" w:cs="Arial" w:eastAsia="Arial" w:hAnsi="Arial"/>
          <w:sz w:val="17"/>
          <w:szCs w:val="17"/>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25"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553720</wp:posOffset>
            </wp:positionV>
            <wp:extent cx="7257415" cy="2095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747" w:right="239" w:bottom="1440" w:gutter="0" w:footer="0" w:header="0"/>
        </w:sectPr>
      </w:pPr>
    </w:p>
    <w:bookmarkStart w:id="4" w:name="page5"/>
    <w:bookmarkEnd w:id="4"/>
    <w:p>
      <w:pPr>
        <w:ind w:left="460" w:right="8940" w:hanging="457"/>
        <w:spacing w:after="0" w:line="277" w:lineRule="auto"/>
        <w:tabs>
          <w:tab w:leader="none" w:pos="460" w:val="left"/>
        </w:tabs>
        <w:numPr>
          <w:ilvl w:val="0"/>
          <w:numId w:val="2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154305</wp:posOffset>
            </wp:positionH>
            <wp:positionV relativeFrom="page">
              <wp:posOffset>474345</wp:posOffset>
            </wp:positionV>
            <wp:extent cx="7252970" cy="825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DME Advisors,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635</wp:posOffset>
            </wp:positionV>
            <wp:extent cx="7252970" cy="825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460" w:hanging="457"/>
        <w:spacing w:after="0"/>
        <w:tabs>
          <w:tab w:leader="none" w:pos="460" w:val="left"/>
        </w:tabs>
        <w:numPr>
          <w:ilvl w:val="0"/>
          <w:numId w:val="21"/>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140" w:hanging="672"/>
        <w:spacing w:after="0"/>
        <w:tabs>
          <w:tab w:leader="none" w:pos="1140" w:val="left"/>
        </w:tabs>
        <w:numPr>
          <w:ilvl w:val="1"/>
          <w:numId w:val="21"/>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140" w:hanging="672"/>
        <w:spacing w:after="0"/>
        <w:tabs>
          <w:tab w:leader="none" w:pos="1140" w:val="left"/>
        </w:tabs>
        <w:numPr>
          <w:ilvl w:val="1"/>
          <w:numId w:val="21"/>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460" w:hanging="457"/>
        <w:spacing w:after="0"/>
        <w:tabs>
          <w:tab w:leader="none" w:pos="460" w:val="left"/>
        </w:tabs>
        <w:numPr>
          <w:ilvl w:val="0"/>
          <w:numId w:val="22"/>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780" w:right="8400" w:hanging="777"/>
        <w:spacing w:after="0" w:line="272" w:lineRule="auto"/>
        <w:tabs>
          <w:tab w:leader="none" w:pos="470" w:val="left"/>
        </w:tabs>
        <w:numPr>
          <w:ilvl w:val="0"/>
          <w:numId w:val="23"/>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182"/>
        </w:trPr>
        <w:tc>
          <w:tcPr>
            <w:tcW w:w="1380" w:type="dxa"/>
            <w:vAlign w:val="bottom"/>
            <w:tcBorders>
              <w:top w:val="single" w:sz="8" w:color="auto"/>
            </w:tcBorders>
          </w:tcPr>
          <w:p>
            <w:pPr>
              <w:jc w:val="center"/>
              <w:spacing w:after="0" w:line="182" w:lineRule="exact"/>
              <w:rPr>
                <w:sz w:val="20"/>
                <w:szCs w:val="20"/>
                <w:color w:val="auto"/>
              </w:rPr>
            </w:pPr>
            <w:r>
              <w:rPr>
                <w:rFonts w:ascii="Arial" w:cs="Arial" w:eastAsia="Arial" w:hAnsi="Arial"/>
                <w:sz w:val="17"/>
                <w:szCs w:val="17"/>
                <w:color w:val="auto"/>
                <w:w w:val="92"/>
              </w:rPr>
              <w:t>Number</w:t>
            </w:r>
          </w:p>
        </w:tc>
        <w:tc>
          <w:tcPr>
            <w:tcW w:w="180" w:type="dxa"/>
            <w:vAlign w:val="bottom"/>
            <w:tcBorders>
              <w:top w:val="single" w:sz="8" w:color="auto"/>
            </w:tcBorders>
          </w:tcPr>
          <w:p>
            <w:pPr>
              <w:jc w:val="right"/>
              <w:spacing w:after="0" w:line="182" w:lineRule="exact"/>
              <w:rPr>
                <w:sz w:val="20"/>
                <w:szCs w:val="20"/>
                <w:color w:val="auto"/>
              </w:rPr>
            </w:pPr>
            <w:r>
              <w:rPr>
                <w:rFonts w:ascii="Arial" w:cs="Arial" w:eastAsia="Arial" w:hAnsi="Arial"/>
                <w:sz w:val="17"/>
                <w:szCs w:val="17"/>
                <w:color w:val="auto"/>
                <w:w w:val="84"/>
              </w:rPr>
              <w:t>5</w:t>
            </w:r>
          </w:p>
        </w:tc>
        <w:tc>
          <w:tcPr>
            <w:tcW w:w="9860" w:type="dxa"/>
            <w:vAlign w:val="bottom"/>
            <w:tcBorders>
              <w:top w:val="single" w:sz="8" w:color="auto"/>
            </w:tcBorders>
          </w:tcPr>
          <w:p>
            <w:pPr>
              <w:ind w:left="80"/>
              <w:spacing w:after="0" w:line="182" w:lineRule="exact"/>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217"/>
        </w:trPr>
        <w:tc>
          <w:tcPr>
            <w:tcW w:w="1380" w:type="dxa"/>
            <w:vAlign w:val="bottom"/>
          </w:tcPr>
          <w:p>
            <w:pPr>
              <w:jc w:val="center"/>
              <w:spacing w:after="0"/>
              <w:rPr>
                <w:sz w:val="20"/>
                <w:szCs w:val="20"/>
                <w:color w:val="auto"/>
              </w:rPr>
            </w:pPr>
            <w:r>
              <w:rPr>
                <w:rFonts w:ascii="Arial" w:cs="Arial" w:eastAsia="Arial" w:hAnsi="Arial"/>
                <w:sz w:val="17"/>
                <w:szCs w:val="17"/>
                <w:color w:val="auto"/>
                <w:w w:val="87"/>
              </w:rPr>
              <w:t>of Shares</w:t>
            </w: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176"/>
        </w:trPr>
        <w:tc>
          <w:tcPr>
            <w:tcW w:w="1380" w:type="dxa"/>
            <w:vAlign w:val="bottom"/>
          </w:tcPr>
          <w:p>
            <w:pPr>
              <w:jc w:val="center"/>
              <w:spacing w:after="0" w:line="176" w:lineRule="exact"/>
              <w:rPr>
                <w:sz w:val="20"/>
                <w:szCs w:val="20"/>
                <w:color w:val="auto"/>
              </w:rPr>
            </w:pPr>
            <w:r>
              <w:rPr>
                <w:rFonts w:ascii="Arial" w:cs="Arial" w:eastAsia="Arial" w:hAnsi="Arial"/>
                <w:sz w:val="17"/>
                <w:szCs w:val="17"/>
                <w:color w:val="auto"/>
                <w:w w:val="97"/>
              </w:rPr>
              <w:t>Beneficially</w:t>
            </w:r>
          </w:p>
        </w:tc>
        <w:tc>
          <w:tcPr>
            <w:tcW w:w="180" w:type="dxa"/>
            <w:vAlign w:val="bottom"/>
          </w:tcPr>
          <w:p>
            <w:pPr>
              <w:jc w:val="right"/>
              <w:spacing w:after="0" w:line="176" w:lineRule="exact"/>
              <w:rPr>
                <w:sz w:val="20"/>
                <w:szCs w:val="20"/>
                <w:color w:val="auto"/>
              </w:rPr>
            </w:pPr>
            <w:r>
              <w:rPr>
                <w:rFonts w:ascii="Arial" w:cs="Arial" w:eastAsia="Arial" w:hAnsi="Arial"/>
                <w:sz w:val="17"/>
                <w:szCs w:val="17"/>
                <w:color w:val="auto"/>
                <w:w w:val="84"/>
              </w:rPr>
              <w:t>6</w:t>
            </w:r>
          </w:p>
        </w:tc>
        <w:tc>
          <w:tcPr>
            <w:tcW w:w="9860" w:type="dxa"/>
            <w:vAlign w:val="bottom"/>
          </w:tcPr>
          <w:p>
            <w:pPr>
              <w:ind w:left="80"/>
              <w:spacing w:after="0" w:line="176"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1"/>
              </w:rPr>
              <w:t>Owned by</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7,131,000 shares**</w:t>
            </w:r>
          </w:p>
        </w:tc>
        <w:tc>
          <w:tcPr>
            <w:tcW w:w="0" w:type="dxa"/>
            <w:vAlign w:val="bottom"/>
          </w:tcPr>
          <w:p>
            <w:pPr>
              <w:spacing w:after="0"/>
              <w:rPr>
                <w:sz w:val="1"/>
                <w:szCs w:val="1"/>
                <w:color w:val="auto"/>
              </w:rPr>
            </w:pPr>
          </w:p>
        </w:tc>
      </w:tr>
      <w:tr>
        <w:trPr>
          <w:trHeight w:val="25"/>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87"/>
              </w:rPr>
              <w:t>Each</w:t>
            </w:r>
          </w:p>
        </w:tc>
        <w:tc>
          <w:tcPr>
            <w:tcW w:w="180" w:type="dxa"/>
            <w:vAlign w:val="bottom"/>
            <w:tcBorders>
              <w:bottom w:val="single" w:sz="8" w:color="auto"/>
            </w:tcBorders>
          </w:tcPr>
          <w:p>
            <w:pPr>
              <w:spacing w:after="0"/>
              <w:rPr>
                <w:sz w:val="2"/>
                <w:szCs w:val="2"/>
                <w:color w:val="auto"/>
              </w:rPr>
            </w:pPr>
          </w:p>
        </w:tc>
        <w:tc>
          <w:tcPr>
            <w:tcW w:w="98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1"/>
        </w:trPr>
        <w:tc>
          <w:tcPr>
            <w:tcW w:w="1380" w:type="dxa"/>
            <w:vAlign w:val="bottom"/>
            <w:vMerge w:val="continue"/>
          </w:tcPr>
          <w:p>
            <w:pPr>
              <w:spacing w:after="0"/>
              <w:rPr>
                <w:sz w:val="14"/>
                <w:szCs w:val="14"/>
                <w:color w:val="auto"/>
              </w:rPr>
            </w:pPr>
          </w:p>
        </w:tc>
        <w:tc>
          <w:tcPr>
            <w:tcW w:w="180" w:type="dxa"/>
            <w:vAlign w:val="bottom"/>
          </w:tcPr>
          <w:p>
            <w:pPr>
              <w:jc w:val="right"/>
              <w:spacing w:after="0" w:line="161" w:lineRule="exact"/>
              <w:rPr>
                <w:sz w:val="20"/>
                <w:szCs w:val="20"/>
                <w:color w:val="auto"/>
              </w:rPr>
            </w:pPr>
            <w:r>
              <w:rPr>
                <w:rFonts w:ascii="Arial" w:cs="Arial" w:eastAsia="Arial" w:hAnsi="Arial"/>
                <w:sz w:val="17"/>
                <w:szCs w:val="17"/>
                <w:color w:val="auto"/>
                <w:w w:val="84"/>
              </w:rPr>
              <w:t>7</w:t>
            </w:r>
          </w:p>
        </w:tc>
        <w:tc>
          <w:tcPr>
            <w:tcW w:w="9860" w:type="dxa"/>
            <w:vAlign w:val="bottom"/>
          </w:tcPr>
          <w:p>
            <w:pPr>
              <w:ind w:left="80"/>
              <w:spacing w:after="0" w:line="161"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4"/>
              </w:rPr>
              <w:t>Reporting</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38"/>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2"/>
              </w:rPr>
              <w:t>Person With</w:t>
            </w:r>
          </w:p>
        </w:tc>
        <w:tc>
          <w:tcPr>
            <w:tcW w:w="180" w:type="dxa"/>
            <w:vAlign w:val="bottom"/>
            <w:tcBorders>
              <w:bottom w:val="single" w:sz="8" w:color="auto"/>
            </w:tcBorders>
          </w:tcPr>
          <w:p>
            <w:pPr>
              <w:spacing w:after="0"/>
              <w:rPr>
                <w:sz w:val="3"/>
                <w:szCs w:val="3"/>
                <w:color w:val="auto"/>
              </w:rPr>
            </w:pPr>
          </w:p>
        </w:tc>
        <w:tc>
          <w:tcPr>
            <w:tcW w:w="986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201"/>
        </w:trPr>
        <w:tc>
          <w:tcPr>
            <w:tcW w:w="1380" w:type="dxa"/>
            <w:vAlign w:val="bottom"/>
            <w:vMerge w:val="continue"/>
          </w:tcPr>
          <w:p>
            <w:pPr>
              <w:spacing w:after="0"/>
              <w:rPr>
                <w:sz w:val="17"/>
                <w:szCs w:val="17"/>
                <w:color w:val="auto"/>
              </w:rPr>
            </w:pPr>
          </w:p>
        </w:tc>
        <w:tc>
          <w:tcPr>
            <w:tcW w:w="180" w:type="dxa"/>
            <w:vAlign w:val="bottom"/>
          </w:tcPr>
          <w:p>
            <w:pPr>
              <w:jc w:val="right"/>
              <w:spacing w:after="0"/>
              <w:rPr>
                <w:sz w:val="20"/>
                <w:szCs w:val="20"/>
                <w:color w:val="auto"/>
              </w:rPr>
            </w:pPr>
            <w:r>
              <w:rPr>
                <w:rFonts w:ascii="Arial" w:cs="Arial" w:eastAsia="Arial" w:hAnsi="Arial"/>
                <w:sz w:val="17"/>
                <w:szCs w:val="17"/>
                <w:color w:val="auto"/>
                <w:w w:val="84"/>
              </w:rPr>
              <w:t>8</w:t>
            </w:r>
          </w:p>
        </w:tc>
        <w:tc>
          <w:tcPr>
            <w:tcW w:w="9860" w:type="dxa"/>
            <w:vAlign w:val="bottom"/>
          </w:tcPr>
          <w:p>
            <w:pPr>
              <w:ind w:left="8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bl>
    <w:p>
      <w:pPr>
        <w:ind w:left="1700"/>
        <w:spacing w:after="0"/>
        <w:rPr>
          <w:sz w:val="20"/>
          <w:szCs w:val="20"/>
          <w:color w:val="auto"/>
        </w:rPr>
      </w:pPr>
      <w:r>
        <w:rPr>
          <w:rFonts w:ascii="Arial" w:cs="Arial" w:eastAsia="Arial" w:hAnsi="Arial"/>
          <w:sz w:val="17"/>
          <w:szCs w:val="17"/>
          <w:color w:val="auto"/>
        </w:rPr>
        <w:t>7,131,000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5715</wp:posOffset>
            </wp:positionV>
            <wp:extent cx="7252970" cy="1651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3" w:lineRule="exact"/>
        <w:rPr>
          <w:sz w:val="20"/>
          <w:szCs w:val="20"/>
          <w:color w:val="auto"/>
        </w:rPr>
      </w:pPr>
    </w:p>
    <w:p>
      <w:pPr>
        <w:ind w:left="780" w:right="6360" w:hanging="777"/>
        <w:spacing w:after="0" w:line="261" w:lineRule="auto"/>
        <w:tabs>
          <w:tab w:leader="none" w:pos="470" w:val="left"/>
        </w:tabs>
        <w:numPr>
          <w:ilvl w:val="0"/>
          <w:numId w:val="24"/>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7,131,000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tabs>
          <w:tab w:leader="none" w:pos="440" w:val="left"/>
          <w:tab w:leader="none" w:pos="6640" w:val="left"/>
        </w:tabs>
        <w:rPr>
          <w:sz w:val="20"/>
          <w:szCs w:val="20"/>
          <w:color w:val="auto"/>
        </w:rPr>
      </w:pPr>
      <w:r>
        <w:rPr>
          <w:rFonts w:ascii="Arial" w:cs="Arial" w:eastAsia="Arial" w:hAnsi="Arial"/>
          <w:sz w:val="16"/>
          <w:szCs w:val="16"/>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780" w:right="7340" w:hanging="777"/>
        <w:spacing w:after="0" w:line="261" w:lineRule="auto"/>
        <w:tabs>
          <w:tab w:leader="none" w:pos="470" w:val="left"/>
        </w:tabs>
        <w:numPr>
          <w:ilvl w:val="0"/>
          <w:numId w:val="25"/>
        </w:numPr>
        <w:rPr>
          <w:rFonts w:ascii="Arial" w:cs="Arial" w:eastAsia="Arial" w:hAnsi="Arial"/>
          <w:sz w:val="17"/>
          <w:szCs w:val="17"/>
          <w:color w:val="auto"/>
        </w:rPr>
      </w:pPr>
      <w:r>
        <w:rPr>
          <w:rFonts w:ascii="Arial" w:cs="Arial" w:eastAsia="Arial" w:hAnsi="Arial"/>
          <w:sz w:val="17"/>
          <w:szCs w:val="17"/>
          <w:color w:val="auto"/>
        </w:rPr>
        <w:t>Percent of Class Represented by Amount in Row (9) 1.3%**</w:t>
      </w:r>
    </w:p>
    <w:p>
      <w:pPr>
        <w:ind w:left="460" w:hanging="457"/>
        <w:spacing w:after="0"/>
        <w:tabs>
          <w:tab w:leader="none" w:pos="460" w:val="left"/>
        </w:tabs>
        <w:numPr>
          <w:ilvl w:val="0"/>
          <w:numId w:val="25"/>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-123825</wp:posOffset>
            </wp:positionV>
            <wp:extent cx="7252970" cy="825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 w:lineRule="exact"/>
        <w:rPr>
          <w:sz w:val="20"/>
          <w:szCs w:val="20"/>
          <w:color w:val="auto"/>
        </w:rPr>
      </w:pPr>
    </w:p>
    <w:p>
      <w:pPr>
        <w:ind w:left="780"/>
        <w:spacing w:after="0"/>
        <w:rPr>
          <w:sz w:val="20"/>
          <w:szCs w:val="20"/>
          <w:color w:val="auto"/>
        </w:rPr>
      </w:pPr>
      <w:r>
        <w:rPr>
          <w:rFonts w:ascii="Arial" w:cs="Arial" w:eastAsia="Arial" w:hAnsi="Arial"/>
          <w:sz w:val="17"/>
          <w:szCs w:val="17"/>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25"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553720</wp:posOffset>
            </wp:positionV>
            <wp:extent cx="7257415" cy="2095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747" w:right="239" w:bottom="1440" w:gutter="0" w:footer="0" w:header="0"/>
        </w:sectPr>
      </w:pPr>
    </w:p>
    <w:bookmarkStart w:id="5" w:name="page6"/>
    <w:bookmarkEnd w:id="5"/>
    <w:p>
      <w:pPr>
        <w:ind w:left="460" w:right="8800" w:hanging="457"/>
        <w:spacing w:after="0" w:line="296" w:lineRule="auto"/>
        <w:tabs>
          <w:tab w:leader="none" w:pos="460" w:val="left"/>
        </w:tabs>
        <w:numPr>
          <w:ilvl w:val="0"/>
          <w:numId w:val="26"/>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326390</wp:posOffset>
            </wp:positionV>
            <wp:extent cx="7252970" cy="825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DME Capital Management,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460" w:hanging="457"/>
        <w:spacing w:after="0"/>
        <w:tabs>
          <w:tab w:leader="none" w:pos="460" w:val="left"/>
        </w:tabs>
        <w:numPr>
          <w:ilvl w:val="0"/>
          <w:numId w:val="27"/>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140" w:hanging="672"/>
        <w:spacing w:after="0"/>
        <w:tabs>
          <w:tab w:leader="none" w:pos="1140" w:val="left"/>
        </w:tabs>
        <w:numPr>
          <w:ilvl w:val="1"/>
          <w:numId w:val="27"/>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140" w:hanging="672"/>
        <w:spacing w:after="0"/>
        <w:tabs>
          <w:tab w:leader="none" w:pos="1140" w:val="left"/>
        </w:tabs>
        <w:numPr>
          <w:ilvl w:val="1"/>
          <w:numId w:val="27"/>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460" w:hanging="457"/>
        <w:spacing w:after="0"/>
        <w:tabs>
          <w:tab w:leader="none" w:pos="460" w:val="left"/>
        </w:tabs>
        <w:numPr>
          <w:ilvl w:val="0"/>
          <w:numId w:val="28"/>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780" w:right="8400" w:hanging="777"/>
        <w:spacing w:after="0" w:line="272" w:lineRule="auto"/>
        <w:tabs>
          <w:tab w:leader="none" w:pos="470" w:val="left"/>
        </w:tabs>
        <w:numPr>
          <w:ilvl w:val="0"/>
          <w:numId w:val="29"/>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182"/>
        </w:trPr>
        <w:tc>
          <w:tcPr>
            <w:tcW w:w="1380" w:type="dxa"/>
            <w:vAlign w:val="bottom"/>
            <w:tcBorders>
              <w:top w:val="single" w:sz="8" w:color="auto"/>
            </w:tcBorders>
          </w:tcPr>
          <w:p>
            <w:pPr>
              <w:jc w:val="center"/>
              <w:spacing w:after="0" w:line="182" w:lineRule="exact"/>
              <w:rPr>
                <w:sz w:val="20"/>
                <w:szCs w:val="20"/>
                <w:color w:val="auto"/>
              </w:rPr>
            </w:pPr>
            <w:r>
              <w:rPr>
                <w:rFonts w:ascii="Arial" w:cs="Arial" w:eastAsia="Arial" w:hAnsi="Arial"/>
                <w:sz w:val="17"/>
                <w:szCs w:val="17"/>
                <w:color w:val="auto"/>
                <w:w w:val="92"/>
              </w:rPr>
              <w:t>Number</w:t>
            </w:r>
          </w:p>
        </w:tc>
        <w:tc>
          <w:tcPr>
            <w:tcW w:w="180" w:type="dxa"/>
            <w:vAlign w:val="bottom"/>
            <w:tcBorders>
              <w:top w:val="single" w:sz="8" w:color="auto"/>
            </w:tcBorders>
          </w:tcPr>
          <w:p>
            <w:pPr>
              <w:jc w:val="right"/>
              <w:spacing w:after="0" w:line="182" w:lineRule="exact"/>
              <w:rPr>
                <w:sz w:val="20"/>
                <w:szCs w:val="20"/>
                <w:color w:val="auto"/>
              </w:rPr>
            </w:pPr>
            <w:r>
              <w:rPr>
                <w:rFonts w:ascii="Arial" w:cs="Arial" w:eastAsia="Arial" w:hAnsi="Arial"/>
                <w:sz w:val="17"/>
                <w:szCs w:val="17"/>
                <w:color w:val="auto"/>
                <w:w w:val="84"/>
              </w:rPr>
              <w:t>5</w:t>
            </w:r>
          </w:p>
        </w:tc>
        <w:tc>
          <w:tcPr>
            <w:tcW w:w="9860" w:type="dxa"/>
            <w:vAlign w:val="bottom"/>
            <w:tcBorders>
              <w:top w:val="single" w:sz="8" w:color="auto"/>
            </w:tcBorders>
          </w:tcPr>
          <w:p>
            <w:pPr>
              <w:ind w:left="80"/>
              <w:spacing w:after="0" w:line="182" w:lineRule="exact"/>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217"/>
        </w:trPr>
        <w:tc>
          <w:tcPr>
            <w:tcW w:w="1380" w:type="dxa"/>
            <w:vAlign w:val="bottom"/>
          </w:tcPr>
          <w:p>
            <w:pPr>
              <w:jc w:val="center"/>
              <w:spacing w:after="0"/>
              <w:rPr>
                <w:sz w:val="20"/>
                <w:szCs w:val="20"/>
                <w:color w:val="auto"/>
              </w:rPr>
            </w:pPr>
            <w:r>
              <w:rPr>
                <w:rFonts w:ascii="Arial" w:cs="Arial" w:eastAsia="Arial" w:hAnsi="Arial"/>
                <w:sz w:val="17"/>
                <w:szCs w:val="17"/>
                <w:color w:val="auto"/>
                <w:w w:val="87"/>
              </w:rPr>
              <w:t>of Shares</w:t>
            </w: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176"/>
        </w:trPr>
        <w:tc>
          <w:tcPr>
            <w:tcW w:w="1380" w:type="dxa"/>
            <w:vAlign w:val="bottom"/>
          </w:tcPr>
          <w:p>
            <w:pPr>
              <w:jc w:val="center"/>
              <w:spacing w:after="0" w:line="176" w:lineRule="exact"/>
              <w:rPr>
                <w:sz w:val="20"/>
                <w:szCs w:val="20"/>
                <w:color w:val="auto"/>
              </w:rPr>
            </w:pPr>
            <w:r>
              <w:rPr>
                <w:rFonts w:ascii="Arial" w:cs="Arial" w:eastAsia="Arial" w:hAnsi="Arial"/>
                <w:sz w:val="17"/>
                <w:szCs w:val="17"/>
                <w:color w:val="auto"/>
                <w:w w:val="97"/>
              </w:rPr>
              <w:t>Beneficially</w:t>
            </w:r>
          </w:p>
        </w:tc>
        <w:tc>
          <w:tcPr>
            <w:tcW w:w="180" w:type="dxa"/>
            <w:vAlign w:val="bottom"/>
          </w:tcPr>
          <w:p>
            <w:pPr>
              <w:jc w:val="right"/>
              <w:spacing w:after="0" w:line="176" w:lineRule="exact"/>
              <w:rPr>
                <w:sz w:val="20"/>
                <w:szCs w:val="20"/>
                <w:color w:val="auto"/>
              </w:rPr>
            </w:pPr>
            <w:r>
              <w:rPr>
                <w:rFonts w:ascii="Arial" w:cs="Arial" w:eastAsia="Arial" w:hAnsi="Arial"/>
                <w:sz w:val="17"/>
                <w:szCs w:val="17"/>
                <w:color w:val="auto"/>
                <w:w w:val="84"/>
              </w:rPr>
              <w:t>6</w:t>
            </w:r>
          </w:p>
        </w:tc>
        <w:tc>
          <w:tcPr>
            <w:tcW w:w="9860" w:type="dxa"/>
            <w:vAlign w:val="bottom"/>
          </w:tcPr>
          <w:p>
            <w:pPr>
              <w:ind w:left="80"/>
              <w:spacing w:after="0" w:line="176"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1"/>
              </w:rPr>
              <w:t>Owned by</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11,832,582 shares**</w:t>
            </w:r>
          </w:p>
        </w:tc>
        <w:tc>
          <w:tcPr>
            <w:tcW w:w="0" w:type="dxa"/>
            <w:vAlign w:val="bottom"/>
          </w:tcPr>
          <w:p>
            <w:pPr>
              <w:spacing w:after="0"/>
              <w:rPr>
                <w:sz w:val="1"/>
                <w:szCs w:val="1"/>
                <w:color w:val="auto"/>
              </w:rPr>
            </w:pPr>
          </w:p>
        </w:tc>
      </w:tr>
      <w:tr>
        <w:trPr>
          <w:trHeight w:val="25"/>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87"/>
              </w:rPr>
              <w:t>Each</w:t>
            </w:r>
          </w:p>
        </w:tc>
        <w:tc>
          <w:tcPr>
            <w:tcW w:w="180" w:type="dxa"/>
            <w:vAlign w:val="bottom"/>
            <w:tcBorders>
              <w:bottom w:val="single" w:sz="8" w:color="auto"/>
            </w:tcBorders>
          </w:tcPr>
          <w:p>
            <w:pPr>
              <w:spacing w:after="0"/>
              <w:rPr>
                <w:sz w:val="2"/>
                <w:szCs w:val="2"/>
                <w:color w:val="auto"/>
              </w:rPr>
            </w:pPr>
          </w:p>
        </w:tc>
        <w:tc>
          <w:tcPr>
            <w:tcW w:w="98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1"/>
        </w:trPr>
        <w:tc>
          <w:tcPr>
            <w:tcW w:w="1380" w:type="dxa"/>
            <w:vAlign w:val="bottom"/>
            <w:vMerge w:val="continue"/>
          </w:tcPr>
          <w:p>
            <w:pPr>
              <w:spacing w:after="0"/>
              <w:rPr>
                <w:sz w:val="14"/>
                <w:szCs w:val="14"/>
                <w:color w:val="auto"/>
              </w:rPr>
            </w:pPr>
          </w:p>
        </w:tc>
        <w:tc>
          <w:tcPr>
            <w:tcW w:w="180" w:type="dxa"/>
            <w:vAlign w:val="bottom"/>
          </w:tcPr>
          <w:p>
            <w:pPr>
              <w:jc w:val="right"/>
              <w:spacing w:after="0" w:line="161" w:lineRule="exact"/>
              <w:rPr>
                <w:sz w:val="20"/>
                <w:szCs w:val="20"/>
                <w:color w:val="auto"/>
              </w:rPr>
            </w:pPr>
            <w:r>
              <w:rPr>
                <w:rFonts w:ascii="Arial" w:cs="Arial" w:eastAsia="Arial" w:hAnsi="Arial"/>
                <w:sz w:val="17"/>
                <w:szCs w:val="17"/>
                <w:color w:val="auto"/>
                <w:w w:val="84"/>
              </w:rPr>
              <w:t>7</w:t>
            </w:r>
          </w:p>
        </w:tc>
        <w:tc>
          <w:tcPr>
            <w:tcW w:w="9860" w:type="dxa"/>
            <w:vAlign w:val="bottom"/>
          </w:tcPr>
          <w:p>
            <w:pPr>
              <w:ind w:left="80"/>
              <w:spacing w:after="0" w:line="161"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4"/>
              </w:rPr>
              <w:t>Reporting</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38"/>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2"/>
              </w:rPr>
              <w:t>Person With</w:t>
            </w:r>
          </w:p>
        </w:tc>
        <w:tc>
          <w:tcPr>
            <w:tcW w:w="180" w:type="dxa"/>
            <w:vAlign w:val="bottom"/>
            <w:tcBorders>
              <w:bottom w:val="single" w:sz="8" w:color="auto"/>
            </w:tcBorders>
          </w:tcPr>
          <w:p>
            <w:pPr>
              <w:spacing w:after="0"/>
              <w:rPr>
                <w:sz w:val="3"/>
                <w:szCs w:val="3"/>
                <w:color w:val="auto"/>
              </w:rPr>
            </w:pPr>
          </w:p>
        </w:tc>
        <w:tc>
          <w:tcPr>
            <w:tcW w:w="986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201"/>
        </w:trPr>
        <w:tc>
          <w:tcPr>
            <w:tcW w:w="1380" w:type="dxa"/>
            <w:vAlign w:val="bottom"/>
            <w:vMerge w:val="continue"/>
          </w:tcPr>
          <w:p>
            <w:pPr>
              <w:spacing w:after="0"/>
              <w:rPr>
                <w:sz w:val="17"/>
                <w:szCs w:val="17"/>
                <w:color w:val="auto"/>
              </w:rPr>
            </w:pPr>
          </w:p>
        </w:tc>
        <w:tc>
          <w:tcPr>
            <w:tcW w:w="180" w:type="dxa"/>
            <w:vAlign w:val="bottom"/>
          </w:tcPr>
          <w:p>
            <w:pPr>
              <w:jc w:val="right"/>
              <w:spacing w:after="0"/>
              <w:rPr>
                <w:sz w:val="20"/>
                <w:szCs w:val="20"/>
                <w:color w:val="auto"/>
              </w:rPr>
            </w:pPr>
            <w:r>
              <w:rPr>
                <w:rFonts w:ascii="Arial" w:cs="Arial" w:eastAsia="Arial" w:hAnsi="Arial"/>
                <w:sz w:val="17"/>
                <w:szCs w:val="17"/>
                <w:color w:val="auto"/>
                <w:w w:val="84"/>
              </w:rPr>
              <w:t>8</w:t>
            </w:r>
          </w:p>
        </w:tc>
        <w:tc>
          <w:tcPr>
            <w:tcW w:w="9860" w:type="dxa"/>
            <w:vAlign w:val="bottom"/>
          </w:tcPr>
          <w:p>
            <w:pPr>
              <w:ind w:left="8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bl>
    <w:p>
      <w:pPr>
        <w:ind w:left="1700"/>
        <w:spacing w:after="0"/>
        <w:rPr>
          <w:sz w:val="20"/>
          <w:szCs w:val="20"/>
          <w:color w:val="auto"/>
        </w:rPr>
      </w:pPr>
      <w:r>
        <w:rPr>
          <w:rFonts w:ascii="Arial" w:cs="Arial" w:eastAsia="Arial" w:hAnsi="Arial"/>
          <w:sz w:val="17"/>
          <w:szCs w:val="17"/>
          <w:color w:val="auto"/>
        </w:rPr>
        <w:t>11,832,582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5715</wp:posOffset>
            </wp:positionV>
            <wp:extent cx="7252970" cy="1651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3" w:lineRule="exact"/>
        <w:rPr>
          <w:sz w:val="20"/>
          <w:szCs w:val="20"/>
          <w:color w:val="auto"/>
        </w:rPr>
      </w:pPr>
    </w:p>
    <w:p>
      <w:pPr>
        <w:ind w:left="780" w:right="6360" w:hanging="777"/>
        <w:spacing w:after="0" w:line="261" w:lineRule="auto"/>
        <w:tabs>
          <w:tab w:leader="none" w:pos="470" w:val="left"/>
        </w:tabs>
        <w:numPr>
          <w:ilvl w:val="0"/>
          <w:numId w:val="30"/>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11,832,582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tabs>
          <w:tab w:leader="none" w:pos="440" w:val="left"/>
          <w:tab w:leader="none" w:pos="6640" w:val="left"/>
        </w:tabs>
        <w:rPr>
          <w:sz w:val="20"/>
          <w:szCs w:val="20"/>
          <w:color w:val="auto"/>
        </w:rPr>
      </w:pPr>
      <w:r>
        <w:rPr>
          <w:rFonts w:ascii="Arial" w:cs="Arial" w:eastAsia="Arial" w:hAnsi="Arial"/>
          <w:sz w:val="16"/>
          <w:szCs w:val="16"/>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780" w:right="7340" w:hanging="777"/>
        <w:spacing w:after="0" w:line="261" w:lineRule="auto"/>
        <w:tabs>
          <w:tab w:leader="none" w:pos="470" w:val="left"/>
        </w:tabs>
        <w:numPr>
          <w:ilvl w:val="0"/>
          <w:numId w:val="31"/>
        </w:numPr>
        <w:rPr>
          <w:rFonts w:ascii="Arial" w:cs="Arial" w:eastAsia="Arial" w:hAnsi="Arial"/>
          <w:sz w:val="17"/>
          <w:szCs w:val="17"/>
          <w:color w:val="auto"/>
        </w:rPr>
      </w:pPr>
      <w:r>
        <w:rPr>
          <w:rFonts w:ascii="Arial" w:cs="Arial" w:eastAsia="Arial" w:hAnsi="Arial"/>
          <w:sz w:val="17"/>
          <w:szCs w:val="17"/>
          <w:color w:val="auto"/>
        </w:rPr>
        <w:t>Percent of Class Represented by Amount in Row (9) 2.2%**</w:t>
      </w:r>
    </w:p>
    <w:p>
      <w:pPr>
        <w:ind w:left="460" w:hanging="457"/>
        <w:spacing w:after="0"/>
        <w:tabs>
          <w:tab w:leader="none" w:pos="460" w:val="left"/>
        </w:tabs>
        <w:numPr>
          <w:ilvl w:val="0"/>
          <w:numId w:val="31"/>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-123825</wp:posOffset>
            </wp:positionV>
            <wp:extent cx="7252970" cy="825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 w:lineRule="exact"/>
        <w:rPr>
          <w:sz w:val="20"/>
          <w:szCs w:val="20"/>
          <w:color w:val="auto"/>
        </w:rPr>
      </w:pPr>
    </w:p>
    <w:p>
      <w:pPr>
        <w:ind w:left="780"/>
        <w:spacing w:after="0"/>
        <w:rPr>
          <w:sz w:val="20"/>
          <w:szCs w:val="20"/>
          <w:color w:val="auto"/>
        </w:rPr>
      </w:pPr>
      <w:r>
        <w:rPr>
          <w:rFonts w:ascii="Arial" w:cs="Arial" w:eastAsia="Arial" w:hAnsi="Arial"/>
          <w:sz w:val="17"/>
          <w:szCs w:val="17"/>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25"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553720</wp:posOffset>
            </wp:positionV>
            <wp:extent cx="7257415" cy="2095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514" w:right="239" w:bottom="1440" w:gutter="0" w:footer="0" w:header="0"/>
        </w:sectPr>
      </w:pPr>
    </w:p>
    <w:bookmarkStart w:id="6" w:name="page7"/>
    <w:bookmarkEnd w:id="6"/>
    <w:p>
      <w:pPr>
        <w:ind w:left="460" w:right="8940" w:hanging="457"/>
        <w:spacing w:after="0" w:line="296" w:lineRule="auto"/>
        <w:tabs>
          <w:tab w:leader="none" w:pos="460" w:val="left"/>
        </w:tabs>
        <w:numPr>
          <w:ilvl w:val="0"/>
          <w:numId w:val="32"/>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154305</wp:posOffset>
            </wp:positionH>
            <wp:positionV relativeFrom="page">
              <wp:posOffset>474345</wp:posOffset>
            </wp:positionV>
            <wp:extent cx="7252970" cy="825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DME Advisors GP,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460" w:hanging="457"/>
        <w:spacing w:after="0"/>
        <w:tabs>
          <w:tab w:leader="none" w:pos="460" w:val="left"/>
        </w:tabs>
        <w:numPr>
          <w:ilvl w:val="0"/>
          <w:numId w:val="33"/>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140" w:hanging="672"/>
        <w:spacing w:after="0"/>
        <w:tabs>
          <w:tab w:leader="none" w:pos="1140" w:val="left"/>
        </w:tabs>
        <w:numPr>
          <w:ilvl w:val="1"/>
          <w:numId w:val="33"/>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140" w:hanging="672"/>
        <w:spacing w:after="0"/>
        <w:tabs>
          <w:tab w:leader="none" w:pos="1140" w:val="left"/>
        </w:tabs>
        <w:numPr>
          <w:ilvl w:val="1"/>
          <w:numId w:val="33"/>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460" w:hanging="457"/>
        <w:spacing w:after="0"/>
        <w:tabs>
          <w:tab w:leader="none" w:pos="460" w:val="left"/>
        </w:tabs>
        <w:numPr>
          <w:ilvl w:val="0"/>
          <w:numId w:val="34"/>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780" w:right="8400" w:hanging="777"/>
        <w:spacing w:after="0" w:line="272" w:lineRule="auto"/>
        <w:tabs>
          <w:tab w:leader="none" w:pos="470" w:val="left"/>
        </w:tabs>
        <w:numPr>
          <w:ilvl w:val="0"/>
          <w:numId w:val="35"/>
        </w:numPr>
        <w:rPr>
          <w:rFonts w:ascii="Arial" w:cs="Arial" w:eastAsia="Arial" w:hAnsi="Arial"/>
          <w:sz w:val="17"/>
          <w:szCs w:val="17"/>
          <w:color w:val="auto"/>
        </w:rPr>
      </w:pPr>
      <w:r>
        <w:rPr>
          <w:rFonts w:ascii="Arial" w:cs="Arial" w:eastAsia="Arial" w:hAnsi="Arial"/>
          <w:sz w:val="17"/>
          <w:szCs w:val="17"/>
          <w:color w:val="auto"/>
        </w:rPr>
        <w:t>Citizenship or Place of Organization. Delaware</w:t>
      </w:r>
    </w:p>
    <w:tbl>
      <w:tblPr>
        <w:tblLayout w:type="fixed"/>
        <w:tblInd w:w="0" w:type="dxa"/>
        <w:tblCellMar>
          <w:top w:w="0" w:type="dxa"/>
          <w:left w:w="0" w:type="dxa"/>
          <w:bottom w:w="0" w:type="dxa"/>
          <w:right w:w="0" w:type="dxa"/>
        </w:tblCellMar>
      </w:tblPr>
      <w:tr>
        <w:trPr>
          <w:trHeight w:val="182"/>
        </w:trPr>
        <w:tc>
          <w:tcPr>
            <w:tcW w:w="1380" w:type="dxa"/>
            <w:vAlign w:val="bottom"/>
            <w:tcBorders>
              <w:top w:val="single" w:sz="8" w:color="auto"/>
            </w:tcBorders>
          </w:tcPr>
          <w:p>
            <w:pPr>
              <w:jc w:val="center"/>
              <w:spacing w:after="0" w:line="182" w:lineRule="exact"/>
              <w:rPr>
                <w:sz w:val="20"/>
                <w:szCs w:val="20"/>
                <w:color w:val="auto"/>
              </w:rPr>
            </w:pPr>
            <w:r>
              <w:rPr>
                <w:rFonts w:ascii="Arial" w:cs="Arial" w:eastAsia="Arial" w:hAnsi="Arial"/>
                <w:sz w:val="17"/>
                <w:szCs w:val="17"/>
                <w:color w:val="auto"/>
                <w:w w:val="92"/>
              </w:rPr>
              <w:t>Number</w:t>
            </w:r>
          </w:p>
        </w:tc>
        <w:tc>
          <w:tcPr>
            <w:tcW w:w="180" w:type="dxa"/>
            <w:vAlign w:val="bottom"/>
            <w:tcBorders>
              <w:top w:val="single" w:sz="8" w:color="auto"/>
            </w:tcBorders>
          </w:tcPr>
          <w:p>
            <w:pPr>
              <w:jc w:val="right"/>
              <w:spacing w:after="0" w:line="182" w:lineRule="exact"/>
              <w:rPr>
                <w:sz w:val="20"/>
                <w:szCs w:val="20"/>
                <w:color w:val="auto"/>
              </w:rPr>
            </w:pPr>
            <w:r>
              <w:rPr>
                <w:rFonts w:ascii="Arial" w:cs="Arial" w:eastAsia="Arial" w:hAnsi="Arial"/>
                <w:sz w:val="17"/>
                <w:szCs w:val="17"/>
                <w:color w:val="auto"/>
                <w:w w:val="84"/>
              </w:rPr>
              <w:t>5</w:t>
            </w:r>
          </w:p>
        </w:tc>
        <w:tc>
          <w:tcPr>
            <w:tcW w:w="9860" w:type="dxa"/>
            <w:vAlign w:val="bottom"/>
            <w:tcBorders>
              <w:top w:val="single" w:sz="8" w:color="auto"/>
            </w:tcBorders>
          </w:tcPr>
          <w:p>
            <w:pPr>
              <w:ind w:left="80"/>
              <w:spacing w:after="0" w:line="182" w:lineRule="exact"/>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217"/>
        </w:trPr>
        <w:tc>
          <w:tcPr>
            <w:tcW w:w="1380" w:type="dxa"/>
            <w:vAlign w:val="bottom"/>
          </w:tcPr>
          <w:p>
            <w:pPr>
              <w:jc w:val="center"/>
              <w:spacing w:after="0"/>
              <w:rPr>
                <w:sz w:val="20"/>
                <w:szCs w:val="20"/>
                <w:color w:val="auto"/>
              </w:rPr>
            </w:pPr>
            <w:r>
              <w:rPr>
                <w:rFonts w:ascii="Arial" w:cs="Arial" w:eastAsia="Arial" w:hAnsi="Arial"/>
                <w:sz w:val="17"/>
                <w:szCs w:val="17"/>
                <w:color w:val="auto"/>
                <w:w w:val="87"/>
              </w:rPr>
              <w:t>of Shares</w:t>
            </w: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176"/>
        </w:trPr>
        <w:tc>
          <w:tcPr>
            <w:tcW w:w="1380" w:type="dxa"/>
            <w:vAlign w:val="bottom"/>
          </w:tcPr>
          <w:p>
            <w:pPr>
              <w:jc w:val="center"/>
              <w:spacing w:after="0" w:line="176" w:lineRule="exact"/>
              <w:rPr>
                <w:sz w:val="20"/>
                <w:szCs w:val="20"/>
                <w:color w:val="auto"/>
              </w:rPr>
            </w:pPr>
            <w:r>
              <w:rPr>
                <w:rFonts w:ascii="Arial" w:cs="Arial" w:eastAsia="Arial" w:hAnsi="Arial"/>
                <w:sz w:val="17"/>
                <w:szCs w:val="17"/>
                <w:color w:val="auto"/>
                <w:w w:val="97"/>
              </w:rPr>
              <w:t>Beneficially</w:t>
            </w:r>
          </w:p>
        </w:tc>
        <w:tc>
          <w:tcPr>
            <w:tcW w:w="180" w:type="dxa"/>
            <w:vAlign w:val="bottom"/>
          </w:tcPr>
          <w:p>
            <w:pPr>
              <w:jc w:val="right"/>
              <w:spacing w:after="0" w:line="176" w:lineRule="exact"/>
              <w:rPr>
                <w:sz w:val="20"/>
                <w:szCs w:val="20"/>
                <w:color w:val="auto"/>
              </w:rPr>
            </w:pPr>
            <w:r>
              <w:rPr>
                <w:rFonts w:ascii="Arial" w:cs="Arial" w:eastAsia="Arial" w:hAnsi="Arial"/>
                <w:sz w:val="17"/>
                <w:szCs w:val="17"/>
                <w:color w:val="auto"/>
                <w:w w:val="84"/>
              </w:rPr>
              <w:t>6</w:t>
            </w:r>
          </w:p>
        </w:tc>
        <w:tc>
          <w:tcPr>
            <w:tcW w:w="9860" w:type="dxa"/>
            <w:vAlign w:val="bottom"/>
          </w:tcPr>
          <w:p>
            <w:pPr>
              <w:ind w:left="80"/>
              <w:spacing w:after="0" w:line="176"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1"/>
              </w:rPr>
              <w:t>Owned by</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18,963,582 shares**</w:t>
            </w:r>
          </w:p>
        </w:tc>
        <w:tc>
          <w:tcPr>
            <w:tcW w:w="0" w:type="dxa"/>
            <w:vAlign w:val="bottom"/>
          </w:tcPr>
          <w:p>
            <w:pPr>
              <w:spacing w:after="0"/>
              <w:rPr>
                <w:sz w:val="1"/>
                <w:szCs w:val="1"/>
                <w:color w:val="auto"/>
              </w:rPr>
            </w:pPr>
          </w:p>
        </w:tc>
      </w:tr>
      <w:tr>
        <w:trPr>
          <w:trHeight w:val="25"/>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87"/>
              </w:rPr>
              <w:t>Each</w:t>
            </w:r>
          </w:p>
        </w:tc>
        <w:tc>
          <w:tcPr>
            <w:tcW w:w="180" w:type="dxa"/>
            <w:vAlign w:val="bottom"/>
            <w:tcBorders>
              <w:bottom w:val="single" w:sz="8" w:color="auto"/>
            </w:tcBorders>
          </w:tcPr>
          <w:p>
            <w:pPr>
              <w:spacing w:after="0"/>
              <w:rPr>
                <w:sz w:val="2"/>
                <w:szCs w:val="2"/>
                <w:color w:val="auto"/>
              </w:rPr>
            </w:pPr>
          </w:p>
        </w:tc>
        <w:tc>
          <w:tcPr>
            <w:tcW w:w="98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1"/>
        </w:trPr>
        <w:tc>
          <w:tcPr>
            <w:tcW w:w="1380" w:type="dxa"/>
            <w:vAlign w:val="bottom"/>
            <w:vMerge w:val="continue"/>
          </w:tcPr>
          <w:p>
            <w:pPr>
              <w:spacing w:after="0"/>
              <w:rPr>
                <w:sz w:val="14"/>
                <w:szCs w:val="14"/>
                <w:color w:val="auto"/>
              </w:rPr>
            </w:pPr>
          </w:p>
        </w:tc>
        <w:tc>
          <w:tcPr>
            <w:tcW w:w="180" w:type="dxa"/>
            <w:vAlign w:val="bottom"/>
          </w:tcPr>
          <w:p>
            <w:pPr>
              <w:jc w:val="right"/>
              <w:spacing w:after="0" w:line="161" w:lineRule="exact"/>
              <w:rPr>
                <w:sz w:val="20"/>
                <w:szCs w:val="20"/>
                <w:color w:val="auto"/>
              </w:rPr>
            </w:pPr>
            <w:r>
              <w:rPr>
                <w:rFonts w:ascii="Arial" w:cs="Arial" w:eastAsia="Arial" w:hAnsi="Arial"/>
                <w:sz w:val="17"/>
                <w:szCs w:val="17"/>
                <w:color w:val="auto"/>
                <w:w w:val="84"/>
              </w:rPr>
              <w:t>7</w:t>
            </w:r>
          </w:p>
        </w:tc>
        <w:tc>
          <w:tcPr>
            <w:tcW w:w="9860" w:type="dxa"/>
            <w:vAlign w:val="bottom"/>
          </w:tcPr>
          <w:p>
            <w:pPr>
              <w:ind w:left="80"/>
              <w:spacing w:after="0" w:line="161"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4"/>
              </w:rPr>
              <w:t>Reporting</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38"/>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2"/>
              </w:rPr>
              <w:t>Person With</w:t>
            </w:r>
          </w:p>
        </w:tc>
        <w:tc>
          <w:tcPr>
            <w:tcW w:w="180" w:type="dxa"/>
            <w:vAlign w:val="bottom"/>
            <w:tcBorders>
              <w:bottom w:val="single" w:sz="8" w:color="auto"/>
            </w:tcBorders>
          </w:tcPr>
          <w:p>
            <w:pPr>
              <w:spacing w:after="0"/>
              <w:rPr>
                <w:sz w:val="3"/>
                <w:szCs w:val="3"/>
                <w:color w:val="auto"/>
              </w:rPr>
            </w:pPr>
          </w:p>
        </w:tc>
        <w:tc>
          <w:tcPr>
            <w:tcW w:w="986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201"/>
        </w:trPr>
        <w:tc>
          <w:tcPr>
            <w:tcW w:w="1380" w:type="dxa"/>
            <w:vAlign w:val="bottom"/>
            <w:vMerge w:val="continue"/>
          </w:tcPr>
          <w:p>
            <w:pPr>
              <w:spacing w:after="0"/>
              <w:rPr>
                <w:sz w:val="17"/>
                <w:szCs w:val="17"/>
                <w:color w:val="auto"/>
              </w:rPr>
            </w:pPr>
          </w:p>
        </w:tc>
        <w:tc>
          <w:tcPr>
            <w:tcW w:w="180" w:type="dxa"/>
            <w:vAlign w:val="bottom"/>
          </w:tcPr>
          <w:p>
            <w:pPr>
              <w:jc w:val="right"/>
              <w:spacing w:after="0"/>
              <w:rPr>
                <w:sz w:val="20"/>
                <w:szCs w:val="20"/>
                <w:color w:val="auto"/>
              </w:rPr>
            </w:pPr>
            <w:r>
              <w:rPr>
                <w:rFonts w:ascii="Arial" w:cs="Arial" w:eastAsia="Arial" w:hAnsi="Arial"/>
                <w:sz w:val="17"/>
                <w:szCs w:val="17"/>
                <w:color w:val="auto"/>
                <w:w w:val="84"/>
              </w:rPr>
              <w:t>8</w:t>
            </w:r>
          </w:p>
        </w:tc>
        <w:tc>
          <w:tcPr>
            <w:tcW w:w="9860" w:type="dxa"/>
            <w:vAlign w:val="bottom"/>
          </w:tcPr>
          <w:p>
            <w:pPr>
              <w:ind w:left="8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bl>
    <w:p>
      <w:pPr>
        <w:ind w:left="1700"/>
        <w:spacing w:after="0"/>
        <w:rPr>
          <w:sz w:val="20"/>
          <w:szCs w:val="20"/>
          <w:color w:val="auto"/>
        </w:rPr>
      </w:pPr>
      <w:r>
        <w:rPr>
          <w:rFonts w:ascii="Arial" w:cs="Arial" w:eastAsia="Arial" w:hAnsi="Arial"/>
          <w:sz w:val="17"/>
          <w:szCs w:val="17"/>
          <w:color w:val="auto"/>
        </w:rPr>
        <w:t>18,963,582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5715</wp:posOffset>
            </wp:positionV>
            <wp:extent cx="7252970" cy="1651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3" w:lineRule="exact"/>
        <w:rPr>
          <w:sz w:val="20"/>
          <w:szCs w:val="20"/>
          <w:color w:val="auto"/>
        </w:rPr>
      </w:pPr>
    </w:p>
    <w:p>
      <w:pPr>
        <w:ind w:left="780" w:right="6360" w:hanging="777"/>
        <w:spacing w:after="0" w:line="261" w:lineRule="auto"/>
        <w:tabs>
          <w:tab w:leader="none" w:pos="470" w:val="left"/>
        </w:tabs>
        <w:numPr>
          <w:ilvl w:val="0"/>
          <w:numId w:val="36"/>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18,963,582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tabs>
          <w:tab w:leader="none" w:pos="440" w:val="left"/>
          <w:tab w:leader="none" w:pos="6640" w:val="left"/>
        </w:tabs>
        <w:rPr>
          <w:sz w:val="20"/>
          <w:szCs w:val="20"/>
          <w:color w:val="auto"/>
        </w:rPr>
      </w:pPr>
      <w:r>
        <w:rPr>
          <w:rFonts w:ascii="Arial" w:cs="Arial" w:eastAsia="Arial" w:hAnsi="Arial"/>
          <w:sz w:val="16"/>
          <w:szCs w:val="16"/>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780" w:right="7340" w:hanging="777"/>
        <w:spacing w:after="0" w:line="261" w:lineRule="auto"/>
        <w:tabs>
          <w:tab w:leader="none" w:pos="470" w:val="left"/>
        </w:tabs>
        <w:numPr>
          <w:ilvl w:val="0"/>
          <w:numId w:val="37"/>
        </w:numPr>
        <w:rPr>
          <w:rFonts w:ascii="Arial" w:cs="Arial" w:eastAsia="Arial" w:hAnsi="Arial"/>
          <w:sz w:val="17"/>
          <w:szCs w:val="17"/>
          <w:color w:val="auto"/>
        </w:rPr>
      </w:pPr>
      <w:r>
        <w:rPr>
          <w:rFonts w:ascii="Arial" w:cs="Arial" w:eastAsia="Arial" w:hAnsi="Arial"/>
          <w:sz w:val="17"/>
          <w:szCs w:val="17"/>
          <w:color w:val="auto"/>
        </w:rPr>
        <w:t>Percent of Class Represented by Amount in Row (9) 3.5%**</w:t>
      </w:r>
    </w:p>
    <w:p>
      <w:pPr>
        <w:ind w:left="460" w:hanging="457"/>
        <w:spacing w:after="0"/>
        <w:tabs>
          <w:tab w:leader="none" w:pos="460" w:val="left"/>
        </w:tabs>
        <w:numPr>
          <w:ilvl w:val="0"/>
          <w:numId w:val="37"/>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-123825</wp:posOffset>
            </wp:positionV>
            <wp:extent cx="7252970" cy="825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 w:lineRule="exact"/>
        <w:rPr>
          <w:sz w:val="20"/>
          <w:szCs w:val="20"/>
          <w:color w:val="auto"/>
        </w:rPr>
      </w:pPr>
    </w:p>
    <w:p>
      <w:pPr>
        <w:ind w:left="780"/>
        <w:spacing w:after="0"/>
        <w:rPr>
          <w:sz w:val="20"/>
          <w:szCs w:val="20"/>
          <w:color w:val="auto"/>
        </w:rPr>
      </w:pPr>
      <w:r>
        <w:rPr>
          <w:rFonts w:ascii="Arial" w:cs="Arial" w:eastAsia="Arial" w:hAnsi="Arial"/>
          <w:sz w:val="17"/>
          <w:szCs w:val="17"/>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25"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553720</wp:posOffset>
            </wp:positionV>
            <wp:extent cx="7257415" cy="2095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747" w:right="239" w:bottom="1440" w:gutter="0" w:footer="0" w:header="0"/>
        </w:sectPr>
      </w:pPr>
    </w:p>
    <w:bookmarkStart w:id="7" w:name="page8"/>
    <w:bookmarkEnd w:id="7"/>
    <w:p>
      <w:pPr>
        <w:ind w:left="460" w:right="8940" w:hanging="457"/>
        <w:spacing w:after="0" w:line="261" w:lineRule="auto"/>
        <w:tabs>
          <w:tab w:leader="none" w:pos="460" w:val="left"/>
        </w:tabs>
        <w:numPr>
          <w:ilvl w:val="0"/>
          <w:numId w:val="38"/>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154305</wp:posOffset>
            </wp:positionH>
            <wp:positionV relativeFrom="page">
              <wp:posOffset>474345</wp:posOffset>
            </wp:positionV>
            <wp:extent cx="7252970" cy="825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52970" cy="8255"/>
                    </a:xfrm>
                    <a:prstGeom prst="rect">
                      <a:avLst/>
                    </a:prstGeom>
                    <a:noFill/>
                  </pic:spPr>
                </pic:pic>
              </a:graphicData>
            </a:graphic>
          </wp:anchor>
        </w:drawing>
        <w:t>Names of Reporting Persons. David Einhorn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460" w:hanging="457"/>
        <w:spacing w:after="0"/>
        <w:tabs>
          <w:tab w:leader="none" w:pos="460" w:val="left"/>
        </w:tabs>
        <w:numPr>
          <w:ilvl w:val="0"/>
          <w:numId w:val="39"/>
        </w:numPr>
        <w:rPr>
          <w:rFonts w:ascii="Arial" w:cs="Arial" w:eastAsia="Arial" w:hAnsi="Arial"/>
          <w:sz w:val="17"/>
          <w:szCs w:val="17"/>
          <w:color w:val="auto"/>
        </w:rPr>
      </w:pPr>
      <w:r>
        <w:rPr>
          <w:rFonts w:ascii="Arial" w:cs="Arial" w:eastAsia="Arial" w:hAnsi="Arial"/>
          <w:sz w:val="17"/>
          <w:szCs w:val="17"/>
          <w:color w:val="auto"/>
        </w:rPr>
        <w:t>Check the Appropriate Box if a Member of a Group (See Instructions)</w:t>
      </w:r>
    </w:p>
    <w:p>
      <w:pPr>
        <w:spacing w:after="0" w:line="21" w:lineRule="exact"/>
        <w:rPr>
          <w:rFonts w:ascii="Arial" w:cs="Arial" w:eastAsia="Arial" w:hAnsi="Arial"/>
          <w:sz w:val="17"/>
          <w:szCs w:val="17"/>
          <w:color w:val="auto"/>
        </w:rPr>
      </w:pPr>
    </w:p>
    <w:p>
      <w:pPr>
        <w:ind w:left="1140" w:hanging="672"/>
        <w:spacing w:after="0"/>
        <w:tabs>
          <w:tab w:leader="none" w:pos="1140" w:val="left"/>
        </w:tabs>
        <w:numPr>
          <w:ilvl w:val="1"/>
          <w:numId w:val="39"/>
        </w:numPr>
        <w:rPr>
          <w:rFonts w:ascii="Arial" w:cs="Arial" w:eastAsia="Arial" w:hAnsi="Arial"/>
          <w:sz w:val="17"/>
          <w:szCs w:val="17"/>
          <w:color w:val="auto"/>
        </w:rPr>
      </w:pPr>
      <w:r>
        <w:rPr>
          <w:rFonts w:ascii="Arial" w:cs="Arial" w:eastAsia="Arial" w:hAnsi="Arial"/>
          <w:sz w:val="17"/>
          <w:szCs w:val="17"/>
          <w:color w:val="auto"/>
        </w:rPr>
        <w:t>[ ]</w:t>
      </w:r>
    </w:p>
    <w:p>
      <w:pPr>
        <w:spacing w:after="0" w:line="11" w:lineRule="exact"/>
        <w:rPr>
          <w:rFonts w:ascii="Arial" w:cs="Arial" w:eastAsia="Arial" w:hAnsi="Arial"/>
          <w:sz w:val="17"/>
          <w:szCs w:val="17"/>
          <w:color w:val="auto"/>
        </w:rPr>
      </w:pPr>
    </w:p>
    <w:p>
      <w:pPr>
        <w:ind w:left="1140" w:hanging="672"/>
        <w:spacing w:after="0"/>
        <w:tabs>
          <w:tab w:leader="none" w:pos="1140" w:val="left"/>
        </w:tabs>
        <w:numPr>
          <w:ilvl w:val="1"/>
          <w:numId w:val="39"/>
        </w:numPr>
        <w:rPr>
          <w:rFonts w:ascii="Arial" w:cs="Arial" w:eastAsia="Arial" w:hAnsi="Arial"/>
          <w:sz w:val="17"/>
          <w:szCs w:val="17"/>
          <w:color w:val="auto"/>
        </w:rPr>
      </w:pP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ind w:left="460" w:hanging="457"/>
        <w:spacing w:after="0"/>
        <w:tabs>
          <w:tab w:leader="none" w:pos="460" w:val="left"/>
        </w:tabs>
        <w:numPr>
          <w:ilvl w:val="0"/>
          <w:numId w:val="40"/>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780" w:right="8400" w:hanging="777"/>
        <w:spacing w:after="0" w:line="272" w:lineRule="auto"/>
        <w:tabs>
          <w:tab w:leader="none" w:pos="470" w:val="left"/>
        </w:tabs>
        <w:numPr>
          <w:ilvl w:val="0"/>
          <w:numId w:val="41"/>
        </w:numPr>
        <w:rPr>
          <w:rFonts w:ascii="Arial" w:cs="Arial" w:eastAsia="Arial" w:hAnsi="Arial"/>
          <w:sz w:val="17"/>
          <w:szCs w:val="17"/>
          <w:color w:val="auto"/>
        </w:rPr>
      </w:pPr>
      <w:r>
        <w:rPr>
          <w:rFonts w:ascii="Arial" w:cs="Arial" w:eastAsia="Arial" w:hAnsi="Arial"/>
          <w:sz w:val="17"/>
          <w:szCs w:val="17"/>
          <w:color w:val="auto"/>
        </w:rPr>
        <w:t>Citizenship or Place of Organization. U.S. Citizen</w:t>
      </w:r>
    </w:p>
    <w:tbl>
      <w:tblPr>
        <w:tblLayout w:type="fixed"/>
        <w:tblInd w:w="0" w:type="dxa"/>
        <w:tblCellMar>
          <w:top w:w="0" w:type="dxa"/>
          <w:left w:w="0" w:type="dxa"/>
          <w:bottom w:w="0" w:type="dxa"/>
          <w:right w:w="0" w:type="dxa"/>
        </w:tblCellMar>
      </w:tblPr>
      <w:tr>
        <w:trPr>
          <w:trHeight w:val="182"/>
        </w:trPr>
        <w:tc>
          <w:tcPr>
            <w:tcW w:w="1380" w:type="dxa"/>
            <w:vAlign w:val="bottom"/>
            <w:tcBorders>
              <w:top w:val="single" w:sz="8" w:color="auto"/>
            </w:tcBorders>
          </w:tcPr>
          <w:p>
            <w:pPr>
              <w:jc w:val="center"/>
              <w:spacing w:after="0" w:line="182" w:lineRule="exact"/>
              <w:rPr>
                <w:sz w:val="20"/>
                <w:szCs w:val="20"/>
                <w:color w:val="auto"/>
              </w:rPr>
            </w:pPr>
            <w:r>
              <w:rPr>
                <w:rFonts w:ascii="Arial" w:cs="Arial" w:eastAsia="Arial" w:hAnsi="Arial"/>
                <w:sz w:val="17"/>
                <w:szCs w:val="17"/>
                <w:color w:val="auto"/>
                <w:w w:val="92"/>
              </w:rPr>
              <w:t>Number</w:t>
            </w:r>
          </w:p>
        </w:tc>
        <w:tc>
          <w:tcPr>
            <w:tcW w:w="180" w:type="dxa"/>
            <w:vAlign w:val="bottom"/>
            <w:tcBorders>
              <w:top w:val="single" w:sz="8" w:color="auto"/>
            </w:tcBorders>
          </w:tcPr>
          <w:p>
            <w:pPr>
              <w:jc w:val="right"/>
              <w:spacing w:after="0" w:line="182" w:lineRule="exact"/>
              <w:rPr>
                <w:sz w:val="20"/>
                <w:szCs w:val="20"/>
                <w:color w:val="auto"/>
              </w:rPr>
            </w:pPr>
            <w:r>
              <w:rPr>
                <w:rFonts w:ascii="Arial" w:cs="Arial" w:eastAsia="Arial" w:hAnsi="Arial"/>
                <w:sz w:val="17"/>
                <w:szCs w:val="17"/>
                <w:color w:val="auto"/>
                <w:w w:val="84"/>
              </w:rPr>
              <w:t>5</w:t>
            </w:r>
          </w:p>
        </w:tc>
        <w:tc>
          <w:tcPr>
            <w:tcW w:w="9860" w:type="dxa"/>
            <w:vAlign w:val="bottom"/>
            <w:tcBorders>
              <w:top w:val="single" w:sz="8" w:color="auto"/>
            </w:tcBorders>
          </w:tcPr>
          <w:p>
            <w:pPr>
              <w:ind w:left="80"/>
              <w:spacing w:after="0" w:line="182" w:lineRule="exact"/>
              <w:rPr>
                <w:sz w:val="20"/>
                <w:szCs w:val="20"/>
                <w:color w:val="auto"/>
              </w:rPr>
            </w:pPr>
            <w:r>
              <w:rPr>
                <w:rFonts w:ascii="Arial" w:cs="Arial" w:eastAsia="Arial" w:hAnsi="Arial"/>
                <w:sz w:val="17"/>
                <w:szCs w:val="17"/>
                <w:color w:val="auto"/>
              </w:rPr>
              <w:t>Sole Voting Power</w:t>
            </w:r>
          </w:p>
        </w:tc>
        <w:tc>
          <w:tcPr>
            <w:tcW w:w="0" w:type="dxa"/>
            <w:vAlign w:val="bottom"/>
          </w:tcPr>
          <w:p>
            <w:pPr>
              <w:spacing w:after="0"/>
              <w:rPr>
                <w:sz w:val="1"/>
                <w:szCs w:val="1"/>
                <w:color w:val="auto"/>
              </w:rPr>
            </w:pPr>
          </w:p>
        </w:tc>
      </w:tr>
      <w:tr>
        <w:trPr>
          <w:trHeight w:val="217"/>
        </w:trPr>
        <w:tc>
          <w:tcPr>
            <w:tcW w:w="1380" w:type="dxa"/>
            <w:vAlign w:val="bottom"/>
          </w:tcPr>
          <w:p>
            <w:pPr>
              <w:jc w:val="center"/>
              <w:spacing w:after="0"/>
              <w:rPr>
                <w:sz w:val="20"/>
                <w:szCs w:val="20"/>
                <w:color w:val="auto"/>
              </w:rPr>
            </w:pPr>
            <w:r>
              <w:rPr>
                <w:rFonts w:ascii="Arial" w:cs="Arial" w:eastAsia="Arial" w:hAnsi="Arial"/>
                <w:sz w:val="17"/>
                <w:szCs w:val="17"/>
                <w:color w:val="auto"/>
                <w:w w:val="87"/>
              </w:rPr>
              <w:t>of Shares</w:t>
            </w:r>
          </w:p>
        </w:tc>
        <w:tc>
          <w:tcPr>
            <w:tcW w:w="180" w:type="dxa"/>
            <w:vAlign w:val="bottom"/>
            <w:tcBorders>
              <w:bottom w:val="single" w:sz="8" w:color="auto"/>
            </w:tcBorders>
          </w:tcPr>
          <w:p>
            <w:pPr>
              <w:spacing w:after="0"/>
              <w:rPr>
                <w:sz w:val="18"/>
                <w:szCs w:val="18"/>
                <w:color w:val="auto"/>
              </w:rPr>
            </w:pPr>
          </w:p>
        </w:tc>
        <w:tc>
          <w:tcPr>
            <w:tcW w:w="9860" w:type="dxa"/>
            <w:vAlign w:val="bottom"/>
            <w:tcBorders>
              <w:bottom w:val="single" w:sz="8" w:color="auto"/>
            </w:tcBorders>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176"/>
        </w:trPr>
        <w:tc>
          <w:tcPr>
            <w:tcW w:w="1380" w:type="dxa"/>
            <w:vAlign w:val="bottom"/>
          </w:tcPr>
          <w:p>
            <w:pPr>
              <w:jc w:val="center"/>
              <w:spacing w:after="0" w:line="176" w:lineRule="exact"/>
              <w:rPr>
                <w:sz w:val="20"/>
                <w:szCs w:val="20"/>
                <w:color w:val="auto"/>
              </w:rPr>
            </w:pPr>
            <w:r>
              <w:rPr>
                <w:rFonts w:ascii="Arial" w:cs="Arial" w:eastAsia="Arial" w:hAnsi="Arial"/>
                <w:sz w:val="17"/>
                <w:szCs w:val="17"/>
                <w:color w:val="auto"/>
                <w:w w:val="97"/>
              </w:rPr>
              <w:t>Beneficially</w:t>
            </w:r>
          </w:p>
        </w:tc>
        <w:tc>
          <w:tcPr>
            <w:tcW w:w="180" w:type="dxa"/>
            <w:vAlign w:val="bottom"/>
          </w:tcPr>
          <w:p>
            <w:pPr>
              <w:jc w:val="right"/>
              <w:spacing w:after="0" w:line="176" w:lineRule="exact"/>
              <w:rPr>
                <w:sz w:val="20"/>
                <w:szCs w:val="20"/>
                <w:color w:val="auto"/>
              </w:rPr>
            </w:pPr>
            <w:r>
              <w:rPr>
                <w:rFonts w:ascii="Arial" w:cs="Arial" w:eastAsia="Arial" w:hAnsi="Arial"/>
                <w:sz w:val="17"/>
                <w:szCs w:val="17"/>
                <w:color w:val="auto"/>
                <w:w w:val="84"/>
              </w:rPr>
              <w:t>6</w:t>
            </w:r>
          </w:p>
        </w:tc>
        <w:tc>
          <w:tcPr>
            <w:tcW w:w="9860" w:type="dxa"/>
            <w:vAlign w:val="bottom"/>
          </w:tcPr>
          <w:p>
            <w:pPr>
              <w:ind w:left="80"/>
              <w:spacing w:after="0" w:line="176" w:lineRule="exact"/>
              <w:rPr>
                <w:sz w:val="20"/>
                <w:szCs w:val="20"/>
                <w:color w:val="auto"/>
              </w:rPr>
            </w:pPr>
            <w:r>
              <w:rPr>
                <w:rFonts w:ascii="Arial" w:cs="Arial" w:eastAsia="Arial" w:hAnsi="Arial"/>
                <w:sz w:val="17"/>
                <w:szCs w:val="17"/>
                <w:color w:val="auto"/>
              </w:rPr>
              <w:t>Shared Voting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1"/>
              </w:rPr>
              <w:t>Owned by</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51,802,443 shares**</w:t>
            </w:r>
          </w:p>
        </w:tc>
        <w:tc>
          <w:tcPr>
            <w:tcW w:w="0" w:type="dxa"/>
            <w:vAlign w:val="bottom"/>
          </w:tcPr>
          <w:p>
            <w:pPr>
              <w:spacing w:after="0"/>
              <w:rPr>
                <w:sz w:val="1"/>
                <w:szCs w:val="1"/>
                <w:color w:val="auto"/>
              </w:rPr>
            </w:pPr>
          </w:p>
        </w:tc>
      </w:tr>
      <w:tr>
        <w:trPr>
          <w:trHeight w:val="25"/>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87"/>
              </w:rPr>
              <w:t>Each</w:t>
            </w:r>
          </w:p>
        </w:tc>
        <w:tc>
          <w:tcPr>
            <w:tcW w:w="180" w:type="dxa"/>
            <w:vAlign w:val="bottom"/>
            <w:tcBorders>
              <w:bottom w:val="single" w:sz="8" w:color="auto"/>
            </w:tcBorders>
          </w:tcPr>
          <w:p>
            <w:pPr>
              <w:spacing w:after="0"/>
              <w:rPr>
                <w:sz w:val="2"/>
                <w:szCs w:val="2"/>
                <w:color w:val="auto"/>
              </w:rPr>
            </w:pPr>
          </w:p>
        </w:tc>
        <w:tc>
          <w:tcPr>
            <w:tcW w:w="98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1"/>
        </w:trPr>
        <w:tc>
          <w:tcPr>
            <w:tcW w:w="1380" w:type="dxa"/>
            <w:vAlign w:val="bottom"/>
            <w:vMerge w:val="continue"/>
          </w:tcPr>
          <w:p>
            <w:pPr>
              <w:spacing w:after="0"/>
              <w:rPr>
                <w:sz w:val="14"/>
                <w:szCs w:val="14"/>
                <w:color w:val="auto"/>
              </w:rPr>
            </w:pPr>
          </w:p>
        </w:tc>
        <w:tc>
          <w:tcPr>
            <w:tcW w:w="180" w:type="dxa"/>
            <w:vAlign w:val="bottom"/>
          </w:tcPr>
          <w:p>
            <w:pPr>
              <w:jc w:val="right"/>
              <w:spacing w:after="0" w:line="161" w:lineRule="exact"/>
              <w:rPr>
                <w:sz w:val="20"/>
                <w:szCs w:val="20"/>
                <w:color w:val="auto"/>
              </w:rPr>
            </w:pPr>
            <w:r>
              <w:rPr>
                <w:rFonts w:ascii="Arial" w:cs="Arial" w:eastAsia="Arial" w:hAnsi="Arial"/>
                <w:sz w:val="17"/>
                <w:szCs w:val="17"/>
                <w:color w:val="auto"/>
                <w:w w:val="84"/>
              </w:rPr>
              <w:t>7</w:t>
            </w:r>
          </w:p>
        </w:tc>
        <w:tc>
          <w:tcPr>
            <w:tcW w:w="9860" w:type="dxa"/>
            <w:vAlign w:val="bottom"/>
          </w:tcPr>
          <w:p>
            <w:pPr>
              <w:ind w:left="80"/>
              <w:spacing w:after="0" w:line="161" w:lineRule="exact"/>
              <w:rPr>
                <w:sz w:val="20"/>
                <w:szCs w:val="20"/>
                <w:color w:val="auto"/>
              </w:rPr>
            </w:pPr>
            <w:r>
              <w:rPr>
                <w:rFonts w:ascii="Arial" w:cs="Arial" w:eastAsia="Arial" w:hAnsi="Arial"/>
                <w:sz w:val="17"/>
                <w:szCs w:val="17"/>
                <w:color w:val="auto"/>
              </w:rPr>
              <w:t>Sole Dispositive Power</w:t>
            </w:r>
          </w:p>
        </w:tc>
        <w:tc>
          <w:tcPr>
            <w:tcW w:w="0" w:type="dxa"/>
            <w:vAlign w:val="bottom"/>
          </w:tcPr>
          <w:p>
            <w:pPr>
              <w:spacing w:after="0"/>
              <w:rPr>
                <w:sz w:val="1"/>
                <w:szCs w:val="1"/>
                <w:color w:val="auto"/>
              </w:rPr>
            </w:pPr>
          </w:p>
        </w:tc>
      </w:tr>
      <w:tr>
        <w:trPr>
          <w:trHeight w:val="206"/>
        </w:trPr>
        <w:tc>
          <w:tcPr>
            <w:tcW w:w="1380" w:type="dxa"/>
            <w:vAlign w:val="bottom"/>
          </w:tcPr>
          <w:p>
            <w:pPr>
              <w:jc w:val="center"/>
              <w:spacing w:after="0"/>
              <w:rPr>
                <w:sz w:val="20"/>
                <w:szCs w:val="20"/>
                <w:color w:val="auto"/>
              </w:rPr>
            </w:pPr>
            <w:r>
              <w:rPr>
                <w:rFonts w:ascii="Arial" w:cs="Arial" w:eastAsia="Arial" w:hAnsi="Arial"/>
                <w:sz w:val="17"/>
                <w:szCs w:val="17"/>
                <w:color w:val="auto"/>
                <w:w w:val="94"/>
              </w:rPr>
              <w:t>Reporting</w:t>
            </w:r>
          </w:p>
        </w:tc>
        <w:tc>
          <w:tcPr>
            <w:tcW w:w="180" w:type="dxa"/>
            <w:vAlign w:val="bottom"/>
          </w:tcPr>
          <w:p>
            <w:pPr>
              <w:spacing w:after="0"/>
              <w:rPr>
                <w:sz w:val="17"/>
                <w:szCs w:val="17"/>
                <w:color w:val="auto"/>
              </w:rPr>
            </w:pPr>
          </w:p>
        </w:tc>
        <w:tc>
          <w:tcPr>
            <w:tcW w:w="9860" w:type="dxa"/>
            <w:vAlign w:val="bottom"/>
          </w:tcPr>
          <w:p>
            <w:pPr>
              <w:ind w:left="140"/>
              <w:spacing w:after="0"/>
              <w:rPr>
                <w:sz w:val="20"/>
                <w:szCs w:val="20"/>
                <w:color w:val="auto"/>
              </w:rPr>
            </w:pPr>
            <w:r>
              <w:rPr>
                <w:rFonts w:ascii="Arial" w:cs="Arial" w:eastAsia="Arial" w:hAnsi="Arial"/>
                <w:sz w:val="17"/>
                <w:szCs w:val="17"/>
                <w:color w:val="auto"/>
              </w:rPr>
              <w:t>0 shares</w:t>
            </w:r>
          </w:p>
        </w:tc>
        <w:tc>
          <w:tcPr>
            <w:tcW w:w="0" w:type="dxa"/>
            <w:vAlign w:val="bottom"/>
          </w:tcPr>
          <w:p>
            <w:pPr>
              <w:spacing w:after="0"/>
              <w:rPr>
                <w:sz w:val="1"/>
                <w:szCs w:val="1"/>
                <w:color w:val="auto"/>
              </w:rPr>
            </w:pPr>
          </w:p>
        </w:tc>
      </w:tr>
      <w:tr>
        <w:trPr>
          <w:trHeight w:val="38"/>
        </w:trPr>
        <w:tc>
          <w:tcPr>
            <w:tcW w:w="1380" w:type="dxa"/>
            <w:vAlign w:val="bottom"/>
            <w:vMerge w:val="restart"/>
          </w:tcPr>
          <w:p>
            <w:pPr>
              <w:jc w:val="center"/>
              <w:spacing w:after="0"/>
              <w:rPr>
                <w:sz w:val="20"/>
                <w:szCs w:val="20"/>
                <w:color w:val="auto"/>
              </w:rPr>
            </w:pPr>
            <w:r>
              <w:rPr>
                <w:rFonts w:ascii="Arial" w:cs="Arial" w:eastAsia="Arial" w:hAnsi="Arial"/>
                <w:sz w:val="17"/>
                <w:szCs w:val="17"/>
                <w:color w:val="auto"/>
                <w:w w:val="92"/>
              </w:rPr>
              <w:t>Person With</w:t>
            </w:r>
          </w:p>
        </w:tc>
        <w:tc>
          <w:tcPr>
            <w:tcW w:w="180" w:type="dxa"/>
            <w:vAlign w:val="bottom"/>
            <w:tcBorders>
              <w:bottom w:val="single" w:sz="8" w:color="auto"/>
            </w:tcBorders>
          </w:tcPr>
          <w:p>
            <w:pPr>
              <w:spacing w:after="0"/>
              <w:rPr>
                <w:sz w:val="3"/>
                <w:szCs w:val="3"/>
                <w:color w:val="auto"/>
              </w:rPr>
            </w:pPr>
          </w:p>
        </w:tc>
        <w:tc>
          <w:tcPr>
            <w:tcW w:w="986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201"/>
        </w:trPr>
        <w:tc>
          <w:tcPr>
            <w:tcW w:w="1380" w:type="dxa"/>
            <w:vAlign w:val="bottom"/>
            <w:vMerge w:val="continue"/>
          </w:tcPr>
          <w:p>
            <w:pPr>
              <w:spacing w:after="0"/>
              <w:rPr>
                <w:sz w:val="17"/>
                <w:szCs w:val="17"/>
                <w:color w:val="auto"/>
              </w:rPr>
            </w:pPr>
          </w:p>
        </w:tc>
        <w:tc>
          <w:tcPr>
            <w:tcW w:w="180" w:type="dxa"/>
            <w:vAlign w:val="bottom"/>
          </w:tcPr>
          <w:p>
            <w:pPr>
              <w:jc w:val="right"/>
              <w:spacing w:after="0"/>
              <w:rPr>
                <w:sz w:val="20"/>
                <w:szCs w:val="20"/>
                <w:color w:val="auto"/>
              </w:rPr>
            </w:pPr>
            <w:r>
              <w:rPr>
                <w:rFonts w:ascii="Arial" w:cs="Arial" w:eastAsia="Arial" w:hAnsi="Arial"/>
                <w:sz w:val="17"/>
                <w:szCs w:val="17"/>
                <w:color w:val="auto"/>
                <w:w w:val="84"/>
              </w:rPr>
              <w:t>8</w:t>
            </w:r>
          </w:p>
        </w:tc>
        <w:tc>
          <w:tcPr>
            <w:tcW w:w="9860" w:type="dxa"/>
            <w:vAlign w:val="bottom"/>
          </w:tcPr>
          <w:p>
            <w:pPr>
              <w:ind w:left="80"/>
              <w:spacing w:after="0"/>
              <w:rPr>
                <w:sz w:val="20"/>
                <w:szCs w:val="20"/>
                <w:color w:val="auto"/>
              </w:rPr>
            </w:pPr>
            <w:r>
              <w:rPr>
                <w:rFonts w:ascii="Arial" w:cs="Arial" w:eastAsia="Arial" w:hAnsi="Arial"/>
                <w:sz w:val="17"/>
                <w:szCs w:val="17"/>
                <w:color w:val="auto"/>
              </w:rPr>
              <w:t>Shared Dispositive Power</w:t>
            </w:r>
          </w:p>
        </w:tc>
        <w:tc>
          <w:tcPr>
            <w:tcW w:w="0" w:type="dxa"/>
            <w:vAlign w:val="bottom"/>
          </w:tcPr>
          <w:p>
            <w:pPr>
              <w:spacing w:after="0"/>
              <w:rPr>
                <w:sz w:val="1"/>
                <w:szCs w:val="1"/>
                <w:color w:val="auto"/>
              </w:rPr>
            </w:pPr>
          </w:p>
        </w:tc>
      </w:tr>
    </w:tbl>
    <w:p>
      <w:pPr>
        <w:ind w:left="1700"/>
        <w:spacing w:after="0"/>
        <w:rPr>
          <w:sz w:val="20"/>
          <w:szCs w:val="20"/>
          <w:color w:val="auto"/>
        </w:rPr>
      </w:pPr>
      <w:r>
        <w:rPr>
          <w:rFonts w:ascii="Arial" w:cs="Arial" w:eastAsia="Arial" w:hAnsi="Arial"/>
          <w:sz w:val="17"/>
          <w:szCs w:val="17"/>
          <w:color w:val="auto"/>
        </w:rPr>
        <w:t>51,802,443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5715</wp:posOffset>
            </wp:positionV>
            <wp:extent cx="7252970" cy="1651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52970" cy="16510"/>
                    </a:xfrm>
                    <a:prstGeom prst="rect">
                      <a:avLst/>
                    </a:prstGeom>
                    <a:noFill/>
                  </pic:spPr>
                </pic:pic>
              </a:graphicData>
            </a:graphic>
          </wp:anchor>
        </w:drawing>
      </w:r>
    </w:p>
    <w:p>
      <w:pPr>
        <w:spacing w:after="0" w:line="3" w:lineRule="exact"/>
        <w:rPr>
          <w:sz w:val="20"/>
          <w:szCs w:val="20"/>
          <w:color w:val="auto"/>
        </w:rPr>
      </w:pPr>
    </w:p>
    <w:p>
      <w:pPr>
        <w:ind w:left="780" w:right="6360" w:hanging="777"/>
        <w:spacing w:after="0" w:line="261" w:lineRule="auto"/>
        <w:tabs>
          <w:tab w:leader="none" w:pos="470" w:val="left"/>
        </w:tabs>
        <w:numPr>
          <w:ilvl w:val="0"/>
          <w:numId w:val="42"/>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51,802,443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0</wp:posOffset>
            </wp:positionV>
            <wp:extent cx="7252970" cy="825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tabs>
          <w:tab w:leader="none" w:pos="440" w:val="left"/>
          <w:tab w:leader="none" w:pos="6640" w:val="left"/>
        </w:tabs>
        <w:rPr>
          <w:sz w:val="20"/>
          <w:szCs w:val="20"/>
          <w:color w:val="auto"/>
        </w:rPr>
      </w:pPr>
      <w:r>
        <w:rPr>
          <w:rFonts w:ascii="Arial" w:cs="Arial" w:eastAsia="Arial" w:hAnsi="Arial"/>
          <w:sz w:val="16"/>
          <w:szCs w:val="16"/>
          <w:color w:val="auto"/>
        </w:rPr>
        <w:t>10</w:t>
      </w:r>
      <w:r>
        <w:rPr>
          <w:sz w:val="20"/>
          <w:szCs w:val="20"/>
          <w:color w:val="auto"/>
        </w:rPr>
        <w:tab/>
      </w:r>
      <w:r>
        <w:rPr>
          <w:rFonts w:ascii="Arial" w:cs="Arial" w:eastAsia="Arial" w:hAnsi="Arial"/>
          <w:sz w:val="16"/>
          <w:szCs w:val="16"/>
          <w:color w:val="auto"/>
        </w:rPr>
        <w:t>Check if the Aggregate Amount in Row (9) Excludes Certain Shares (See Instructions)</w:t>
      </w:r>
      <w:r>
        <w:rPr>
          <w:sz w:val="20"/>
          <w:szCs w:val="20"/>
          <w:color w:val="auto"/>
        </w:rPr>
        <w:tab/>
      </w:r>
      <w:r>
        <w:rPr>
          <w:rFonts w:ascii="Arial" w:cs="Arial" w:eastAsia="Arial" w:hAnsi="Arial"/>
          <w:sz w:val="17"/>
          <w:szCs w:val="17"/>
          <w:color w:val="auto"/>
        </w:rPr>
        <w: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14605</wp:posOffset>
            </wp:positionV>
            <wp:extent cx="7252970" cy="825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4" w:lineRule="exact"/>
        <w:rPr>
          <w:sz w:val="20"/>
          <w:szCs w:val="20"/>
          <w:color w:val="auto"/>
        </w:rPr>
      </w:pPr>
    </w:p>
    <w:p>
      <w:pPr>
        <w:ind w:left="780" w:right="7340" w:hanging="777"/>
        <w:spacing w:after="0" w:line="261" w:lineRule="auto"/>
        <w:tabs>
          <w:tab w:leader="none" w:pos="470" w:val="left"/>
        </w:tabs>
        <w:numPr>
          <w:ilvl w:val="0"/>
          <w:numId w:val="43"/>
        </w:numPr>
        <w:rPr>
          <w:rFonts w:ascii="Arial" w:cs="Arial" w:eastAsia="Arial" w:hAnsi="Arial"/>
          <w:sz w:val="17"/>
          <w:szCs w:val="17"/>
          <w:color w:val="auto"/>
        </w:rPr>
      </w:pPr>
      <w:r>
        <w:rPr>
          <w:rFonts w:ascii="Arial" w:cs="Arial" w:eastAsia="Arial" w:hAnsi="Arial"/>
          <w:sz w:val="17"/>
          <w:szCs w:val="17"/>
          <w:color w:val="auto"/>
        </w:rPr>
        <w:t>Percent of Class Represented by Amount in Row (9) 9.7%**</w:t>
      </w:r>
    </w:p>
    <w:p>
      <w:pPr>
        <w:ind w:left="460" w:hanging="457"/>
        <w:spacing w:after="0"/>
        <w:tabs>
          <w:tab w:leader="none" w:pos="460" w:val="left"/>
        </w:tabs>
        <w:numPr>
          <w:ilvl w:val="0"/>
          <w:numId w:val="43"/>
        </w:numPr>
        <w:rPr>
          <w:rFonts w:ascii="Arial" w:cs="Arial" w:eastAsia="Arial" w:hAnsi="Arial"/>
          <w:sz w:val="17"/>
          <w:szCs w:val="17"/>
          <w:color w:val="auto"/>
        </w:rPr>
      </w:pPr>
      <w:r>
        <w:rPr>
          <w:rFonts w:ascii="Arial" w:cs="Arial" w:eastAsia="Arial" w:hAnsi="Arial"/>
          <w:sz w:val="17"/>
          <w:szCs w:val="17"/>
          <w:color w:val="auto"/>
        </w:rPr>
        <w:t>Type of Reporting Person (See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-123825</wp:posOffset>
            </wp:positionV>
            <wp:extent cx="7252970" cy="825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 w:lineRule="exact"/>
        <w:rPr>
          <w:sz w:val="20"/>
          <w:szCs w:val="20"/>
          <w:color w:val="auto"/>
        </w:rPr>
      </w:pPr>
    </w:p>
    <w:p>
      <w:pPr>
        <w:ind w:left="780"/>
        <w:spacing w:after="0"/>
        <w:rPr>
          <w:sz w:val="20"/>
          <w:szCs w:val="20"/>
          <w:color w:val="auto"/>
        </w:rPr>
      </w:pPr>
      <w:r>
        <w:rPr>
          <w:rFonts w:ascii="Arial" w:cs="Arial" w:eastAsia="Arial" w:hAnsi="Arial"/>
          <w:sz w:val="17"/>
          <w:szCs w:val="17"/>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8255</wp:posOffset>
            </wp:positionV>
            <wp:extent cx="7252970" cy="825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52970" cy="8255"/>
                    </a:xfrm>
                    <a:prstGeom prst="rect">
                      <a:avLst/>
                    </a:prstGeom>
                    <a:noFill/>
                  </pic:spPr>
                </pic:pic>
              </a:graphicData>
            </a:graphic>
          </wp:anchor>
        </w:drawing>
      </w:r>
    </w:p>
    <w:p>
      <w:pPr>
        <w:spacing w:after="0" w:line="225" w:lineRule="exact"/>
        <w:rPr>
          <w:sz w:val="20"/>
          <w:szCs w:val="20"/>
          <w:color w:val="auto"/>
        </w:rPr>
      </w:pPr>
    </w:p>
    <w:p>
      <w:pPr>
        <w:ind w:left="620"/>
        <w:spacing w:after="0"/>
        <w:rPr>
          <w:sz w:val="20"/>
          <w:szCs w:val="20"/>
          <w:color w:val="auto"/>
        </w:rPr>
      </w:pPr>
      <w:r>
        <w:rPr>
          <w:rFonts w:ascii="Arial" w:cs="Arial" w:eastAsia="Arial" w:hAnsi="Arial"/>
          <w:sz w:val="17"/>
          <w:szCs w:val="17"/>
          <w:color w:val="auto"/>
        </w:rPr>
        <w:t>**SEE ITEM 4(b).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553720</wp:posOffset>
            </wp:positionV>
            <wp:extent cx="7257415" cy="2095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747" w:right="239" w:bottom="1440" w:gutter="0" w:footer="0" w:header="0"/>
        </w:sectPr>
      </w:pPr>
    </w:p>
    <w:bookmarkStart w:id="8" w:name="page9"/>
    <w:bookmarkEnd w:id="8"/>
    <w:p>
      <w:pPr>
        <w:jc w:val="center"/>
        <w:spacing w:after="0"/>
        <w:rPr>
          <w:sz w:val="20"/>
          <w:szCs w:val="20"/>
          <w:color w:val="auto"/>
        </w:rPr>
      </w:pPr>
      <w:r>
        <w:rPr>
          <w:rFonts w:ascii="Arial" w:cs="Arial" w:eastAsia="Arial" w:hAnsi="Arial"/>
          <w:sz w:val="17"/>
          <w:szCs w:val="17"/>
          <w:b w:val="1"/>
          <w:bCs w:val="1"/>
          <w:u w:val="single" w:color="auto"/>
          <w:color w:val="auto"/>
        </w:rPr>
        <w:t>AMENDMENT NO. 1 TO SCHEDULE 13G</w:t>
      </w:r>
    </w:p>
    <w:p>
      <w:pPr>
        <w:spacing w:after="0" w:line="249" w:lineRule="exact"/>
        <w:rPr>
          <w:sz w:val="20"/>
          <w:szCs w:val="20"/>
          <w:color w:val="auto"/>
        </w:rPr>
      </w:pPr>
    </w:p>
    <w:p>
      <w:pPr>
        <w:jc w:val="both"/>
        <w:ind w:firstLine="620"/>
        <w:spacing w:after="0" w:line="276" w:lineRule="auto"/>
        <w:rPr>
          <w:sz w:val="20"/>
          <w:szCs w:val="20"/>
          <w:color w:val="auto"/>
        </w:rPr>
      </w:pPr>
      <w:r>
        <w:rPr>
          <w:rFonts w:ascii="Arial" w:cs="Arial" w:eastAsia="Arial" w:hAnsi="Arial"/>
          <w:sz w:val="16"/>
          <w:szCs w:val="16"/>
          <w:color w:val="auto"/>
        </w:rPr>
        <w:t>This Amendment No. 1 (the “Amendment”) to Schedule 13G relating to common shares, par value $0.002 (“Common Shares”), of Marvell Technology Group Ltd., a Bermuda company (the “Issuer”), is being filed with the Securities and Exchange Commission (the “SEC”) as an amendment to the Schedule 13G filed with the SEC on July 26, 2012 on behalf of Greenlight Capital, L.L.C., a Delaware limited liability company (“Greenlight LLC”), Greenlight Capital, Inc., a Delaware corporation (“Greenlight Inc.”), DME Management GP, LLC, a Delaware limited liability company (“DME Management GP”), DME Advisors, LP, a Delaware limited partnership (“DME Advisors”), DME Capital Management, LP, a Delaware limited partnership (“DME CM”), DME Advisors GP, LLC, a Delaware limited liability company (“DME GP” and together with Greenlight LLC, Greenlight Inc., DME Management GP, DME Advisors and DME CM, “Greenlight”), and Mr. David Einhorn, the principal of Greenlight (collectively with Greenlight, the “Reporting Persons”).</w:t>
      </w:r>
    </w:p>
    <w:p>
      <w:pPr>
        <w:spacing w:after="0" w:line="197" w:lineRule="exact"/>
        <w:rPr>
          <w:sz w:val="20"/>
          <w:szCs w:val="20"/>
          <w:color w:val="auto"/>
        </w:rPr>
      </w:pPr>
    </w:p>
    <w:p>
      <w:pPr>
        <w:jc w:val="both"/>
        <w:ind w:firstLine="620"/>
        <w:spacing w:after="0" w:line="275" w:lineRule="auto"/>
        <w:rPr>
          <w:sz w:val="20"/>
          <w:szCs w:val="20"/>
          <w:color w:val="auto"/>
        </w:rPr>
      </w:pPr>
      <w:r>
        <w:rPr>
          <w:rFonts w:ascii="Arial" w:cs="Arial" w:eastAsia="Arial" w:hAnsi="Arial"/>
          <w:sz w:val="16"/>
          <w:szCs w:val="16"/>
          <w:color w:val="auto"/>
        </w:rPr>
        <w:t>This Amendment relates to Common Shares of the Issuer held by Greenlight for the account of (i) Greenlight Capital, L.P. (“Greenlight Fund”) of which Greenlight LLC is the general partner and for which Greenlight Inc. acts as investment manager, (ii) Greenlight Capital Qualified, L.P. (“Greenlight Qualified”) of which Greenlight LLC is the general partner and for which Greenlight Inc. acts as investment manager, (iii) Greenlight Capital Offshore Partners (“Greenlight Offshore”) for which Greenlight Inc. acts as investment manager, (iv) a managed account for which DME Advisors acts as investment manager (the “Managed Account”), (v) Greenlight Capital (Gold), LP (“Greenlight Gold”) of which DME Management GP is the general partner and for which DME CM acts as investment manager, (vi) Greenlight Capital Offshore Master (Gold), Ltd. (“Greenlight Gold Offshore”) for which DME CM acts as investment manager, and (vii) Greenlight Masters Partners (“Greenlight Masters”), for which Mr. Einhorn may be deemed to have indirect investment and/or voting power through its general partners and/or investment manager. DME GP is the general partner of DME Advisors and of DME CM.</w:t>
      </w:r>
    </w:p>
    <w:p>
      <w:pPr>
        <w:spacing w:after="0" w:line="198" w:lineRule="exact"/>
        <w:rPr>
          <w:sz w:val="20"/>
          <w:szCs w:val="20"/>
          <w:color w:val="auto"/>
        </w:rPr>
      </w:pPr>
    </w:p>
    <w:p>
      <w:pPr>
        <w:ind w:left="620"/>
        <w:spacing w:after="0"/>
        <w:rPr>
          <w:sz w:val="20"/>
          <w:szCs w:val="20"/>
          <w:color w:val="auto"/>
        </w:rPr>
      </w:pPr>
      <w:r>
        <w:rPr>
          <w:rFonts w:ascii="Arial" w:cs="Arial" w:eastAsia="Arial" w:hAnsi="Arial"/>
          <w:sz w:val="17"/>
          <w:szCs w:val="17"/>
          <w:color w:val="auto"/>
        </w:rPr>
        <w:t>This Amendment is being filed to amend and restate Item 4 as follows:</w:t>
      </w:r>
    </w:p>
    <w:p>
      <w:pPr>
        <w:spacing w:after="0" w:line="237" w:lineRule="exact"/>
        <w:rPr>
          <w:sz w:val="20"/>
          <w:szCs w:val="20"/>
          <w:color w:val="auto"/>
        </w:rPr>
      </w:pPr>
    </w:p>
    <w:p>
      <w:pPr>
        <w:spacing w:after="0"/>
        <w:tabs>
          <w:tab w:leader="none" w:pos="780" w:val="left"/>
        </w:tabs>
        <w:rPr>
          <w:sz w:val="20"/>
          <w:szCs w:val="20"/>
          <w:color w:val="auto"/>
        </w:rPr>
      </w:pPr>
      <w:r>
        <w:rPr>
          <w:rFonts w:ascii="Arial" w:cs="Arial" w:eastAsia="Arial" w:hAnsi="Arial"/>
          <w:sz w:val="17"/>
          <w:szCs w:val="17"/>
          <w:b w:val="1"/>
          <w:bCs w:val="1"/>
          <w:color w:val="auto"/>
        </w:rPr>
        <w:t>Item 4</w:t>
      </w:r>
      <w:r>
        <w:rPr>
          <w:sz w:val="20"/>
          <w:szCs w:val="20"/>
          <w:color w:val="auto"/>
        </w:rPr>
        <w:tab/>
      </w:r>
      <w:r>
        <w:rPr>
          <w:rFonts w:ascii="Arial" w:cs="Arial" w:eastAsia="Arial" w:hAnsi="Arial"/>
          <w:sz w:val="15"/>
          <w:szCs w:val="15"/>
          <w:b w:val="1"/>
          <w:bCs w:val="1"/>
          <w:color w:val="auto"/>
        </w:rPr>
        <w:t>Ownership:</w:t>
      </w:r>
    </w:p>
    <w:p>
      <w:pPr>
        <w:spacing w:after="0" w:line="243"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Item 4(a)  Amount Beneficially Owned:</w:t>
      </w:r>
    </w:p>
    <w:p>
      <w:pPr>
        <w:spacing w:after="0" w:line="249" w:lineRule="exact"/>
        <w:rPr>
          <w:sz w:val="20"/>
          <w:szCs w:val="20"/>
          <w:color w:val="auto"/>
        </w:rPr>
      </w:pPr>
    </w:p>
    <w:p>
      <w:pPr>
        <w:ind w:left="800" w:hanging="217"/>
        <w:spacing w:after="0" w:line="280" w:lineRule="auto"/>
        <w:tabs>
          <w:tab w:leader="none" w:pos="800" w:val="left"/>
        </w:tabs>
        <w:numPr>
          <w:ilvl w:val="0"/>
          <w:numId w:val="44"/>
        </w:numPr>
        <w:rPr>
          <w:rFonts w:ascii="Arial" w:cs="Arial" w:eastAsia="Arial" w:hAnsi="Arial"/>
          <w:sz w:val="17"/>
          <w:szCs w:val="17"/>
          <w:color w:val="auto"/>
        </w:rPr>
      </w:pPr>
      <w:r>
        <w:rPr>
          <w:rFonts w:ascii="Arial" w:cs="Arial" w:eastAsia="Arial" w:hAnsi="Arial"/>
          <w:sz w:val="17"/>
          <w:szCs w:val="17"/>
          <w:color w:val="auto"/>
        </w:rPr>
        <w:t>Greenlight LLC may be deemed the beneficial owner of an aggregate of 13,311,202 Common Shares held for the accounts of Greenlight Fund and Greenlight Qualified.</w:t>
      </w:r>
    </w:p>
    <w:p>
      <w:pPr>
        <w:spacing w:after="0" w:line="163" w:lineRule="exact"/>
        <w:rPr>
          <w:sz w:val="20"/>
          <w:szCs w:val="20"/>
          <w:color w:val="auto"/>
        </w:rPr>
      </w:pPr>
    </w:p>
    <w:p>
      <w:pPr>
        <w:ind w:left="800" w:hanging="241"/>
        <w:spacing w:after="0" w:line="280" w:lineRule="auto"/>
        <w:tabs>
          <w:tab w:leader="none" w:pos="800" w:val="left"/>
        </w:tabs>
        <w:numPr>
          <w:ilvl w:val="0"/>
          <w:numId w:val="45"/>
        </w:numPr>
        <w:rPr>
          <w:rFonts w:ascii="Arial" w:cs="Arial" w:eastAsia="Arial" w:hAnsi="Arial"/>
          <w:sz w:val="17"/>
          <w:szCs w:val="17"/>
          <w:color w:val="auto"/>
        </w:rPr>
      </w:pPr>
      <w:r>
        <w:rPr>
          <w:rFonts w:ascii="Arial" w:cs="Arial" w:eastAsia="Arial" w:hAnsi="Arial"/>
          <w:sz w:val="17"/>
          <w:szCs w:val="17"/>
          <w:color w:val="auto"/>
        </w:rPr>
        <w:t>Greenlight Inc. may be deemed the beneficial owner of an aggregate of 32,519,861 Common Shares held for the accounts of Greenlight Fund, Greenlight Qualified and Greenlight Offshore.</w:t>
      </w:r>
    </w:p>
    <w:p>
      <w:pPr>
        <w:spacing w:after="0" w:line="163" w:lineRule="exact"/>
        <w:rPr>
          <w:sz w:val="20"/>
          <w:szCs w:val="20"/>
          <w:color w:val="auto"/>
        </w:rPr>
      </w:pPr>
    </w:p>
    <w:p>
      <w:pPr>
        <w:ind w:left="800" w:hanging="265"/>
        <w:spacing w:after="0"/>
        <w:tabs>
          <w:tab w:leader="none" w:pos="800" w:val="left"/>
        </w:tabs>
        <w:numPr>
          <w:ilvl w:val="0"/>
          <w:numId w:val="46"/>
        </w:numPr>
        <w:rPr>
          <w:rFonts w:ascii="Arial" w:cs="Arial" w:eastAsia="Arial" w:hAnsi="Arial"/>
          <w:sz w:val="17"/>
          <w:szCs w:val="17"/>
          <w:color w:val="auto"/>
        </w:rPr>
      </w:pPr>
      <w:r>
        <w:rPr>
          <w:rFonts w:ascii="Arial" w:cs="Arial" w:eastAsia="Arial" w:hAnsi="Arial"/>
          <w:sz w:val="17"/>
          <w:szCs w:val="17"/>
          <w:color w:val="auto"/>
        </w:rPr>
        <w:t>DME Management GP may be deemed the beneficial owner of 5,977,287 Common Shares held for the account of Greenlight Gold.</w:t>
      </w:r>
    </w:p>
    <w:p>
      <w:pPr>
        <w:spacing w:after="0" w:line="217" w:lineRule="exact"/>
        <w:rPr>
          <w:rFonts w:ascii="Arial" w:cs="Arial" w:eastAsia="Arial" w:hAnsi="Arial"/>
          <w:sz w:val="17"/>
          <w:szCs w:val="17"/>
          <w:color w:val="auto"/>
        </w:rPr>
      </w:pPr>
    </w:p>
    <w:p>
      <w:pPr>
        <w:ind w:left="800" w:hanging="260"/>
        <w:spacing w:after="0"/>
        <w:tabs>
          <w:tab w:leader="none" w:pos="800" w:val="left"/>
        </w:tabs>
        <w:numPr>
          <w:ilvl w:val="0"/>
          <w:numId w:val="46"/>
        </w:numPr>
        <w:rPr>
          <w:rFonts w:ascii="Arial" w:cs="Arial" w:eastAsia="Arial" w:hAnsi="Arial"/>
          <w:sz w:val="17"/>
          <w:szCs w:val="17"/>
          <w:color w:val="auto"/>
        </w:rPr>
      </w:pPr>
      <w:r>
        <w:rPr>
          <w:rFonts w:ascii="Arial" w:cs="Arial" w:eastAsia="Arial" w:hAnsi="Arial"/>
          <w:sz w:val="17"/>
          <w:szCs w:val="17"/>
          <w:color w:val="auto"/>
        </w:rPr>
        <w:t>DME Advisors may be deemed the beneficial owner of 7,131,000 Common Shares held for the account of the Managed Account.</w:t>
      </w:r>
    </w:p>
    <w:p>
      <w:pPr>
        <w:spacing w:after="0" w:line="218" w:lineRule="exact"/>
        <w:rPr>
          <w:sz w:val="20"/>
          <w:szCs w:val="20"/>
          <w:color w:val="auto"/>
        </w:rPr>
      </w:pPr>
    </w:p>
    <w:p>
      <w:pPr>
        <w:ind w:left="560"/>
        <w:spacing w:after="0"/>
        <w:rPr>
          <w:sz w:val="20"/>
          <w:szCs w:val="20"/>
          <w:color w:val="auto"/>
        </w:rPr>
      </w:pPr>
      <w:r>
        <w:rPr>
          <w:rFonts w:ascii="Arial" w:cs="Arial" w:eastAsia="Arial" w:hAnsi="Arial"/>
          <w:sz w:val="16"/>
          <w:szCs w:val="16"/>
          <w:color w:val="auto"/>
        </w:rPr>
        <w:t>v) DME CM may be deemed the beneficial owner of 11,832,582 Common Shares held for the accounts of Greenlight Gold and Greenlight Gold Offshore.</w:t>
      </w:r>
    </w:p>
    <w:p>
      <w:pPr>
        <w:spacing w:after="0" w:line="229" w:lineRule="exact"/>
        <w:rPr>
          <w:sz w:val="20"/>
          <w:szCs w:val="20"/>
          <w:color w:val="auto"/>
        </w:rPr>
      </w:pPr>
    </w:p>
    <w:p>
      <w:pPr>
        <w:ind w:left="800" w:hanging="260"/>
        <w:spacing w:after="0" w:line="280" w:lineRule="auto"/>
        <w:tabs>
          <w:tab w:leader="none" w:pos="800" w:val="left"/>
        </w:tabs>
        <w:numPr>
          <w:ilvl w:val="0"/>
          <w:numId w:val="47"/>
        </w:numPr>
        <w:rPr>
          <w:rFonts w:ascii="Arial" w:cs="Arial" w:eastAsia="Arial" w:hAnsi="Arial"/>
          <w:sz w:val="17"/>
          <w:szCs w:val="17"/>
          <w:color w:val="auto"/>
        </w:rPr>
      </w:pPr>
      <w:r>
        <w:rPr>
          <w:rFonts w:ascii="Arial" w:cs="Arial" w:eastAsia="Arial" w:hAnsi="Arial"/>
          <w:sz w:val="17"/>
          <w:szCs w:val="17"/>
          <w:color w:val="auto"/>
        </w:rPr>
        <w:t>DME GP may be deemed the beneficial owner of 18,963,582 Common Shares held for the accounts of Greenlight Gold, Greenlight Gold Offshore and the Managed Account.</w:t>
      </w:r>
    </w:p>
    <w:p>
      <w:pPr>
        <w:spacing w:after="0" w:line="163" w:lineRule="exact"/>
        <w:rPr>
          <w:sz w:val="20"/>
          <w:szCs w:val="20"/>
          <w:color w:val="auto"/>
        </w:rPr>
      </w:pPr>
    </w:p>
    <w:p>
      <w:pPr>
        <w:jc w:val="both"/>
        <w:ind w:left="800" w:hanging="284"/>
        <w:spacing w:after="0" w:line="294" w:lineRule="auto"/>
        <w:tabs>
          <w:tab w:leader="none" w:pos="800" w:val="left"/>
        </w:tabs>
        <w:numPr>
          <w:ilvl w:val="0"/>
          <w:numId w:val="48"/>
        </w:numPr>
        <w:rPr>
          <w:rFonts w:ascii="Arial" w:cs="Arial" w:eastAsia="Arial" w:hAnsi="Arial"/>
          <w:sz w:val="15"/>
          <w:szCs w:val="15"/>
          <w:color w:val="auto"/>
        </w:rPr>
      </w:pPr>
      <w:r>
        <w:rPr>
          <w:rFonts w:ascii="Arial" w:cs="Arial" w:eastAsia="Arial" w:hAnsi="Arial"/>
          <w:sz w:val="15"/>
          <w:szCs w:val="15"/>
          <w:color w:val="auto"/>
        </w:rPr>
        <w:t>Mr. Einhorn may be deemed the beneficial owner of 51,802,443 Common Shares. This number consists of: (A) an aggregate of 13,311,202 Common Shares held for the accounts of Greenlight Fund and Greenlight Qualified, (B) 19,208,659 Common Shares held for the account of Greenlight Offshore,</w:t>
      </w:r>
    </w:p>
    <w:p>
      <w:pPr>
        <w:spacing w:after="0" w:line="1" w:lineRule="exact"/>
        <w:rPr>
          <w:rFonts w:ascii="Arial" w:cs="Arial" w:eastAsia="Arial" w:hAnsi="Arial"/>
          <w:sz w:val="15"/>
          <w:szCs w:val="15"/>
          <w:color w:val="auto"/>
        </w:rPr>
      </w:pPr>
    </w:p>
    <w:p>
      <w:pPr>
        <w:ind w:left="1080" w:hanging="277"/>
        <w:spacing w:after="0"/>
        <w:tabs>
          <w:tab w:leader="none" w:pos="1080" w:val="left"/>
        </w:tabs>
        <w:numPr>
          <w:ilvl w:val="1"/>
          <w:numId w:val="48"/>
        </w:numPr>
        <w:rPr>
          <w:rFonts w:ascii="Arial" w:cs="Arial" w:eastAsia="Arial" w:hAnsi="Arial"/>
          <w:sz w:val="15"/>
          <w:szCs w:val="15"/>
          <w:color w:val="auto"/>
        </w:rPr>
      </w:pPr>
      <w:r>
        <w:rPr>
          <w:rFonts w:ascii="Arial" w:cs="Arial" w:eastAsia="Arial" w:hAnsi="Arial"/>
          <w:sz w:val="15"/>
          <w:szCs w:val="15"/>
          <w:color w:val="auto"/>
        </w:rPr>
        <w:t>5,977,287 Common Shares held for the account of Greenlight Gold, (D) 5,855,295 Common Shares held for the account of Greenlight Gold Offshore,</w:t>
      </w:r>
    </w:p>
    <w:p>
      <w:pPr>
        <w:spacing w:after="0" w:line="34" w:lineRule="exact"/>
        <w:rPr>
          <w:rFonts w:ascii="Arial" w:cs="Arial" w:eastAsia="Arial" w:hAnsi="Arial"/>
          <w:sz w:val="15"/>
          <w:szCs w:val="15"/>
          <w:color w:val="auto"/>
        </w:rPr>
      </w:pPr>
    </w:p>
    <w:p>
      <w:pPr>
        <w:ind w:left="1060" w:hanging="257"/>
        <w:spacing w:after="0"/>
        <w:tabs>
          <w:tab w:leader="none" w:pos="1060" w:val="left"/>
        </w:tabs>
        <w:numPr>
          <w:ilvl w:val="1"/>
          <w:numId w:val="49"/>
        </w:numPr>
        <w:rPr>
          <w:rFonts w:ascii="Arial" w:cs="Arial" w:eastAsia="Arial" w:hAnsi="Arial"/>
          <w:sz w:val="17"/>
          <w:szCs w:val="17"/>
          <w:color w:val="auto"/>
        </w:rPr>
      </w:pPr>
      <w:r>
        <w:rPr>
          <w:rFonts w:ascii="Arial" w:cs="Arial" w:eastAsia="Arial" w:hAnsi="Arial"/>
          <w:sz w:val="17"/>
          <w:szCs w:val="17"/>
          <w:color w:val="auto"/>
        </w:rPr>
        <w:t>7,131,000 Common Shares held for the Managed Account, and (F) 319,000 Common Shares held for the account of Greenlight Masters.</w:t>
      </w:r>
    </w:p>
    <w:p>
      <w:pPr>
        <w:spacing w:after="0" w:line="233" w:lineRule="exact"/>
        <w:rPr>
          <w:sz w:val="20"/>
          <w:szCs w:val="20"/>
          <w:color w:val="auto"/>
        </w:rPr>
      </w:pPr>
    </w:p>
    <w:p>
      <w:pPr>
        <w:jc w:val="both"/>
        <w:ind w:left="320"/>
        <w:spacing w:after="0" w:line="262" w:lineRule="auto"/>
        <w:rPr>
          <w:sz w:val="20"/>
          <w:szCs w:val="20"/>
          <w:color w:val="auto"/>
        </w:rPr>
      </w:pPr>
      <w:r>
        <w:rPr>
          <w:rFonts w:ascii="Arial" w:cs="Arial" w:eastAsia="Arial" w:hAnsi="Arial"/>
          <w:sz w:val="17"/>
          <w:szCs w:val="17"/>
          <w:color w:val="auto"/>
        </w:rPr>
        <w:t>The filing of this Schedule 13G shall not be construed as an admission that any of the Reporting Persons is for the purposes of Section 13(d) or 13(g) of the Securities Exchange Act of 1934, the beneficial owner of any of the Common Shares owned by Greenlight Fund, Greenlight Qualified, Greenlight Offshore, Greenlight Gold, Greenlight Gold Offshore, the Managed Account or Greenlight Masters. Pursuant to Rule 13d-4, each of the Reporting Persons disclaims all such beneficial ownership except to the extent of its pecuniary interest in any Common Shares, if applicable.</w:t>
      </w:r>
    </w:p>
    <w:p>
      <w:pPr>
        <w:spacing w:after="0" w:line="199"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Item 4(b) Percent of Class:</w:t>
      </w:r>
    </w:p>
    <w:p>
      <w:pPr>
        <w:spacing w:after="0" w:line="249" w:lineRule="exact"/>
        <w:rPr>
          <w:sz w:val="20"/>
          <w:szCs w:val="20"/>
          <w:color w:val="auto"/>
        </w:rPr>
      </w:pPr>
    </w:p>
    <w:p>
      <w:pPr>
        <w:jc w:val="both"/>
        <w:ind w:left="320"/>
        <w:spacing w:after="0" w:line="262" w:lineRule="auto"/>
        <w:rPr>
          <w:sz w:val="20"/>
          <w:szCs w:val="20"/>
          <w:color w:val="auto"/>
        </w:rPr>
      </w:pPr>
      <w:r>
        <w:rPr>
          <w:rFonts w:ascii="Arial" w:cs="Arial" w:eastAsia="Arial" w:hAnsi="Arial"/>
          <w:sz w:val="17"/>
          <w:szCs w:val="17"/>
          <w:color w:val="auto"/>
        </w:rPr>
        <w:t>The information set forth in Rows 5 through 11 of the cover page for each Reporting Person is hereby incorporated by reference into this Item 4(b) for each such Reporting Person. The percentages reported herein have been determined by dividing the number of Common Shares beneficially owned by each of the Reporting Persons by 535,000,000, the number of Common Shares outstanding as of November 21, 2012, as reported in the Quarterly Report on Form 10-Q filed by the Issuer on November 29, 2012 with the SEC.</w:t>
      </w:r>
    </w:p>
    <w:p>
      <w:pPr>
        <w:spacing w:after="0" w:line="199"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Item 4(c)  Number of shares as to which each such person has voting and dispositive power:</w:t>
      </w:r>
    </w:p>
    <w:p>
      <w:pPr>
        <w:spacing w:after="0" w:line="249" w:lineRule="exact"/>
        <w:rPr>
          <w:sz w:val="20"/>
          <w:szCs w:val="20"/>
          <w:color w:val="auto"/>
        </w:rPr>
      </w:pPr>
    </w:p>
    <w:p>
      <w:pPr>
        <w:jc w:val="both"/>
        <w:ind w:left="320"/>
        <w:spacing w:after="0" w:line="280" w:lineRule="auto"/>
        <w:rPr>
          <w:sz w:val="20"/>
          <w:szCs w:val="20"/>
          <w:color w:val="auto"/>
        </w:rPr>
      </w:pPr>
      <w:r>
        <w:rPr>
          <w:rFonts w:ascii="Arial" w:cs="Arial" w:eastAsia="Arial" w:hAnsi="Arial"/>
          <w:sz w:val="17"/>
          <w:szCs w:val="17"/>
          <w:color w:val="auto"/>
        </w:rPr>
        <w:t>The information set forth in Rows 5 through 11 of the cover page for each Reporting Person is hereby incorporated by reference into this Item 4(c) for each such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371475</wp:posOffset>
            </wp:positionV>
            <wp:extent cx="7257415" cy="2095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57415" cy="20955"/>
                    </a:xfrm>
                    <a:prstGeom prst="rect">
                      <a:avLst/>
                    </a:prstGeom>
                    <a:noFill/>
                  </pic:spPr>
                </pic:pic>
              </a:graphicData>
            </a:graphic>
          </wp:anchor>
        </w:drawing>
      </w:r>
    </w:p>
    <w:p>
      <w:pPr>
        <w:sectPr>
          <w:pgSz w:w="11900" w:h="16838" w:orient="portrait"/>
          <w:cols w:equalWidth="0" w:num="1">
            <w:col w:w="11420"/>
          </w:cols>
          <w:pgMar w:left="240" w:top="495" w:right="239" w:bottom="1440" w:gutter="0" w:footer="0" w:header="0"/>
        </w:sectPr>
      </w:pPr>
    </w:p>
    <w:bookmarkStart w:id="9" w:name="page10"/>
    <w:bookmarkEnd w:id="9"/>
    <w:p>
      <w:pPr>
        <w:ind w:left="5520"/>
        <w:spacing w:after="0"/>
        <w:rPr>
          <w:sz w:val="20"/>
          <w:szCs w:val="20"/>
          <w:color w:val="auto"/>
        </w:rPr>
      </w:pPr>
      <w:r>
        <w:rPr>
          <w:rFonts w:ascii="Arial" w:cs="Arial" w:eastAsia="Arial" w:hAnsi="Arial"/>
          <w:sz w:val="17"/>
          <w:szCs w:val="17"/>
          <w:b w:val="1"/>
          <w:bCs w:val="1"/>
          <w:color w:val="auto"/>
        </w:rPr>
        <w:t>SIGNATURE</w:t>
      </w:r>
    </w:p>
    <w:p>
      <w:pPr>
        <w:spacing w:after="0" w:line="249"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55" w:lineRule="exact"/>
        <w:rPr>
          <w:sz w:val="20"/>
          <w:szCs w:val="20"/>
          <w:color w:val="auto"/>
        </w:rPr>
      </w:pPr>
    </w:p>
    <w:p>
      <w:pPr>
        <w:spacing w:after="0"/>
        <w:tabs>
          <w:tab w:leader="none" w:pos="960" w:val="left"/>
        </w:tabs>
        <w:rPr>
          <w:sz w:val="20"/>
          <w:szCs w:val="20"/>
          <w:color w:val="auto"/>
        </w:rPr>
      </w:pPr>
      <w:r>
        <w:rPr>
          <w:rFonts w:ascii="Arial" w:cs="Arial" w:eastAsia="Arial" w:hAnsi="Arial"/>
          <w:sz w:val="17"/>
          <w:szCs w:val="17"/>
          <w:color w:val="auto"/>
        </w:rPr>
        <w:t>Date:</w:t>
      </w:r>
      <w:r>
        <w:rPr>
          <w:sz w:val="20"/>
          <w:szCs w:val="20"/>
          <w:color w:val="auto"/>
        </w:rPr>
        <w:tab/>
      </w:r>
      <w:r>
        <w:rPr>
          <w:rFonts w:ascii="Arial" w:cs="Arial" w:eastAsia="Arial" w:hAnsi="Arial"/>
          <w:sz w:val="17"/>
          <w:szCs w:val="17"/>
          <w:color w:val="auto"/>
        </w:rPr>
        <w:t>February 14, 2013</w:t>
      </w:r>
    </w:p>
    <w:p>
      <w:pPr>
        <w:spacing w:after="0" w:line="237" w:lineRule="exact"/>
        <w:rPr>
          <w:sz w:val="20"/>
          <w:szCs w:val="20"/>
          <w:color w:val="auto"/>
        </w:rPr>
      </w:pPr>
    </w:p>
    <w:p>
      <w:pPr>
        <w:ind w:left="4500"/>
        <w:spacing w:after="0"/>
        <w:rPr>
          <w:sz w:val="20"/>
          <w:szCs w:val="20"/>
          <w:color w:val="auto"/>
        </w:rPr>
      </w:pPr>
      <w:r>
        <w:rPr>
          <w:rFonts w:ascii="Arial" w:cs="Arial" w:eastAsia="Arial" w:hAnsi="Arial"/>
          <w:sz w:val="17"/>
          <w:szCs w:val="17"/>
          <w:b w:val="1"/>
          <w:bCs w:val="1"/>
          <w:color w:val="auto"/>
        </w:rPr>
        <w:t>GREENLIGHT CAPITAL, L.L.C.</w:t>
      </w:r>
    </w:p>
    <w:p>
      <w:pPr>
        <w:spacing w:after="0" w:line="224"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825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4392295" cy="8255"/>
                    </a:xfrm>
                    <a:prstGeom prst="rect">
                      <a:avLst/>
                    </a:prstGeom>
                    <a:noFill/>
                  </pic:spPr>
                </pic:pic>
              </a:graphicData>
            </a:graphic>
          </wp:anchor>
        </w:drawing>
      </w:r>
    </w:p>
    <w:p>
      <w:pPr>
        <w:spacing w:after="0" w:line="4"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jc w:val="center"/>
        <w:ind w:right="-159"/>
        <w:spacing w:after="0"/>
        <w:rPr>
          <w:sz w:val="20"/>
          <w:szCs w:val="20"/>
          <w:color w:val="auto"/>
        </w:rPr>
      </w:pPr>
      <w:r>
        <w:rPr>
          <w:rFonts w:ascii="Arial" w:cs="Arial" w:eastAsia="Arial" w:hAnsi="Arial"/>
          <w:sz w:val="17"/>
          <w:szCs w:val="17"/>
          <w:color w:val="auto"/>
        </w:rPr>
        <w:t>Chief Operating Officer</w:t>
      </w:r>
    </w:p>
    <w:p>
      <w:pPr>
        <w:spacing w:after="0" w:line="200" w:lineRule="exact"/>
        <w:rPr>
          <w:sz w:val="20"/>
          <w:szCs w:val="20"/>
          <w:color w:val="auto"/>
        </w:rPr>
      </w:pPr>
    </w:p>
    <w:p>
      <w:pPr>
        <w:spacing w:after="0" w:line="207" w:lineRule="exact"/>
        <w:rPr>
          <w:sz w:val="20"/>
          <w:szCs w:val="20"/>
          <w:color w:val="auto"/>
        </w:rPr>
      </w:pPr>
    </w:p>
    <w:p>
      <w:pPr>
        <w:ind w:left="4500"/>
        <w:spacing w:after="0"/>
        <w:rPr>
          <w:sz w:val="20"/>
          <w:szCs w:val="20"/>
          <w:color w:val="auto"/>
        </w:rPr>
      </w:pPr>
      <w:r>
        <w:rPr>
          <w:rFonts w:ascii="Arial" w:cs="Arial" w:eastAsia="Arial" w:hAnsi="Arial"/>
          <w:sz w:val="17"/>
          <w:szCs w:val="17"/>
          <w:b w:val="1"/>
          <w:bCs w:val="1"/>
          <w:color w:val="auto"/>
        </w:rPr>
        <w:t>GREENLIGHT CAPITAL, INC.</w:t>
      </w:r>
    </w:p>
    <w:p>
      <w:pPr>
        <w:spacing w:after="0" w:line="224"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825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4392295" cy="8255"/>
                    </a:xfrm>
                    <a:prstGeom prst="rect">
                      <a:avLst/>
                    </a:prstGeom>
                    <a:noFill/>
                  </pic:spPr>
                </pic:pic>
              </a:graphicData>
            </a:graphic>
          </wp:anchor>
        </w:drawing>
      </w:r>
    </w:p>
    <w:p>
      <w:pPr>
        <w:spacing w:after="0" w:line="4"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jc w:val="center"/>
        <w:ind w:right="-159"/>
        <w:spacing w:after="0"/>
        <w:rPr>
          <w:sz w:val="20"/>
          <w:szCs w:val="20"/>
          <w:color w:val="auto"/>
        </w:rPr>
      </w:pPr>
      <w:r>
        <w:rPr>
          <w:rFonts w:ascii="Arial" w:cs="Arial" w:eastAsia="Arial" w:hAnsi="Arial"/>
          <w:sz w:val="17"/>
          <w:szCs w:val="17"/>
          <w:color w:val="auto"/>
        </w:rPr>
        <w:t>Chief Operating Officer</w:t>
      </w:r>
    </w:p>
    <w:p>
      <w:pPr>
        <w:spacing w:after="0" w:line="200" w:lineRule="exact"/>
        <w:rPr>
          <w:sz w:val="20"/>
          <w:szCs w:val="20"/>
          <w:color w:val="auto"/>
        </w:rPr>
      </w:pPr>
    </w:p>
    <w:p>
      <w:pPr>
        <w:spacing w:after="0" w:line="207" w:lineRule="exact"/>
        <w:rPr>
          <w:sz w:val="20"/>
          <w:szCs w:val="20"/>
          <w:color w:val="auto"/>
        </w:rPr>
      </w:pPr>
    </w:p>
    <w:p>
      <w:pPr>
        <w:ind w:left="4500"/>
        <w:spacing w:after="0"/>
        <w:rPr>
          <w:sz w:val="20"/>
          <w:szCs w:val="20"/>
          <w:color w:val="auto"/>
        </w:rPr>
      </w:pPr>
      <w:r>
        <w:rPr>
          <w:rFonts w:ascii="Arial" w:cs="Arial" w:eastAsia="Arial" w:hAnsi="Arial"/>
          <w:sz w:val="17"/>
          <w:szCs w:val="17"/>
          <w:b w:val="1"/>
          <w:bCs w:val="1"/>
          <w:color w:val="auto"/>
        </w:rPr>
        <w:t>DME MANAGEMENT GP, LLC</w:t>
      </w:r>
    </w:p>
    <w:p>
      <w:pPr>
        <w:spacing w:after="0" w:line="224"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825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4392295" cy="8255"/>
                    </a:xfrm>
                    <a:prstGeom prst="rect">
                      <a:avLst/>
                    </a:prstGeom>
                    <a:noFill/>
                  </pic:spPr>
                </pic:pic>
              </a:graphicData>
            </a:graphic>
          </wp:anchor>
        </w:drawing>
      </w:r>
    </w:p>
    <w:p>
      <w:pPr>
        <w:spacing w:after="0" w:line="4"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jc w:val="center"/>
        <w:ind w:right="-159"/>
        <w:spacing w:after="0"/>
        <w:rPr>
          <w:sz w:val="20"/>
          <w:szCs w:val="20"/>
          <w:color w:val="auto"/>
        </w:rPr>
      </w:pPr>
      <w:r>
        <w:rPr>
          <w:rFonts w:ascii="Arial" w:cs="Arial" w:eastAsia="Arial" w:hAnsi="Arial"/>
          <w:sz w:val="17"/>
          <w:szCs w:val="17"/>
          <w:color w:val="auto"/>
        </w:rPr>
        <w:t>Chief Operating Officer</w:t>
      </w:r>
    </w:p>
    <w:p>
      <w:pPr>
        <w:spacing w:after="0" w:line="200" w:lineRule="exact"/>
        <w:rPr>
          <w:sz w:val="20"/>
          <w:szCs w:val="20"/>
          <w:color w:val="auto"/>
        </w:rPr>
      </w:pPr>
    </w:p>
    <w:p>
      <w:pPr>
        <w:spacing w:after="0" w:line="207" w:lineRule="exact"/>
        <w:rPr>
          <w:sz w:val="20"/>
          <w:szCs w:val="20"/>
          <w:color w:val="auto"/>
        </w:rPr>
      </w:pPr>
    </w:p>
    <w:p>
      <w:pPr>
        <w:ind w:left="4500"/>
        <w:spacing w:after="0"/>
        <w:rPr>
          <w:sz w:val="20"/>
          <w:szCs w:val="20"/>
          <w:color w:val="auto"/>
        </w:rPr>
      </w:pPr>
      <w:r>
        <w:rPr>
          <w:rFonts w:ascii="Arial" w:cs="Arial" w:eastAsia="Arial" w:hAnsi="Arial"/>
          <w:sz w:val="17"/>
          <w:szCs w:val="17"/>
          <w:b w:val="1"/>
          <w:bCs w:val="1"/>
          <w:color w:val="auto"/>
        </w:rPr>
        <w:t>DME ADVISORS, LP</w:t>
      </w:r>
    </w:p>
    <w:p>
      <w:pPr>
        <w:spacing w:after="0" w:line="224"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DME Advisors GP, LLC,</w:t>
      </w:r>
    </w:p>
    <w:p>
      <w:pPr>
        <w:spacing w:after="0" w:line="22"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its General Partner</w:t>
      </w:r>
    </w:p>
    <w:p>
      <w:pPr>
        <w:spacing w:after="0" w:line="207"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825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4392295" cy="8255"/>
                    </a:xfrm>
                    <a:prstGeom prst="rect">
                      <a:avLst/>
                    </a:prstGeom>
                    <a:noFill/>
                  </pic:spPr>
                </pic:pic>
              </a:graphicData>
            </a:graphic>
          </wp:anchor>
        </w:drawing>
      </w:r>
    </w:p>
    <w:p>
      <w:pPr>
        <w:spacing w:after="0" w:line="4"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jc w:val="center"/>
        <w:ind w:right="-159"/>
        <w:spacing w:after="0"/>
        <w:rPr>
          <w:sz w:val="20"/>
          <w:szCs w:val="20"/>
          <w:color w:val="auto"/>
        </w:rPr>
      </w:pPr>
      <w:r>
        <w:rPr>
          <w:rFonts w:ascii="Arial" w:cs="Arial" w:eastAsia="Arial" w:hAnsi="Arial"/>
          <w:sz w:val="17"/>
          <w:szCs w:val="17"/>
          <w:color w:val="auto"/>
        </w:rPr>
        <w:t>Chief Operating Officer</w:t>
      </w:r>
    </w:p>
    <w:p>
      <w:pPr>
        <w:spacing w:after="0" w:line="200" w:lineRule="exact"/>
        <w:rPr>
          <w:sz w:val="20"/>
          <w:szCs w:val="20"/>
          <w:color w:val="auto"/>
        </w:rPr>
      </w:pPr>
    </w:p>
    <w:p>
      <w:pPr>
        <w:spacing w:after="0" w:line="207" w:lineRule="exact"/>
        <w:rPr>
          <w:sz w:val="20"/>
          <w:szCs w:val="20"/>
          <w:color w:val="auto"/>
        </w:rPr>
      </w:pPr>
    </w:p>
    <w:p>
      <w:pPr>
        <w:ind w:left="4500"/>
        <w:spacing w:after="0"/>
        <w:rPr>
          <w:sz w:val="20"/>
          <w:szCs w:val="20"/>
          <w:color w:val="auto"/>
        </w:rPr>
      </w:pPr>
      <w:r>
        <w:rPr>
          <w:rFonts w:ascii="Arial" w:cs="Arial" w:eastAsia="Arial" w:hAnsi="Arial"/>
          <w:sz w:val="17"/>
          <w:szCs w:val="17"/>
          <w:b w:val="1"/>
          <w:bCs w:val="1"/>
          <w:color w:val="auto"/>
        </w:rPr>
        <w:t>DME CAPITAL MANAGEMENT, LP</w:t>
      </w:r>
    </w:p>
    <w:p>
      <w:pPr>
        <w:spacing w:after="0" w:line="224"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DME Advisors GP, LLC,</w:t>
      </w:r>
    </w:p>
    <w:p>
      <w:pPr>
        <w:spacing w:after="0" w:line="22"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its General Partner</w:t>
      </w:r>
    </w:p>
    <w:p>
      <w:pPr>
        <w:spacing w:after="0" w:line="207"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825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4392295" cy="8255"/>
                    </a:xfrm>
                    <a:prstGeom prst="rect">
                      <a:avLst/>
                    </a:prstGeom>
                    <a:noFill/>
                  </pic:spPr>
                </pic:pic>
              </a:graphicData>
            </a:graphic>
          </wp:anchor>
        </w:drawing>
      </w:r>
    </w:p>
    <w:p>
      <w:pPr>
        <w:spacing w:after="0" w:line="4"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jc w:val="center"/>
        <w:ind w:right="-159"/>
        <w:spacing w:after="0"/>
        <w:rPr>
          <w:sz w:val="20"/>
          <w:szCs w:val="20"/>
          <w:color w:val="auto"/>
        </w:rPr>
      </w:pPr>
      <w:r>
        <w:rPr>
          <w:rFonts w:ascii="Arial" w:cs="Arial" w:eastAsia="Arial" w:hAnsi="Arial"/>
          <w:sz w:val="17"/>
          <w:szCs w:val="17"/>
          <w:color w:val="auto"/>
        </w:rPr>
        <w:t>Chief Operating Officer</w:t>
      </w:r>
    </w:p>
    <w:p>
      <w:pPr>
        <w:spacing w:after="0" w:line="200" w:lineRule="exact"/>
        <w:rPr>
          <w:sz w:val="20"/>
          <w:szCs w:val="20"/>
          <w:color w:val="auto"/>
        </w:rPr>
      </w:pPr>
    </w:p>
    <w:p>
      <w:pPr>
        <w:spacing w:after="0" w:line="207" w:lineRule="exact"/>
        <w:rPr>
          <w:sz w:val="20"/>
          <w:szCs w:val="20"/>
          <w:color w:val="auto"/>
        </w:rPr>
      </w:pPr>
    </w:p>
    <w:p>
      <w:pPr>
        <w:jc w:val="center"/>
        <w:ind w:right="60"/>
        <w:spacing w:after="0"/>
        <w:rPr>
          <w:sz w:val="20"/>
          <w:szCs w:val="20"/>
          <w:color w:val="auto"/>
        </w:rPr>
      </w:pPr>
      <w:r>
        <w:rPr>
          <w:rFonts w:ascii="Arial" w:cs="Arial" w:eastAsia="Arial" w:hAnsi="Arial"/>
          <w:sz w:val="17"/>
          <w:szCs w:val="17"/>
          <w:b w:val="1"/>
          <w:bCs w:val="1"/>
          <w:color w:val="auto"/>
        </w:rPr>
        <w:t>DME ADVISORS GP, LLC</w:t>
      </w:r>
    </w:p>
    <w:p>
      <w:pPr>
        <w:spacing w:after="0" w:line="224"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By: /s/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825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4392295" cy="8255"/>
                    </a:xfrm>
                    <a:prstGeom prst="rect">
                      <a:avLst/>
                    </a:prstGeom>
                    <a:noFill/>
                  </pic:spPr>
                </pic:pic>
              </a:graphicData>
            </a:graphic>
          </wp:anchor>
        </w:drawing>
      </w:r>
    </w:p>
    <w:p>
      <w:pPr>
        <w:spacing w:after="0" w:line="4"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w:t>
      </w:r>
    </w:p>
    <w:p>
      <w:pPr>
        <w:spacing w:after="0" w:line="22" w:lineRule="exact"/>
        <w:rPr>
          <w:sz w:val="20"/>
          <w:szCs w:val="20"/>
          <w:color w:val="auto"/>
        </w:rPr>
      </w:pPr>
    </w:p>
    <w:p>
      <w:pPr>
        <w:jc w:val="center"/>
        <w:ind w:right="-159"/>
        <w:spacing w:after="0"/>
        <w:rPr>
          <w:sz w:val="20"/>
          <w:szCs w:val="20"/>
          <w:color w:val="auto"/>
        </w:rPr>
      </w:pPr>
      <w:r>
        <w:rPr>
          <w:rFonts w:ascii="Arial" w:cs="Arial" w:eastAsia="Arial" w:hAnsi="Arial"/>
          <w:sz w:val="17"/>
          <w:szCs w:val="17"/>
          <w:color w:val="auto"/>
        </w:rPr>
        <w:t>Chief Operating Officer</w:t>
      </w:r>
    </w:p>
    <w:p>
      <w:pPr>
        <w:spacing w:after="0" w:line="200" w:lineRule="exact"/>
        <w:rPr>
          <w:sz w:val="20"/>
          <w:szCs w:val="20"/>
          <w:color w:val="auto"/>
        </w:rPr>
      </w:pPr>
    </w:p>
    <w:p>
      <w:pPr>
        <w:spacing w:after="0" w:line="213" w:lineRule="exact"/>
        <w:rPr>
          <w:sz w:val="20"/>
          <w:szCs w:val="20"/>
          <w:color w:val="auto"/>
        </w:rPr>
      </w:pPr>
    </w:p>
    <w:p>
      <w:pPr>
        <w:ind w:left="4500"/>
        <w:spacing w:after="0"/>
        <w:rPr>
          <w:sz w:val="20"/>
          <w:szCs w:val="20"/>
          <w:color w:val="auto"/>
        </w:rPr>
      </w:pPr>
      <w:r>
        <w:rPr>
          <w:rFonts w:ascii="Arial" w:cs="Arial" w:eastAsia="Arial" w:hAnsi="Arial"/>
          <w:sz w:val="17"/>
          <w:szCs w:val="17"/>
          <w:color w:val="auto"/>
        </w:rPr>
        <w:t>/s/ DANIEL ROITMAN**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2861945</wp:posOffset>
            </wp:positionH>
            <wp:positionV relativeFrom="paragraph">
              <wp:posOffset>14605</wp:posOffset>
            </wp:positionV>
            <wp:extent cx="4392295" cy="825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4392295" cy="8255"/>
                    </a:xfrm>
                    <a:prstGeom prst="rect">
                      <a:avLst/>
                    </a:prstGeom>
                    <a:noFill/>
                  </pic:spPr>
                </pic:pic>
              </a:graphicData>
            </a:graphic>
          </wp:anchor>
        </w:drawing>
      </w:r>
    </w:p>
    <w:p>
      <w:pPr>
        <w:spacing w:after="0" w:line="4" w:lineRule="exact"/>
        <w:rPr>
          <w:sz w:val="20"/>
          <w:szCs w:val="20"/>
          <w:color w:val="auto"/>
        </w:rPr>
      </w:pPr>
    </w:p>
    <w:p>
      <w:pPr>
        <w:ind w:left="4820"/>
        <w:spacing w:after="0"/>
        <w:rPr>
          <w:sz w:val="20"/>
          <w:szCs w:val="20"/>
          <w:color w:val="auto"/>
        </w:rPr>
      </w:pPr>
      <w:r>
        <w:rPr>
          <w:rFonts w:ascii="Arial" w:cs="Arial" w:eastAsia="Arial" w:hAnsi="Arial"/>
          <w:sz w:val="17"/>
          <w:szCs w:val="17"/>
          <w:color w:val="auto"/>
        </w:rPr>
        <w:t>Daniel Roitman, on behalf of David Einhorn</w:t>
      </w:r>
    </w:p>
    <w:p>
      <w:pPr>
        <w:spacing w:after="0" w:line="200" w:lineRule="exact"/>
        <w:rPr>
          <w:sz w:val="20"/>
          <w:szCs w:val="20"/>
          <w:color w:val="auto"/>
        </w:rPr>
      </w:pPr>
    </w:p>
    <w:p>
      <w:pPr>
        <w:spacing w:after="0" w:line="276" w:lineRule="exact"/>
        <w:rPr>
          <w:sz w:val="20"/>
          <w:szCs w:val="20"/>
          <w:color w:val="auto"/>
        </w:rPr>
      </w:pPr>
    </w:p>
    <w:p>
      <w:pPr>
        <w:ind w:right="20" w:firstLine="3"/>
        <w:spacing w:after="0" w:line="280" w:lineRule="auto"/>
        <w:tabs>
          <w:tab w:leader="none" w:pos="136" w:val="left"/>
        </w:tabs>
        <w:numPr>
          <w:ilvl w:val="0"/>
          <w:numId w:val="50"/>
        </w:numPr>
        <w:rPr>
          <w:rFonts w:ascii="Arial" w:cs="Arial" w:eastAsia="Arial" w:hAnsi="Arial"/>
          <w:sz w:val="17"/>
          <w:szCs w:val="17"/>
          <w:color w:val="auto"/>
        </w:rPr>
      </w:pPr>
      <w:r>
        <w:rPr>
          <w:rFonts w:ascii="Arial" w:cs="Arial" w:eastAsia="Arial" w:hAnsi="Arial"/>
          <w:sz w:val="17"/>
          <w:szCs w:val="17"/>
          <w:color w:val="auto"/>
        </w:rPr>
        <w:t>The Joint Filing Agreement, executed by and among the Reporting Persons, filed with the Schedule 13G filed with the Securities and Exchange Commission on July 26, 2012 by the Reporting Persons with respect to the Issuer, is hereby incorporated by reference.</w:t>
      </w:r>
    </w:p>
    <w:p>
      <w:pPr>
        <w:spacing w:after="0" w:line="189" w:lineRule="exact"/>
        <w:rPr>
          <w:sz w:val="20"/>
          <w:szCs w:val="20"/>
          <w:color w:val="auto"/>
        </w:rPr>
      </w:pPr>
    </w:p>
    <w:p>
      <w:pPr>
        <w:ind w:left="220" w:hanging="217"/>
        <w:spacing w:after="0"/>
        <w:tabs>
          <w:tab w:leader="none" w:pos="220" w:val="left"/>
        </w:tabs>
        <w:numPr>
          <w:ilvl w:val="0"/>
          <w:numId w:val="51"/>
        </w:numPr>
        <w:rPr>
          <w:rFonts w:ascii="Arial" w:cs="Arial" w:eastAsia="Arial" w:hAnsi="Arial"/>
          <w:sz w:val="16"/>
          <w:szCs w:val="16"/>
          <w:color w:val="auto"/>
        </w:rPr>
      </w:pPr>
      <w:r>
        <w:rPr>
          <w:rFonts w:ascii="Arial" w:cs="Arial" w:eastAsia="Arial" w:hAnsi="Arial"/>
          <w:sz w:val="16"/>
          <w:szCs w:val="16"/>
          <w:color w:val="auto"/>
        </w:rPr>
        <w:t>The Power of Attorney executed by David Einhorn, authorizing the signatory to sign and file this Schedule 13G on David Einhorn’s behalf, filed as Exhibit</w:t>
      </w:r>
    </w:p>
    <w:p>
      <w:pPr>
        <w:spacing w:after="0" w:line="33" w:lineRule="exact"/>
        <w:rPr>
          <w:rFonts w:ascii="Arial" w:cs="Arial" w:eastAsia="Arial" w:hAnsi="Arial"/>
          <w:sz w:val="16"/>
          <w:szCs w:val="16"/>
          <w:color w:val="auto"/>
        </w:rPr>
      </w:pPr>
    </w:p>
    <w:p>
      <w:pPr>
        <w:spacing w:after="0" w:line="267" w:lineRule="auto"/>
        <w:rPr>
          <w:rFonts w:ascii="Arial" w:cs="Arial" w:eastAsia="Arial" w:hAnsi="Arial"/>
          <w:sz w:val="16"/>
          <w:szCs w:val="16"/>
          <w:color w:val="auto"/>
        </w:rPr>
      </w:pPr>
      <w:r>
        <w:rPr>
          <w:rFonts w:ascii="Arial" w:cs="Arial" w:eastAsia="Arial" w:hAnsi="Arial"/>
          <w:sz w:val="17"/>
          <w:szCs w:val="17"/>
          <w:color w:val="auto"/>
        </w:rPr>
        <w:t>99.2 to the Schedule 13G filed with the Securities and Exchange Commission on May 24, 2010 by the Reporting Persons with respect to the common stock of NCR Corporation, is hereby incorporated by reference.</w:t>
      </w:r>
    </w:p>
    <w:sectPr>
      <w:pgSz w:w="11900" w:h="16838" w:orient="portrait"/>
      <w:cols w:equalWidth="0" w:num="1">
        <w:col w:w="11120"/>
      </w:cols>
      <w:pgMar w:left="240" w:top="495" w:right="5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B03E0C6"/>
    <w:multiLevelType w:val="hybridMultilevel"/>
    <w:lvl w:ilvl="0">
      <w:lvlJc w:val="left"/>
      <w:lvlText w:val="*"/>
      <w:numFmt w:val="bullet"/>
      <w:start w:val="1"/>
    </w:lvl>
    <w:lvl w:ilvl="1">
      <w:lvlJc w:val="left"/>
      <w:lvlText w:val="[%2]"/>
      <w:numFmt w:val="lowerRoman"/>
      <w:start w:val="10"/>
    </w:lvl>
  </w:abstractNum>
  <w:abstractNum w:abstractNumId="1">
    <w:nsid w:val="189A769B"/>
    <w:multiLevelType w:val="hybridMultilevel"/>
    <w:lvl w:ilvl="0">
      <w:lvlJc w:val="left"/>
      <w:lvlText w:val="1"/>
      <w:numFmt w:val="bullet"/>
      <w:start w:val="1"/>
    </w:lvl>
  </w:abstractNum>
  <w:abstractNum w:abstractNumId="2">
    <w:nsid w:val="54E49EB4"/>
    <w:multiLevelType w:val="hybridMultilevel"/>
    <w:lvl w:ilvl="0">
      <w:lvlJc w:val="left"/>
      <w:lvlText w:val="2"/>
      <w:numFmt w:val="bullet"/>
      <w:start w:val="1"/>
    </w:lvl>
    <w:lvl w:ilvl="1">
      <w:lvlJc w:val="left"/>
      <w:lvlText w:val="(%2)"/>
      <w:numFmt w:val="lowerLetter"/>
      <w:start w:val="1"/>
    </w:lvl>
  </w:abstractNum>
  <w:abstractNum w:abstractNumId="3">
    <w:nsid w:val="71F32454"/>
    <w:multiLevelType w:val="hybridMultilevel"/>
    <w:lvl w:ilvl="0">
      <w:lvlJc w:val="left"/>
      <w:lvlText w:val="3"/>
      <w:numFmt w:val="bullet"/>
      <w:start w:val="1"/>
    </w:lvl>
  </w:abstractNum>
  <w:abstractNum w:abstractNumId="4">
    <w:nsid w:val="2CA88611"/>
    <w:multiLevelType w:val="hybridMultilevel"/>
    <w:lvl w:ilvl="0">
      <w:lvlJc w:val="left"/>
      <w:lvlText w:val="4"/>
      <w:numFmt w:val="bullet"/>
      <w:start w:val="1"/>
    </w:lvl>
  </w:abstractNum>
  <w:abstractNum w:abstractNumId="5">
    <w:nsid w:val="836C40E"/>
    <w:multiLevelType w:val="hybridMultilevel"/>
    <w:lvl w:ilvl="0">
      <w:lvlJc w:val="left"/>
      <w:lvlText w:val="9"/>
      <w:numFmt w:val="bullet"/>
      <w:start w:val="1"/>
    </w:lvl>
  </w:abstractNum>
  <w:abstractNum w:abstractNumId="6">
    <w:nsid w:val="2901D82"/>
    <w:multiLevelType w:val="hybridMultilevel"/>
    <w:lvl w:ilvl="0">
      <w:lvlJc w:val="left"/>
      <w:lvlText w:val="%1"/>
      <w:numFmt w:val="decimal"/>
      <w:start w:val="11"/>
    </w:lvl>
  </w:abstractNum>
  <w:abstractNum w:abstractNumId="7">
    <w:nsid w:val="3A95F874"/>
    <w:multiLevelType w:val="hybridMultilevel"/>
    <w:lvl w:ilvl="0">
      <w:lvlJc w:val="left"/>
      <w:lvlText w:val="1"/>
      <w:numFmt w:val="bullet"/>
      <w:start w:val="1"/>
    </w:lvl>
  </w:abstractNum>
  <w:abstractNum w:abstractNumId="8">
    <w:nsid w:val="8138641"/>
    <w:multiLevelType w:val="hybridMultilevel"/>
    <w:lvl w:ilvl="0">
      <w:lvlJc w:val="left"/>
      <w:lvlText w:val="2"/>
      <w:numFmt w:val="bullet"/>
      <w:start w:val="1"/>
    </w:lvl>
    <w:lvl w:ilvl="1">
      <w:lvlJc w:val="left"/>
      <w:lvlText w:val="(%2)"/>
      <w:numFmt w:val="lowerLetter"/>
      <w:start w:val="1"/>
    </w:lvl>
  </w:abstractNum>
  <w:abstractNum w:abstractNumId="9">
    <w:nsid w:val="1E7FF521"/>
    <w:multiLevelType w:val="hybridMultilevel"/>
    <w:lvl w:ilvl="0">
      <w:lvlJc w:val="left"/>
      <w:lvlText w:val="3"/>
      <w:numFmt w:val="bullet"/>
      <w:start w:val="1"/>
    </w:lvl>
  </w:abstractNum>
  <w:abstractNum w:abstractNumId="10">
    <w:nsid w:val="7C3DBD3D"/>
    <w:multiLevelType w:val="hybridMultilevel"/>
    <w:lvl w:ilvl="0">
      <w:lvlJc w:val="left"/>
      <w:lvlText w:val="4"/>
      <w:numFmt w:val="bullet"/>
      <w:start w:val="1"/>
    </w:lvl>
  </w:abstractNum>
  <w:abstractNum w:abstractNumId="11">
    <w:nsid w:val="737B8DDC"/>
    <w:multiLevelType w:val="hybridMultilevel"/>
    <w:lvl w:ilvl="0">
      <w:lvlJc w:val="left"/>
      <w:lvlText w:val="9"/>
      <w:numFmt w:val="bullet"/>
      <w:start w:val="1"/>
    </w:lvl>
  </w:abstractNum>
  <w:abstractNum w:abstractNumId="12">
    <w:nsid w:val="6CEAF087"/>
    <w:multiLevelType w:val="hybridMultilevel"/>
    <w:lvl w:ilvl="0">
      <w:lvlJc w:val="left"/>
      <w:lvlText w:val="%1"/>
      <w:numFmt w:val="decimal"/>
      <w:start w:val="11"/>
    </w:lvl>
  </w:abstractNum>
  <w:abstractNum w:abstractNumId="13">
    <w:nsid w:val="22221A70"/>
    <w:multiLevelType w:val="hybridMultilevel"/>
    <w:lvl w:ilvl="0">
      <w:lvlJc w:val="left"/>
      <w:lvlText w:val="1"/>
      <w:numFmt w:val="bullet"/>
      <w:start w:val="1"/>
    </w:lvl>
  </w:abstractNum>
  <w:abstractNum w:abstractNumId="14">
    <w:nsid w:val="4516DDE9"/>
    <w:multiLevelType w:val="hybridMultilevel"/>
    <w:lvl w:ilvl="0">
      <w:lvlJc w:val="left"/>
      <w:lvlText w:val="2"/>
      <w:numFmt w:val="bullet"/>
      <w:start w:val="1"/>
    </w:lvl>
    <w:lvl w:ilvl="1">
      <w:lvlJc w:val="left"/>
      <w:lvlText w:val="(%2)"/>
      <w:numFmt w:val="lowerLetter"/>
      <w:start w:val="1"/>
    </w:lvl>
  </w:abstractNum>
  <w:abstractNum w:abstractNumId="15">
    <w:nsid w:val="3006C83E"/>
    <w:multiLevelType w:val="hybridMultilevel"/>
    <w:lvl w:ilvl="0">
      <w:lvlJc w:val="left"/>
      <w:lvlText w:val="3"/>
      <w:numFmt w:val="bullet"/>
      <w:start w:val="1"/>
    </w:lvl>
  </w:abstractNum>
  <w:abstractNum w:abstractNumId="16">
    <w:nsid w:val="614FD4A1"/>
    <w:multiLevelType w:val="hybridMultilevel"/>
    <w:lvl w:ilvl="0">
      <w:lvlJc w:val="left"/>
      <w:lvlText w:val="4"/>
      <w:numFmt w:val="bullet"/>
      <w:start w:val="1"/>
    </w:lvl>
  </w:abstractNum>
  <w:abstractNum w:abstractNumId="17">
    <w:nsid w:val="419AC241"/>
    <w:multiLevelType w:val="hybridMultilevel"/>
    <w:lvl w:ilvl="0">
      <w:lvlJc w:val="left"/>
      <w:lvlText w:val="9"/>
      <w:numFmt w:val="bullet"/>
      <w:start w:val="1"/>
    </w:lvl>
  </w:abstractNum>
  <w:abstractNum w:abstractNumId="18">
    <w:nsid w:val="5577F8E1"/>
    <w:multiLevelType w:val="hybridMultilevel"/>
    <w:lvl w:ilvl="0">
      <w:lvlJc w:val="left"/>
      <w:lvlText w:val="%1"/>
      <w:numFmt w:val="decimal"/>
      <w:start w:val="11"/>
    </w:lvl>
  </w:abstractNum>
  <w:abstractNum w:abstractNumId="19">
    <w:nsid w:val="440BADFC"/>
    <w:multiLevelType w:val="hybridMultilevel"/>
    <w:lvl w:ilvl="0">
      <w:lvlJc w:val="left"/>
      <w:lvlText w:val="1"/>
      <w:numFmt w:val="bullet"/>
      <w:start w:val="1"/>
    </w:lvl>
  </w:abstractNum>
  <w:abstractNum w:abstractNumId="20">
    <w:nsid w:val="5072367"/>
    <w:multiLevelType w:val="hybridMultilevel"/>
    <w:lvl w:ilvl="0">
      <w:lvlJc w:val="left"/>
      <w:lvlText w:val="2"/>
      <w:numFmt w:val="bullet"/>
      <w:start w:val="1"/>
    </w:lvl>
    <w:lvl w:ilvl="1">
      <w:lvlJc w:val="left"/>
      <w:lvlText w:val="(%2)"/>
      <w:numFmt w:val="lowerLetter"/>
      <w:start w:val="1"/>
    </w:lvl>
  </w:abstractNum>
  <w:abstractNum w:abstractNumId="21">
    <w:nsid w:val="3804823E"/>
    <w:multiLevelType w:val="hybridMultilevel"/>
    <w:lvl w:ilvl="0">
      <w:lvlJc w:val="left"/>
      <w:lvlText w:val="3"/>
      <w:numFmt w:val="bullet"/>
      <w:start w:val="1"/>
    </w:lvl>
  </w:abstractNum>
  <w:abstractNum w:abstractNumId="22">
    <w:nsid w:val="77465F01"/>
    <w:multiLevelType w:val="hybridMultilevel"/>
    <w:lvl w:ilvl="0">
      <w:lvlJc w:val="left"/>
      <w:lvlText w:val="4"/>
      <w:numFmt w:val="bullet"/>
      <w:start w:val="1"/>
    </w:lvl>
  </w:abstractNum>
  <w:abstractNum w:abstractNumId="23">
    <w:nsid w:val="7724C67E"/>
    <w:multiLevelType w:val="hybridMultilevel"/>
    <w:lvl w:ilvl="0">
      <w:lvlJc w:val="left"/>
      <w:lvlText w:val="9"/>
      <w:numFmt w:val="bullet"/>
      <w:start w:val="1"/>
    </w:lvl>
  </w:abstractNum>
  <w:abstractNum w:abstractNumId="24">
    <w:nsid w:val="5C482A97"/>
    <w:multiLevelType w:val="hybridMultilevel"/>
    <w:lvl w:ilvl="0">
      <w:lvlJc w:val="left"/>
      <w:lvlText w:val="%1"/>
      <w:numFmt w:val="decimal"/>
      <w:start w:val="11"/>
    </w:lvl>
  </w:abstractNum>
  <w:abstractNum w:abstractNumId="25">
    <w:nsid w:val="2463B9EA"/>
    <w:multiLevelType w:val="hybridMultilevel"/>
    <w:lvl w:ilvl="0">
      <w:lvlJc w:val="left"/>
      <w:lvlText w:val="1"/>
      <w:numFmt w:val="bullet"/>
      <w:start w:val="1"/>
    </w:lvl>
  </w:abstractNum>
  <w:abstractNum w:abstractNumId="26">
    <w:nsid w:val="5E884ADC"/>
    <w:multiLevelType w:val="hybridMultilevel"/>
    <w:lvl w:ilvl="0">
      <w:lvlJc w:val="left"/>
      <w:lvlText w:val="2"/>
      <w:numFmt w:val="bullet"/>
      <w:start w:val="1"/>
    </w:lvl>
    <w:lvl w:ilvl="1">
      <w:lvlJc w:val="left"/>
      <w:lvlText w:val="(%2)"/>
      <w:numFmt w:val="lowerLetter"/>
      <w:start w:val="1"/>
    </w:lvl>
  </w:abstractNum>
  <w:abstractNum w:abstractNumId="27">
    <w:nsid w:val="51EAD36B"/>
    <w:multiLevelType w:val="hybridMultilevel"/>
    <w:lvl w:ilvl="0">
      <w:lvlJc w:val="left"/>
      <w:lvlText w:val="3"/>
      <w:numFmt w:val="bullet"/>
      <w:start w:val="1"/>
    </w:lvl>
  </w:abstractNum>
  <w:abstractNum w:abstractNumId="28">
    <w:nsid w:val="2D517796"/>
    <w:multiLevelType w:val="hybridMultilevel"/>
    <w:lvl w:ilvl="0">
      <w:lvlJc w:val="left"/>
      <w:lvlText w:val="4"/>
      <w:numFmt w:val="bullet"/>
      <w:start w:val="1"/>
    </w:lvl>
  </w:abstractNum>
  <w:abstractNum w:abstractNumId="29">
    <w:nsid w:val="580BD78F"/>
    <w:multiLevelType w:val="hybridMultilevel"/>
    <w:lvl w:ilvl="0">
      <w:lvlJc w:val="left"/>
      <w:lvlText w:val="9"/>
      <w:numFmt w:val="bullet"/>
      <w:start w:val="1"/>
    </w:lvl>
  </w:abstractNum>
  <w:abstractNum w:abstractNumId="30">
    <w:nsid w:val="153EA438"/>
    <w:multiLevelType w:val="hybridMultilevel"/>
    <w:lvl w:ilvl="0">
      <w:lvlJc w:val="left"/>
      <w:lvlText w:val="%1"/>
      <w:numFmt w:val="decimal"/>
      <w:start w:val="11"/>
    </w:lvl>
  </w:abstractNum>
  <w:abstractNum w:abstractNumId="31">
    <w:nsid w:val="3855585C"/>
    <w:multiLevelType w:val="hybridMultilevel"/>
    <w:lvl w:ilvl="0">
      <w:lvlJc w:val="left"/>
      <w:lvlText w:val="1"/>
      <w:numFmt w:val="bullet"/>
      <w:start w:val="1"/>
    </w:lvl>
  </w:abstractNum>
  <w:abstractNum w:abstractNumId="32">
    <w:nsid w:val="70A64E2A"/>
    <w:multiLevelType w:val="hybridMultilevel"/>
    <w:lvl w:ilvl="0">
      <w:lvlJc w:val="left"/>
      <w:lvlText w:val="2"/>
      <w:numFmt w:val="bullet"/>
      <w:start w:val="1"/>
    </w:lvl>
    <w:lvl w:ilvl="1">
      <w:lvlJc w:val="left"/>
      <w:lvlText w:val="(%2)"/>
      <w:numFmt w:val="lowerLetter"/>
      <w:start w:val="1"/>
    </w:lvl>
  </w:abstractNum>
  <w:abstractNum w:abstractNumId="33">
    <w:nsid w:val="6A2342EC"/>
    <w:multiLevelType w:val="hybridMultilevel"/>
    <w:lvl w:ilvl="0">
      <w:lvlJc w:val="left"/>
      <w:lvlText w:val="3"/>
      <w:numFmt w:val="bullet"/>
      <w:start w:val="1"/>
    </w:lvl>
  </w:abstractNum>
  <w:abstractNum w:abstractNumId="34">
    <w:nsid w:val="2A487CB0"/>
    <w:multiLevelType w:val="hybridMultilevel"/>
    <w:lvl w:ilvl="0">
      <w:lvlJc w:val="left"/>
      <w:lvlText w:val="4"/>
      <w:numFmt w:val="bullet"/>
      <w:start w:val="1"/>
    </w:lvl>
  </w:abstractNum>
  <w:abstractNum w:abstractNumId="35">
    <w:nsid w:val="1D4ED43B"/>
    <w:multiLevelType w:val="hybridMultilevel"/>
    <w:lvl w:ilvl="0">
      <w:lvlJc w:val="left"/>
      <w:lvlText w:val="9"/>
      <w:numFmt w:val="bullet"/>
      <w:start w:val="1"/>
    </w:lvl>
  </w:abstractNum>
  <w:abstractNum w:abstractNumId="36">
    <w:nsid w:val="725A06FB"/>
    <w:multiLevelType w:val="hybridMultilevel"/>
    <w:lvl w:ilvl="0">
      <w:lvlJc w:val="left"/>
      <w:lvlText w:val="%1"/>
      <w:numFmt w:val="decimal"/>
      <w:start w:val="11"/>
    </w:lvl>
  </w:abstractNum>
  <w:abstractNum w:abstractNumId="37">
    <w:nsid w:val="2CD89A32"/>
    <w:multiLevelType w:val="hybridMultilevel"/>
    <w:lvl w:ilvl="0">
      <w:lvlJc w:val="left"/>
      <w:lvlText w:val="1"/>
      <w:numFmt w:val="bullet"/>
      <w:start w:val="1"/>
    </w:lvl>
  </w:abstractNum>
  <w:abstractNum w:abstractNumId="38">
    <w:nsid w:val="57E4CCAF"/>
    <w:multiLevelType w:val="hybridMultilevel"/>
    <w:lvl w:ilvl="0">
      <w:lvlJc w:val="left"/>
      <w:lvlText w:val="2"/>
      <w:numFmt w:val="bullet"/>
      <w:start w:val="1"/>
    </w:lvl>
    <w:lvl w:ilvl="1">
      <w:lvlJc w:val="left"/>
      <w:lvlText w:val="(%2)"/>
      <w:numFmt w:val="lowerLetter"/>
      <w:start w:val="1"/>
    </w:lvl>
  </w:abstractNum>
  <w:abstractNum w:abstractNumId="39">
    <w:nsid w:val="7A6D8D3C"/>
    <w:multiLevelType w:val="hybridMultilevel"/>
    <w:lvl w:ilvl="0">
      <w:lvlJc w:val="left"/>
      <w:lvlText w:val="3"/>
      <w:numFmt w:val="bullet"/>
      <w:start w:val="1"/>
    </w:lvl>
  </w:abstractNum>
  <w:abstractNum w:abstractNumId="40">
    <w:nsid w:val="4B588F54"/>
    <w:multiLevelType w:val="hybridMultilevel"/>
    <w:lvl w:ilvl="0">
      <w:lvlJc w:val="left"/>
      <w:lvlText w:val="4"/>
      <w:numFmt w:val="bullet"/>
      <w:start w:val="1"/>
    </w:lvl>
  </w:abstractNum>
  <w:abstractNum w:abstractNumId="41">
    <w:nsid w:val="542289EC"/>
    <w:multiLevelType w:val="hybridMultilevel"/>
    <w:lvl w:ilvl="0">
      <w:lvlJc w:val="left"/>
      <w:lvlText w:val="9"/>
      <w:numFmt w:val="bullet"/>
      <w:start w:val="1"/>
    </w:lvl>
  </w:abstractNum>
  <w:abstractNum w:abstractNumId="42">
    <w:nsid w:val="6DE91B18"/>
    <w:multiLevelType w:val="hybridMultilevel"/>
    <w:lvl w:ilvl="0">
      <w:lvlJc w:val="left"/>
      <w:lvlText w:val="%1"/>
      <w:numFmt w:val="decimal"/>
      <w:start w:val="11"/>
    </w:lvl>
  </w:abstractNum>
  <w:abstractNum w:abstractNumId="43">
    <w:nsid w:val="38437FDB"/>
    <w:multiLevelType w:val="hybridMultilevel"/>
    <w:lvl w:ilvl="0">
      <w:lvlJc w:val="left"/>
      <w:lvlText w:val="%1)"/>
      <w:numFmt w:val="lowerRoman"/>
      <w:start w:val="1"/>
    </w:lvl>
  </w:abstractNum>
  <w:abstractNum w:abstractNumId="44">
    <w:nsid w:val="7644A45C"/>
    <w:multiLevelType w:val="hybridMultilevel"/>
    <w:lvl w:ilvl="0">
      <w:lvlJc w:val="left"/>
      <w:lvlText w:val="%1)"/>
      <w:numFmt w:val="lowerRoman"/>
      <w:start w:val="2"/>
    </w:lvl>
  </w:abstractNum>
  <w:abstractNum w:abstractNumId="45">
    <w:nsid w:val="32FFF902"/>
    <w:multiLevelType w:val="hybridMultilevel"/>
    <w:lvl w:ilvl="0">
      <w:lvlJc w:val="left"/>
      <w:lvlText w:val="%1)"/>
      <w:numFmt w:val="lowerRoman"/>
      <w:start w:val="3"/>
    </w:lvl>
  </w:abstractNum>
  <w:abstractNum w:abstractNumId="46">
    <w:nsid w:val="684A481A"/>
    <w:multiLevelType w:val="hybridMultilevel"/>
    <w:lvl w:ilvl="0">
      <w:lvlJc w:val="left"/>
      <w:lvlText w:val="%1)"/>
      <w:numFmt w:val="lowerRoman"/>
      <w:start w:val="6"/>
    </w:lvl>
  </w:abstractNum>
  <w:abstractNum w:abstractNumId="47">
    <w:nsid w:val="579478FE"/>
    <w:multiLevelType w:val="hybridMultilevel"/>
    <w:lvl w:ilvl="0">
      <w:lvlJc w:val="left"/>
      <w:lvlText w:val="%1)"/>
      <w:numFmt w:val="lowerRoman"/>
      <w:start w:val="7"/>
    </w:lvl>
    <w:lvl w:ilvl="1">
      <w:lvlJc w:val="left"/>
      <w:lvlText w:val="(%2)"/>
      <w:numFmt w:val="upperLetter"/>
      <w:start w:val="3"/>
    </w:lvl>
  </w:abstractNum>
  <w:abstractNum w:abstractNumId="48">
    <w:nsid w:val="749ABB43"/>
    <w:multiLevelType w:val="hybridMultilevel"/>
    <w:lvl w:ilvl="0">
      <w:lvlJc w:val="left"/>
      <w:lvlText w:val="%1"/>
      <w:numFmt w:val="lowerRoman"/>
      <w:start w:val="1"/>
    </w:lvl>
    <w:lvl w:ilvl="1">
      <w:lvlJc w:val="left"/>
      <w:lvlText w:val="(%2)"/>
      <w:numFmt w:val="upperLetter"/>
      <w:start w:val="5"/>
    </w:lvl>
  </w:abstractNum>
  <w:abstractNum w:abstractNumId="49">
    <w:nsid w:val="3DC240FB"/>
    <w:multiLevelType w:val="hybridMultilevel"/>
    <w:lvl w:ilvl="0">
      <w:lvlJc w:val="left"/>
      <w:lvlText w:val="*"/>
      <w:numFmt w:val="bullet"/>
      <w:start w:val="1"/>
    </w:lvl>
  </w:abstractNum>
  <w:abstractNum w:abstractNumId="50">
    <w:nsid w:val="1BA026FA"/>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2019-12-06T20:37:01Z</dcterms:created>
  <dcterms:modified xsi:type="dcterms:W3CDTF">2019-12-06T20:37:01Z</dcterms:modified>
</cp:coreProperties>
</file>