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60"/>
        <w:spacing w:after="0"/>
        <w:rPr>
          <w:sz w:val="20"/>
          <w:szCs w:val="20"/>
          <w:color w:val="auto"/>
        </w:rPr>
      </w:pPr>
      <w:r>
        <w:rPr>
          <w:rFonts w:ascii="Arial" w:cs="Arial" w:eastAsia="Arial" w:hAnsi="Arial"/>
          <w:sz w:val="18"/>
          <w:szCs w:val="18"/>
          <w:b w:val="1"/>
          <w:bCs w:val="1"/>
          <w:color w:val="auto"/>
        </w:rPr>
        <w:t>As filed with the Securities and Exchange Commission on March 29, 2013</w:t>
      </w:r>
    </w:p>
    <w:p>
      <w:pPr>
        <w:spacing w:after="0" w:line="21"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-756285</wp:posOffset>
            </wp:positionH>
            <wp:positionV relativeFrom="paragraph">
              <wp:posOffset>50165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75565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26" w:lineRule="exact"/>
        <w:rPr>
          <w:sz w:val="24"/>
          <w:szCs w:val="24"/>
          <w:color w:val="auto"/>
        </w:rPr>
      </w:pPr>
    </w:p>
    <w:p>
      <w:pPr>
        <w:jc w:val="center"/>
        <w:ind w:right="68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68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680"/>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ind w:right="680"/>
        <w:spacing w:after="0"/>
        <w:rPr>
          <w:sz w:val="20"/>
          <w:szCs w:val="20"/>
          <w:color w:val="auto"/>
        </w:rPr>
      </w:pPr>
      <w:r>
        <w:rPr>
          <w:rFonts w:ascii="Arial" w:cs="Arial" w:eastAsia="Arial" w:hAnsi="Arial"/>
          <w:sz w:val="32"/>
          <w:szCs w:val="32"/>
          <w:b w:val="1"/>
          <w:bCs w:val="1"/>
          <w:color w:val="auto"/>
        </w:rPr>
        <w:t>REGISTRATION STATEMENT</w:t>
      </w:r>
    </w:p>
    <w:p>
      <w:pPr>
        <w:jc w:val="center"/>
        <w:ind w:right="680"/>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68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89" w:lineRule="exact"/>
        <w:rPr>
          <w:sz w:val="24"/>
          <w:szCs w:val="24"/>
          <w:color w:val="auto"/>
        </w:rPr>
      </w:pPr>
    </w:p>
    <w:p>
      <w:pPr>
        <w:jc w:val="center"/>
        <w:ind w:right="680"/>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25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182245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96" w:lineRule="exact"/>
        <w:rPr>
          <w:sz w:val="24"/>
          <w:szCs w:val="24"/>
          <w:color w:val="auto"/>
        </w:rPr>
      </w:pPr>
    </w:p>
    <w:tbl>
      <w:tblPr>
        <w:tblLayout w:type="fixed"/>
        <w:tblInd w:w="820" w:type="dxa"/>
        <w:tblCellMar>
          <w:top w:w="0" w:type="dxa"/>
          <w:left w:w="0" w:type="dxa"/>
          <w:bottom w:w="0" w:type="dxa"/>
          <w:right w:w="0" w:type="dxa"/>
        </w:tblCellMar>
      </w:tblPr>
      <w:tr>
        <w:trPr>
          <w:trHeight w:val="218"/>
        </w:trPr>
        <w:tc>
          <w:tcPr>
            <w:tcW w:w="3860" w:type="dxa"/>
            <w:vAlign w:val="bottom"/>
          </w:tcPr>
          <w:p>
            <w:pPr>
              <w:jc w:val="center"/>
              <w:ind w:right="2046"/>
              <w:spacing w:after="0"/>
              <w:rPr>
                <w:sz w:val="20"/>
                <w:szCs w:val="20"/>
                <w:color w:val="auto"/>
              </w:rPr>
            </w:pPr>
            <w:r>
              <w:rPr>
                <w:rFonts w:ascii="Arial" w:cs="Arial" w:eastAsia="Arial" w:hAnsi="Arial"/>
                <w:sz w:val="18"/>
                <w:szCs w:val="18"/>
                <w:b w:val="1"/>
                <w:bCs w:val="1"/>
                <w:color w:val="auto"/>
                <w:w w:val="89"/>
              </w:rPr>
              <w:t>Bermuda</w:t>
            </w:r>
          </w:p>
        </w:tc>
        <w:tc>
          <w:tcPr>
            <w:tcW w:w="3440" w:type="dxa"/>
            <w:vAlign w:val="bottom"/>
          </w:tcPr>
          <w:p>
            <w:pPr>
              <w:jc w:val="center"/>
              <w:ind w:left="202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860" w:type="dxa"/>
            <w:vAlign w:val="bottom"/>
          </w:tcPr>
          <w:p>
            <w:pPr>
              <w:jc w:val="center"/>
              <w:ind w:right="204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440" w:type="dxa"/>
            <w:vAlign w:val="bottom"/>
          </w:tcPr>
          <w:p>
            <w:pPr>
              <w:jc w:val="center"/>
              <w:ind w:left="202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860" w:type="dxa"/>
            <w:vAlign w:val="bottom"/>
          </w:tcPr>
          <w:p>
            <w:pPr>
              <w:jc w:val="center"/>
              <w:ind w:right="2026"/>
              <w:spacing w:after="0"/>
              <w:rPr>
                <w:sz w:val="20"/>
                <w:szCs w:val="20"/>
                <w:color w:val="auto"/>
              </w:rPr>
            </w:pPr>
            <w:r>
              <w:rPr>
                <w:rFonts w:ascii="Arial" w:cs="Arial" w:eastAsia="Arial" w:hAnsi="Arial"/>
                <w:sz w:val="14"/>
                <w:szCs w:val="14"/>
                <w:b w:val="1"/>
                <w:bCs w:val="1"/>
                <w:color w:val="auto"/>
                <w:w w:val="88"/>
              </w:rPr>
              <w:t>incorporation or organization)</w:t>
            </w:r>
          </w:p>
        </w:tc>
        <w:tc>
          <w:tcPr>
            <w:tcW w:w="3440" w:type="dxa"/>
            <w:vAlign w:val="bottom"/>
          </w:tcPr>
          <w:p>
            <w:pPr>
              <w:jc w:val="center"/>
              <w:ind w:left="2026"/>
              <w:spacing w:after="0"/>
              <w:rPr>
                <w:sz w:val="20"/>
                <w:szCs w:val="20"/>
                <w:color w:val="auto"/>
              </w:rPr>
            </w:pPr>
            <w:r>
              <w:rPr>
                <w:rFonts w:ascii="Arial" w:cs="Arial" w:eastAsia="Arial" w:hAnsi="Arial"/>
                <w:sz w:val="14"/>
                <w:szCs w:val="14"/>
                <w:b w:val="1"/>
                <w:bCs w:val="1"/>
                <w:color w:val="auto"/>
                <w:w w:val="90"/>
              </w:rPr>
              <w:t>Identification Number)</w:t>
            </w:r>
          </w:p>
        </w:tc>
      </w:tr>
    </w:tbl>
    <w:p>
      <w:pPr>
        <w:spacing w:after="0" w:line="148"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ind w:left="1180"/>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182245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28"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ind w:left="3900"/>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173355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4"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Tom Savage</w:t>
      </w:r>
    </w:p>
    <w:p>
      <w:pPr>
        <w:spacing w:after="0" w:line="21"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Vice President, Global Legal Affairs and Governmental Policy</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ind w:left="1640"/>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173355</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jc w:val="center"/>
        <w:ind w:right="680"/>
        <w:spacing w:after="0"/>
        <w:rPr>
          <w:sz w:val="20"/>
          <w:szCs w:val="20"/>
          <w:color w:val="auto"/>
        </w:rPr>
      </w:pPr>
      <w:r>
        <w:rPr>
          <w:rFonts w:ascii="Arial" w:cs="Arial" w:eastAsia="Arial" w:hAnsi="Arial"/>
          <w:sz w:val="22"/>
          <w:szCs w:val="22"/>
          <w:b w:val="1"/>
          <w:bCs w:val="1"/>
          <w:i w:val="1"/>
          <w:iCs w:val="1"/>
          <w:color w:val="auto"/>
        </w:rPr>
        <w:t>Copy to:</w:t>
      </w:r>
    </w:p>
    <w:p>
      <w:pPr>
        <w:spacing w:after="0" w:line="15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Scott Anthony, Esq.</w:t>
      </w:r>
    </w:p>
    <w:p>
      <w:pPr>
        <w:spacing w:after="0" w:line="21"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Covington &amp; Burling LLP</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333 Twin Dolphin Dr. #700</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Redwood City, CA 94065</w:t>
      </w:r>
    </w:p>
    <w:p>
      <w:pPr>
        <w:spacing w:after="0" w:line="9" w:lineRule="exact"/>
        <w:rPr>
          <w:sz w:val="24"/>
          <w:szCs w:val="24"/>
          <w:color w:val="auto"/>
        </w:rPr>
      </w:pPr>
    </w:p>
    <w:p>
      <w:pPr>
        <w:jc w:val="center"/>
        <w:ind w:right="680"/>
        <w:spacing w:after="0"/>
        <w:rPr>
          <w:sz w:val="20"/>
          <w:szCs w:val="20"/>
          <w:color w:val="auto"/>
        </w:rPr>
      </w:pPr>
      <w:r>
        <w:rPr>
          <w:rFonts w:ascii="Arial" w:cs="Arial" w:eastAsia="Arial" w:hAnsi="Arial"/>
          <w:sz w:val="18"/>
          <w:szCs w:val="18"/>
          <w:b w:val="1"/>
          <w:bCs w:val="1"/>
          <w:color w:val="auto"/>
        </w:rPr>
        <w:t>(650) 632-4700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2107565</wp:posOffset>
            </wp:positionH>
            <wp:positionV relativeFrom="paragraph">
              <wp:posOffset>195580</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9700"/>
          </w:cols>
          <w:pgMar w:left="1440" w:top="233" w:right="759" w:bottom="1440" w:gutter="0" w:footer="0" w:header="0"/>
        </w:sectPr>
      </w:pPr>
    </w:p>
    <w:bookmarkStart w:id="1" w:name="page2"/>
    <w:bookmarkEnd w:id="1"/>
    <w:p>
      <w:pPr>
        <w:ind w:right="10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pacing w:after="0" w:line="93" w:lineRule="exact"/>
        <w:rPr>
          <w:sz w:val="20"/>
          <w:szCs w:val="20"/>
          <w:color w:val="auto"/>
        </w:rPr>
      </w:pPr>
    </w:p>
    <w:tbl>
      <w:tblPr>
        <w:tblLayout w:type="fixed"/>
        <w:tblInd w:w="0" w:type="dxa"/>
        <w:tblCellMar>
          <w:top w:w="0" w:type="dxa"/>
          <w:left w:w="0" w:type="dxa"/>
          <w:bottom w:w="0" w:type="dxa"/>
          <w:right w:w="0" w:type="dxa"/>
        </w:tblCellMar>
      </w:tblPr>
      <w:tr>
        <w:trPr>
          <w:trHeight w:val="275"/>
        </w:trPr>
        <w:tc>
          <w:tcPr>
            <w:tcW w:w="1680" w:type="dxa"/>
            <w:vAlign w:val="bottom"/>
            <w:gridSpan w:val="2"/>
          </w:tcPr>
          <w:p>
            <w:pPr>
              <w:spacing w:after="0"/>
              <w:rPr>
                <w:sz w:val="20"/>
                <w:szCs w:val="20"/>
                <w:color w:val="auto"/>
              </w:rPr>
            </w:pPr>
            <w:r>
              <w:rPr>
                <w:rFonts w:ascii="Arial" w:cs="Arial" w:eastAsia="Arial" w:hAnsi="Arial"/>
                <w:sz w:val="18"/>
                <w:szCs w:val="18"/>
                <w:color w:val="auto"/>
                <w:w w:val="93"/>
              </w:rPr>
              <w:t>Large accelerated filer</w:t>
            </w:r>
          </w:p>
        </w:tc>
        <w:tc>
          <w:tcPr>
            <w:tcW w:w="3380" w:type="dxa"/>
            <w:vAlign w:val="bottom"/>
            <w:gridSpan w:val="2"/>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160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840" w:type="dxa"/>
            <w:vAlign w:val="bottom"/>
            <w:gridSpan w:val="2"/>
          </w:tcPr>
          <w:p>
            <w:pPr>
              <w:ind w:left="600"/>
              <w:spacing w:after="0"/>
              <w:rPr>
                <w:sz w:val="20"/>
                <w:szCs w:val="20"/>
                <w:color w:val="auto"/>
              </w:rPr>
            </w:pPr>
            <w:r>
              <w:rPr>
                <w:rFonts w:ascii="Arial" w:cs="Arial" w:eastAsia="Arial" w:hAnsi="Arial"/>
                <w:sz w:val="18"/>
                <w:szCs w:val="18"/>
                <w:color w:val="auto"/>
                <w:w w:val="94"/>
              </w:rPr>
              <w:t>Accelerated filer</w:t>
            </w:r>
          </w:p>
        </w:tc>
        <w:tc>
          <w:tcPr>
            <w:tcW w:w="1140" w:type="dxa"/>
            <w:vAlign w:val="bottom"/>
          </w:tcPr>
          <w:p>
            <w:pPr>
              <w:spacing w:after="0"/>
              <w:rPr>
                <w:sz w:val="23"/>
                <w:szCs w:val="23"/>
                <w:color w:val="auto"/>
              </w:rPr>
            </w:pPr>
          </w:p>
        </w:tc>
        <w:tc>
          <w:tcPr>
            <w:tcW w:w="180" w:type="dxa"/>
            <w:vAlign w:val="bottom"/>
          </w:tcPr>
          <w:p>
            <w:pPr>
              <w:ind w:left="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680" w:type="dxa"/>
            <w:vAlign w:val="bottom"/>
            <w:gridSpan w:val="2"/>
          </w:tcPr>
          <w:p>
            <w:pPr>
              <w:spacing w:after="0"/>
              <w:rPr>
                <w:sz w:val="20"/>
                <w:szCs w:val="20"/>
                <w:color w:val="auto"/>
              </w:rPr>
            </w:pPr>
            <w:r>
              <w:rPr>
                <w:rFonts w:ascii="Arial" w:cs="Arial" w:eastAsia="Arial" w:hAnsi="Arial"/>
                <w:sz w:val="18"/>
                <w:szCs w:val="18"/>
                <w:color w:val="auto"/>
                <w:w w:val="99"/>
              </w:rPr>
              <w:t>Non-accelerated filer</w:t>
            </w:r>
          </w:p>
        </w:tc>
        <w:tc>
          <w:tcPr>
            <w:tcW w:w="5220" w:type="dxa"/>
            <w:vAlign w:val="bottom"/>
            <w:gridSpan w:val="4"/>
          </w:tcPr>
          <w:p>
            <w:pPr>
              <w:ind w:left="2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1360" w:type="dxa"/>
            <w:vAlign w:val="bottom"/>
          </w:tcPr>
          <w:p>
            <w:pPr>
              <w:spacing w:after="0"/>
              <w:rPr>
                <w:sz w:val="24"/>
                <w:szCs w:val="24"/>
                <w:color w:val="auto"/>
              </w:rPr>
            </w:pPr>
          </w:p>
        </w:tc>
        <w:tc>
          <w:tcPr>
            <w:tcW w:w="2980" w:type="dxa"/>
            <w:vAlign w:val="bottom"/>
            <w:gridSpan w:val="3"/>
          </w:tcPr>
          <w:p>
            <w:pPr>
              <w:ind w:left="600"/>
              <w:spacing w:after="0"/>
              <w:rPr>
                <w:sz w:val="20"/>
                <w:szCs w:val="20"/>
                <w:color w:val="auto"/>
              </w:rPr>
            </w:pPr>
            <w:r>
              <w:rPr>
                <w:rFonts w:ascii="Arial" w:cs="Arial" w:eastAsia="Arial" w:hAnsi="Arial"/>
                <w:sz w:val="18"/>
                <w:szCs w:val="18"/>
                <w:color w:val="auto"/>
              </w:rPr>
              <w:t>Smaller reporting company</w:t>
            </w:r>
          </w:p>
        </w:tc>
        <w:tc>
          <w:tcPr>
            <w:tcW w:w="180" w:type="dxa"/>
            <w:vAlign w:val="bottom"/>
          </w:tcPr>
          <w:p>
            <w:pPr>
              <w:ind w:left="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266"/>
        </w:trPr>
        <w:tc>
          <w:tcPr>
            <w:tcW w:w="20" w:type="dxa"/>
            <w:vAlign w:val="bottom"/>
          </w:tcPr>
          <w:p>
            <w:pPr>
              <w:spacing w:after="0"/>
              <w:rPr>
                <w:sz w:val="23"/>
                <w:szCs w:val="23"/>
                <w:color w:val="auto"/>
              </w:rPr>
            </w:pPr>
          </w:p>
        </w:tc>
        <w:tc>
          <w:tcPr>
            <w:tcW w:w="1660" w:type="dxa"/>
            <w:vAlign w:val="bottom"/>
          </w:tcPr>
          <w:p>
            <w:pPr>
              <w:spacing w:after="0"/>
              <w:rPr>
                <w:sz w:val="23"/>
                <w:szCs w:val="23"/>
                <w:color w:val="auto"/>
              </w:rPr>
            </w:pPr>
          </w:p>
        </w:tc>
        <w:tc>
          <w:tcPr>
            <w:tcW w:w="2840" w:type="dxa"/>
            <w:vAlign w:val="bottom"/>
          </w:tcPr>
          <w:p>
            <w:pPr>
              <w:spacing w:after="0"/>
              <w:rPr>
                <w:sz w:val="23"/>
                <w:szCs w:val="23"/>
                <w:color w:val="auto"/>
              </w:rPr>
            </w:pPr>
          </w:p>
        </w:tc>
        <w:tc>
          <w:tcPr>
            <w:tcW w:w="540" w:type="dxa"/>
            <w:vAlign w:val="bottom"/>
            <w:tcBorders>
              <w:bottom w:val="single" w:sz="8" w:color="auto"/>
            </w:tcBorders>
          </w:tcPr>
          <w:p>
            <w:pPr>
              <w:spacing w:after="0"/>
              <w:rPr>
                <w:sz w:val="23"/>
                <w:szCs w:val="23"/>
                <w:color w:val="auto"/>
              </w:rPr>
            </w:pPr>
          </w:p>
        </w:tc>
        <w:tc>
          <w:tcPr>
            <w:tcW w:w="1600" w:type="dxa"/>
            <w:vAlign w:val="bottom"/>
            <w:tcBorders>
              <w:bottom w:val="single" w:sz="8" w:color="auto"/>
            </w:tcBorders>
          </w:tcPr>
          <w:p>
            <w:pPr>
              <w:spacing w:after="0"/>
              <w:rPr>
                <w:sz w:val="23"/>
                <w:szCs w:val="23"/>
                <w:color w:val="auto"/>
              </w:rPr>
            </w:pPr>
          </w:p>
        </w:tc>
        <w:tc>
          <w:tcPr>
            <w:tcW w:w="240" w:type="dxa"/>
            <w:vAlign w:val="bottom"/>
            <w:tcBorders>
              <w:bottom w:val="single" w:sz="8" w:color="auto"/>
            </w:tcBorders>
          </w:tcPr>
          <w:p>
            <w:pPr>
              <w:spacing w:after="0"/>
              <w:rPr>
                <w:sz w:val="23"/>
                <w:szCs w:val="23"/>
                <w:color w:val="auto"/>
              </w:rPr>
            </w:pPr>
          </w:p>
        </w:tc>
        <w:tc>
          <w:tcPr>
            <w:tcW w:w="1360" w:type="dxa"/>
            <w:vAlign w:val="bottom"/>
          </w:tcPr>
          <w:p>
            <w:pPr>
              <w:spacing w:after="0"/>
              <w:rPr>
                <w:sz w:val="23"/>
                <w:szCs w:val="23"/>
                <w:color w:val="auto"/>
              </w:rPr>
            </w:pPr>
          </w:p>
        </w:tc>
        <w:tc>
          <w:tcPr>
            <w:tcW w:w="160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80" w:type="dxa"/>
            <w:vAlign w:val="bottom"/>
          </w:tcPr>
          <w:p>
            <w:pPr>
              <w:spacing w:after="0"/>
              <w:rPr>
                <w:sz w:val="23"/>
                <w:szCs w:val="23"/>
                <w:color w:val="auto"/>
              </w:rPr>
            </w:pPr>
          </w:p>
        </w:tc>
      </w:tr>
      <w:tr>
        <w:trPr>
          <w:trHeight w:val="370"/>
        </w:trPr>
        <w:tc>
          <w:tcPr>
            <w:tcW w:w="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6580" w:type="dxa"/>
            <w:vAlign w:val="bottom"/>
            <w:gridSpan w:val="5"/>
          </w:tcPr>
          <w:p>
            <w:pPr>
              <w:ind w:left="2340"/>
              <w:spacing w:after="0"/>
              <w:rPr>
                <w:sz w:val="20"/>
                <w:szCs w:val="20"/>
                <w:color w:val="auto"/>
              </w:rPr>
            </w:pPr>
            <w:r>
              <w:rPr>
                <w:rFonts w:ascii="Arial" w:cs="Arial" w:eastAsia="Arial" w:hAnsi="Arial"/>
                <w:sz w:val="18"/>
                <w:szCs w:val="18"/>
                <w:b w:val="1"/>
                <w:bCs w:val="1"/>
                <w:color w:val="auto"/>
              </w:rPr>
              <w:t>CALCULATION OF REGISTRATION FEE</w:t>
            </w: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70"/>
        </w:trPr>
        <w:tc>
          <w:tcPr>
            <w:tcW w:w="20" w:type="dxa"/>
            <w:vAlign w:val="bottom"/>
          </w:tcPr>
          <w:p>
            <w:pPr>
              <w:spacing w:after="0"/>
              <w:rPr>
                <w:sz w:val="6"/>
                <w:szCs w:val="6"/>
                <w:color w:val="auto"/>
              </w:rPr>
            </w:pPr>
          </w:p>
        </w:tc>
        <w:tc>
          <w:tcPr>
            <w:tcW w:w="1660" w:type="dxa"/>
            <w:vAlign w:val="bottom"/>
            <w:tcBorders>
              <w:bottom w:val="single" w:sz="8" w:color="auto"/>
            </w:tcBorders>
          </w:tcPr>
          <w:p>
            <w:pPr>
              <w:spacing w:after="0"/>
              <w:rPr>
                <w:sz w:val="6"/>
                <w:szCs w:val="6"/>
                <w:color w:val="auto"/>
              </w:rPr>
            </w:pPr>
          </w:p>
        </w:tc>
        <w:tc>
          <w:tcPr>
            <w:tcW w:w="2840" w:type="dxa"/>
            <w:vAlign w:val="bottom"/>
            <w:tcBorders>
              <w:bottom w:val="single" w:sz="8" w:color="auto"/>
            </w:tcBorders>
          </w:tcPr>
          <w:p>
            <w:pPr>
              <w:spacing w:after="0"/>
              <w:rPr>
                <w:sz w:val="6"/>
                <w:szCs w:val="6"/>
                <w:color w:val="auto"/>
              </w:rPr>
            </w:pPr>
          </w:p>
        </w:tc>
        <w:tc>
          <w:tcPr>
            <w:tcW w:w="540" w:type="dxa"/>
            <w:vAlign w:val="bottom"/>
            <w:tcBorders>
              <w:bottom w:val="single" w:sz="8" w:color="auto"/>
            </w:tcBorders>
          </w:tcPr>
          <w:p>
            <w:pPr>
              <w:spacing w:after="0"/>
              <w:rPr>
                <w:sz w:val="6"/>
                <w:szCs w:val="6"/>
                <w:color w:val="auto"/>
              </w:rPr>
            </w:pPr>
          </w:p>
        </w:tc>
        <w:tc>
          <w:tcPr>
            <w:tcW w:w="160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tcPr>
          <w:p>
            <w:pPr>
              <w:spacing w:after="0"/>
              <w:rPr>
                <w:sz w:val="6"/>
                <w:szCs w:val="6"/>
                <w:color w:val="auto"/>
              </w:rPr>
            </w:pPr>
          </w:p>
        </w:tc>
        <w:tc>
          <w:tcPr>
            <w:tcW w:w="1360" w:type="dxa"/>
            <w:vAlign w:val="bottom"/>
            <w:tcBorders>
              <w:bottom w:val="single" w:sz="8" w:color="auto"/>
            </w:tcBorders>
          </w:tcPr>
          <w:p>
            <w:pPr>
              <w:spacing w:after="0"/>
              <w:rPr>
                <w:sz w:val="6"/>
                <w:szCs w:val="6"/>
                <w:color w:val="auto"/>
              </w:rPr>
            </w:pPr>
          </w:p>
        </w:tc>
        <w:tc>
          <w:tcPr>
            <w:tcW w:w="1600" w:type="dxa"/>
            <w:vAlign w:val="bottom"/>
            <w:tcBorders>
              <w:bottom w:val="single" w:sz="8" w:color="auto"/>
            </w:tcBorders>
          </w:tcPr>
          <w:p>
            <w:pPr>
              <w:spacing w:after="0"/>
              <w:rPr>
                <w:sz w:val="6"/>
                <w:szCs w:val="6"/>
                <w:color w:val="auto"/>
              </w:rPr>
            </w:pPr>
          </w:p>
        </w:tc>
        <w:tc>
          <w:tcPr>
            <w:tcW w:w="240" w:type="dxa"/>
            <w:vAlign w:val="bottom"/>
            <w:tcBorders>
              <w:bottom w:val="single" w:sz="8" w:color="auto"/>
            </w:tcBorders>
          </w:tcPr>
          <w:p>
            <w:pPr>
              <w:spacing w:after="0"/>
              <w:rPr>
                <w:sz w:val="6"/>
                <w:szCs w:val="6"/>
                <w:color w:val="auto"/>
              </w:rPr>
            </w:pPr>
          </w:p>
        </w:tc>
        <w:tc>
          <w:tcPr>
            <w:tcW w:w="1140" w:type="dxa"/>
            <w:vAlign w:val="bottom"/>
            <w:tcBorders>
              <w:bottom w:val="single" w:sz="8" w:color="auto"/>
            </w:tcBorders>
          </w:tcPr>
          <w:p>
            <w:pPr>
              <w:spacing w:after="0"/>
              <w:rPr>
                <w:sz w:val="6"/>
                <w:szCs w:val="6"/>
                <w:color w:val="auto"/>
              </w:rPr>
            </w:pPr>
          </w:p>
        </w:tc>
        <w:tc>
          <w:tcPr>
            <w:tcW w:w="180" w:type="dxa"/>
            <w:vAlign w:val="bottom"/>
            <w:tcBorders>
              <w:bottom w:val="single" w:sz="8" w:color="auto"/>
            </w:tcBorders>
          </w:tcPr>
          <w:p>
            <w:pPr>
              <w:spacing w:after="0"/>
              <w:rPr>
                <w:sz w:val="6"/>
                <w:szCs w:val="6"/>
                <w:color w:val="auto"/>
              </w:rPr>
            </w:pPr>
          </w:p>
        </w:tc>
      </w:tr>
      <w:tr>
        <w:trPr>
          <w:trHeight w:val="20"/>
        </w:trPr>
        <w:tc>
          <w:tcPr>
            <w:tcW w:w="2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28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840" w:type="dxa"/>
            <w:vAlign w:val="bottom"/>
            <w:tcBorders>
              <w:bottom w:val="single" w:sz="8" w:color="auto"/>
            </w:tcBorders>
            <w:gridSpan w:val="2"/>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r>
      <w:tr>
        <w:trPr>
          <w:trHeight w:val="116"/>
        </w:trPr>
        <w:tc>
          <w:tcPr>
            <w:tcW w:w="20" w:type="dxa"/>
            <w:vAlign w:val="bottom"/>
          </w:tcPr>
          <w:p>
            <w:pPr>
              <w:spacing w:after="0"/>
              <w:rPr>
                <w:sz w:val="10"/>
                <w:szCs w:val="10"/>
                <w:color w:val="auto"/>
              </w:rPr>
            </w:pPr>
          </w:p>
        </w:tc>
        <w:tc>
          <w:tcPr>
            <w:tcW w:w="1660" w:type="dxa"/>
            <w:vAlign w:val="bottom"/>
          </w:tcPr>
          <w:p>
            <w:pPr>
              <w:spacing w:after="0"/>
              <w:rPr>
                <w:sz w:val="10"/>
                <w:szCs w:val="10"/>
                <w:color w:val="auto"/>
              </w:rPr>
            </w:pPr>
          </w:p>
        </w:tc>
        <w:tc>
          <w:tcPr>
            <w:tcW w:w="2840" w:type="dxa"/>
            <w:vAlign w:val="bottom"/>
          </w:tcPr>
          <w:p>
            <w:pPr>
              <w:spacing w:after="0"/>
              <w:rPr>
                <w:sz w:val="10"/>
                <w:szCs w:val="10"/>
                <w:color w:val="auto"/>
              </w:rPr>
            </w:pPr>
          </w:p>
        </w:tc>
        <w:tc>
          <w:tcPr>
            <w:tcW w:w="540" w:type="dxa"/>
            <w:vAlign w:val="bottom"/>
            <w:tcBorders>
              <w:right w:val="single" w:sz="8" w:color="auto"/>
            </w:tcBorders>
          </w:tcPr>
          <w:p>
            <w:pPr>
              <w:spacing w:after="0"/>
              <w:rPr>
                <w:sz w:val="10"/>
                <w:szCs w:val="10"/>
                <w:color w:val="auto"/>
              </w:rPr>
            </w:pPr>
          </w:p>
        </w:tc>
        <w:tc>
          <w:tcPr>
            <w:tcW w:w="1600" w:type="dxa"/>
            <w:vAlign w:val="bottom"/>
            <w:tcBorders>
              <w:right w:val="single" w:sz="8" w:color="auto"/>
            </w:tcBorders>
          </w:tcPr>
          <w:p>
            <w:pPr>
              <w:spacing w:after="0"/>
              <w:rPr>
                <w:sz w:val="10"/>
                <w:szCs w:val="10"/>
                <w:color w:val="auto"/>
              </w:rPr>
            </w:pPr>
          </w:p>
        </w:tc>
        <w:tc>
          <w:tcPr>
            <w:tcW w:w="240" w:type="dxa"/>
            <w:vAlign w:val="bottom"/>
          </w:tcPr>
          <w:p>
            <w:pPr>
              <w:spacing w:after="0"/>
              <w:rPr>
                <w:sz w:val="10"/>
                <w:szCs w:val="10"/>
                <w:color w:val="auto"/>
              </w:rPr>
            </w:pPr>
          </w:p>
        </w:tc>
        <w:tc>
          <w:tcPr>
            <w:tcW w:w="1360" w:type="dxa"/>
            <w:vAlign w:val="bottom"/>
            <w:tcBorders>
              <w:right w:val="single" w:sz="8" w:color="auto"/>
            </w:tcBorders>
          </w:tcPr>
          <w:p>
            <w:pPr>
              <w:jc w:val="center"/>
              <w:ind w:right="70"/>
              <w:spacing w:after="0" w:line="117" w:lineRule="exact"/>
              <w:rPr>
                <w:sz w:val="20"/>
                <w:szCs w:val="20"/>
                <w:color w:val="auto"/>
              </w:rPr>
            </w:pPr>
            <w:r>
              <w:rPr>
                <w:rFonts w:ascii="Arial" w:cs="Arial" w:eastAsia="Arial" w:hAnsi="Arial"/>
                <w:sz w:val="12"/>
                <w:szCs w:val="12"/>
                <w:b w:val="1"/>
                <w:bCs w:val="1"/>
                <w:color w:val="auto"/>
                <w:w w:val="97"/>
              </w:rPr>
              <w:t>Proposed</w:t>
            </w:r>
          </w:p>
        </w:tc>
        <w:tc>
          <w:tcPr>
            <w:tcW w:w="1600" w:type="dxa"/>
            <w:vAlign w:val="bottom"/>
            <w:tcBorders>
              <w:right w:val="single" w:sz="8" w:color="auto"/>
            </w:tcBorders>
          </w:tcPr>
          <w:p>
            <w:pPr>
              <w:jc w:val="center"/>
              <w:ind w:left="25"/>
              <w:spacing w:after="0" w:line="117" w:lineRule="exact"/>
              <w:rPr>
                <w:sz w:val="20"/>
                <w:szCs w:val="20"/>
                <w:color w:val="auto"/>
              </w:rPr>
            </w:pPr>
            <w:r>
              <w:rPr>
                <w:rFonts w:ascii="Arial" w:cs="Arial" w:eastAsia="Arial" w:hAnsi="Arial"/>
                <w:sz w:val="12"/>
                <w:szCs w:val="12"/>
                <w:b w:val="1"/>
                <w:bCs w:val="1"/>
                <w:color w:val="auto"/>
                <w:w w:val="97"/>
              </w:rPr>
              <w:t>Proposed</w:t>
            </w:r>
          </w:p>
        </w:tc>
        <w:tc>
          <w:tcPr>
            <w:tcW w:w="2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80" w:type="dxa"/>
            <w:vAlign w:val="bottom"/>
          </w:tcPr>
          <w:p>
            <w:pPr>
              <w:spacing w:after="0"/>
              <w:rPr>
                <w:sz w:val="10"/>
                <w:szCs w:val="10"/>
                <w:color w:val="auto"/>
              </w:rPr>
            </w:pPr>
          </w:p>
        </w:tc>
      </w:tr>
      <w:tr>
        <w:trPr>
          <w:trHeight w:val="149"/>
        </w:trPr>
        <w:tc>
          <w:tcPr>
            <w:tcW w:w="2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2840" w:type="dxa"/>
            <w:vAlign w:val="bottom"/>
          </w:tcPr>
          <w:p>
            <w:pPr>
              <w:spacing w:after="0"/>
              <w:rPr>
                <w:sz w:val="12"/>
                <w:szCs w:val="12"/>
                <w:color w:val="auto"/>
              </w:rPr>
            </w:pPr>
          </w:p>
        </w:tc>
        <w:tc>
          <w:tcPr>
            <w:tcW w:w="540" w:type="dxa"/>
            <w:vAlign w:val="bottom"/>
            <w:tcBorders>
              <w:right w:val="single" w:sz="8" w:color="auto"/>
            </w:tcBorders>
          </w:tcPr>
          <w:p>
            <w:pPr>
              <w:spacing w:after="0"/>
              <w:rPr>
                <w:sz w:val="12"/>
                <w:szCs w:val="12"/>
                <w:color w:val="auto"/>
              </w:rPr>
            </w:pPr>
          </w:p>
        </w:tc>
        <w:tc>
          <w:tcPr>
            <w:tcW w:w="1600" w:type="dxa"/>
            <w:vAlign w:val="bottom"/>
            <w:tcBorders>
              <w:right w:val="single" w:sz="8" w:color="auto"/>
            </w:tcBorders>
          </w:tcPr>
          <w:p>
            <w:pPr>
              <w:jc w:val="center"/>
              <w:ind w:left="7"/>
              <w:spacing w:after="0" w:line="149" w:lineRule="exact"/>
              <w:rPr>
                <w:sz w:val="20"/>
                <w:szCs w:val="20"/>
                <w:color w:val="auto"/>
              </w:rPr>
            </w:pPr>
            <w:r>
              <w:rPr>
                <w:rFonts w:ascii="Arial" w:cs="Arial" w:eastAsia="Arial" w:hAnsi="Arial"/>
                <w:sz w:val="14"/>
                <w:szCs w:val="14"/>
                <w:b w:val="1"/>
                <w:bCs w:val="1"/>
                <w:color w:val="auto"/>
                <w:w w:val="90"/>
              </w:rPr>
              <w:t>Amount</w:t>
            </w: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70"/>
              <w:spacing w:after="0" w:line="149" w:lineRule="exact"/>
              <w:rPr>
                <w:sz w:val="20"/>
                <w:szCs w:val="20"/>
                <w:color w:val="auto"/>
              </w:rPr>
            </w:pPr>
            <w:r>
              <w:rPr>
                <w:rFonts w:ascii="Arial" w:cs="Arial" w:eastAsia="Arial" w:hAnsi="Arial"/>
                <w:sz w:val="14"/>
                <w:szCs w:val="14"/>
                <w:b w:val="1"/>
                <w:bCs w:val="1"/>
                <w:color w:val="auto"/>
                <w:w w:val="88"/>
              </w:rPr>
              <w:t>maximum</w:t>
            </w:r>
          </w:p>
        </w:tc>
        <w:tc>
          <w:tcPr>
            <w:tcW w:w="1600" w:type="dxa"/>
            <w:vAlign w:val="bottom"/>
            <w:tcBorders>
              <w:right w:val="single" w:sz="8" w:color="auto"/>
            </w:tcBorders>
          </w:tcPr>
          <w:p>
            <w:pPr>
              <w:jc w:val="center"/>
              <w:ind w:left="25"/>
              <w:spacing w:after="0" w:line="149" w:lineRule="exact"/>
              <w:rPr>
                <w:sz w:val="20"/>
                <w:szCs w:val="20"/>
                <w:color w:val="auto"/>
              </w:rPr>
            </w:pPr>
            <w:r>
              <w:rPr>
                <w:rFonts w:ascii="Arial" w:cs="Arial" w:eastAsia="Arial" w:hAnsi="Arial"/>
                <w:sz w:val="14"/>
                <w:szCs w:val="14"/>
                <w:b w:val="1"/>
                <w:bCs w:val="1"/>
                <w:color w:val="auto"/>
                <w:w w:val="88"/>
              </w:rPr>
              <w:t>maximum</w:t>
            </w:r>
          </w:p>
        </w:tc>
        <w:tc>
          <w:tcPr>
            <w:tcW w:w="2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8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3380" w:type="dxa"/>
            <w:vAlign w:val="bottom"/>
            <w:tcBorders>
              <w:right w:val="single" w:sz="8" w:color="auto"/>
            </w:tcBorders>
            <w:gridSpan w:val="2"/>
          </w:tcPr>
          <w:p>
            <w:pPr>
              <w:jc w:val="center"/>
              <w:ind w:right="1700"/>
              <w:spacing w:after="0" w:line="149" w:lineRule="exact"/>
              <w:rPr>
                <w:sz w:val="20"/>
                <w:szCs w:val="20"/>
                <w:color w:val="auto"/>
              </w:rPr>
            </w:pPr>
            <w:r>
              <w:rPr>
                <w:rFonts w:ascii="Arial" w:cs="Arial" w:eastAsia="Arial" w:hAnsi="Arial"/>
                <w:sz w:val="14"/>
                <w:szCs w:val="14"/>
                <w:b w:val="1"/>
                <w:bCs w:val="1"/>
                <w:color w:val="auto"/>
                <w:w w:val="87"/>
              </w:rPr>
              <w:t>Title of</w:t>
            </w:r>
          </w:p>
        </w:tc>
        <w:tc>
          <w:tcPr>
            <w:tcW w:w="1600" w:type="dxa"/>
            <w:vAlign w:val="bottom"/>
            <w:tcBorders>
              <w:right w:val="single" w:sz="8" w:color="auto"/>
            </w:tcBorders>
          </w:tcPr>
          <w:p>
            <w:pPr>
              <w:jc w:val="center"/>
              <w:ind w:left="7"/>
              <w:spacing w:after="0" w:line="149" w:lineRule="exact"/>
              <w:rPr>
                <w:sz w:val="20"/>
                <w:szCs w:val="20"/>
                <w:color w:val="auto"/>
              </w:rPr>
            </w:pPr>
            <w:r>
              <w:rPr>
                <w:rFonts w:ascii="Arial" w:cs="Arial" w:eastAsia="Arial" w:hAnsi="Arial"/>
                <w:sz w:val="14"/>
                <w:szCs w:val="14"/>
                <w:b w:val="1"/>
                <w:bCs w:val="1"/>
                <w:color w:val="auto"/>
                <w:w w:val="83"/>
              </w:rPr>
              <w:t>to be</w:t>
            </w: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70"/>
              <w:spacing w:after="0" w:line="149" w:lineRule="exact"/>
              <w:rPr>
                <w:sz w:val="20"/>
                <w:szCs w:val="20"/>
                <w:color w:val="auto"/>
              </w:rPr>
            </w:pPr>
            <w:r>
              <w:rPr>
                <w:rFonts w:ascii="Arial" w:cs="Arial" w:eastAsia="Arial" w:hAnsi="Arial"/>
                <w:sz w:val="14"/>
                <w:szCs w:val="14"/>
                <w:b w:val="1"/>
                <w:bCs w:val="1"/>
                <w:color w:val="auto"/>
                <w:w w:val="87"/>
              </w:rPr>
              <w:t>offering price</w:t>
            </w:r>
          </w:p>
        </w:tc>
        <w:tc>
          <w:tcPr>
            <w:tcW w:w="1600" w:type="dxa"/>
            <w:vAlign w:val="bottom"/>
            <w:tcBorders>
              <w:right w:val="single" w:sz="8" w:color="auto"/>
            </w:tcBorders>
          </w:tcPr>
          <w:p>
            <w:pPr>
              <w:jc w:val="center"/>
              <w:ind w:left="5"/>
              <w:spacing w:after="0" w:line="149" w:lineRule="exact"/>
              <w:rPr>
                <w:sz w:val="20"/>
                <w:szCs w:val="20"/>
                <w:color w:val="auto"/>
              </w:rPr>
            </w:pPr>
            <w:r>
              <w:rPr>
                <w:rFonts w:ascii="Arial" w:cs="Arial" w:eastAsia="Arial" w:hAnsi="Arial"/>
                <w:sz w:val="14"/>
                <w:szCs w:val="14"/>
                <w:b w:val="1"/>
                <w:bCs w:val="1"/>
                <w:color w:val="auto"/>
                <w:w w:val="83"/>
              </w:rPr>
              <w:t>aggregate</w:t>
            </w:r>
          </w:p>
        </w:tc>
        <w:tc>
          <w:tcPr>
            <w:tcW w:w="240" w:type="dxa"/>
            <w:vAlign w:val="bottom"/>
          </w:tcPr>
          <w:p>
            <w:pPr>
              <w:spacing w:after="0"/>
              <w:rPr>
                <w:sz w:val="12"/>
                <w:szCs w:val="12"/>
                <w:color w:val="auto"/>
              </w:rPr>
            </w:pPr>
          </w:p>
        </w:tc>
        <w:tc>
          <w:tcPr>
            <w:tcW w:w="1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Amount of</w:t>
            </w:r>
          </w:p>
        </w:tc>
        <w:tc>
          <w:tcPr>
            <w:tcW w:w="180" w:type="dxa"/>
            <w:vAlign w:val="bottom"/>
          </w:tcPr>
          <w:p>
            <w:pPr>
              <w:spacing w:after="0"/>
              <w:rPr>
                <w:sz w:val="12"/>
                <w:szCs w:val="12"/>
                <w:color w:val="auto"/>
              </w:rPr>
            </w:pPr>
          </w:p>
        </w:tc>
      </w:tr>
      <w:tr>
        <w:trPr>
          <w:trHeight w:val="175"/>
        </w:trPr>
        <w:tc>
          <w:tcPr>
            <w:tcW w:w="20" w:type="dxa"/>
            <w:vAlign w:val="bottom"/>
          </w:tcPr>
          <w:p>
            <w:pPr>
              <w:spacing w:after="0"/>
              <w:rPr>
                <w:sz w:val="15"/>
                <w:szCs w:val="15"/>
                <w:color w:val="auto"/>
              </w:rPr>
            </w:pPr>
          </w:p>
        </w:tc>
        <w:tc>
          <w:tcPr>
            <w:tcW w:w="1660" w:type="dxa"/>
            <w:vAlign w:val="bottom"/>
            <w:tcBorders>
              <w:bottom w:val="single" w:sz="8" w:color="auto"/>
            </w:tcBorders>
          </w:tcPr>
          <w:p>
            <w:pPr>
              <w:spacing w:after="0"/>
              <w:rPr>
                <w:sz w:val="15"/>
                <w:szCs w:val="15"/>
                <w:color w:val="auto"/>
              </w:rPr>
            </w:pPr>
          </w:p>
        </w:tc>
        <w:tc>
          <w:tcPr>
            <w:tcW w:w="3380" w:type="dxa"/>
            <w:vAlign w:val="bottom"/>
            <w:tcBorders>
              <w:bottom w:val="single" w:sz="8" w:color="auto"/>
              <w:right w:val="single" w:sz="8" w:color="auto"/>
            </w:tcBorders>
            <w:gridSpan w:val="2"/>
          </w:tcPr>
          <w:p>
            <w:pPr>
              <w:jc w:val="center"/>
              <w:ind w:right="1700"/>
              <w:spacing w:after="0"/>
              <w:rPr>
                <w:sz w:val="20"/>
                <w:szCs w:val="20"/>
                <w:color w:val="auto"/>
              </w:rPr>
            </w:pPr>
            <w:r>
              <w:rPr>
                <w:rFonts w:ascii="Arial" w:cs="Arial" w:eastAsia="Arial" w:hAnsi="Arial"/>
                <w:sz w:val="14"/>
                <w:szCs w:val="14"/>
                <w:b w:val="1"/>
                <w:bCs w:val="1"/>
                <w:color w:val="auto"/>
                <w:w w:val="84"/>
              </w:rPr>
              <w:t>securities to be registered</w:t>
            </w:r>
          </w:p>
        </w:tc>
        <w:tc>
          <w:tcPr>
            <w:tcW w:w="1600" w:type="dxa"/>
            <w:vAlign w:val="bottom"/>
            <w:tcBorders>
              <w:bottom w:val="single" w:sz="8" w:color="auto"/>
              <w:right w:val="single" w:sz="8" w:color="auto"/>
            </w:tcBorders>
          </w:tcPr>
          <w:p>
            <w:pPr>
              <w:jc w:val="center"/>
              <w:ind w:left="7"/>
              <w:spacing w:after="0"/>
              <w:rPr>
                <w:sz w:val="20"/>
                <w:szCs w:val="20"/>
                <w:color w:val="auto"/>
              </w:rPr>
            </w:pPr>
            <w:r>
              <w:rPr>
                <w:rFonts w:ascii="Arial" w:cs="Arial" w:eastAsia="Arial" w:hAnsi="Arial"/>
                <w:sz w:val="14"/>
                <w:szCs w:val="14"/>
                <w:b w:val="1"/>
                <w:bCs w:val="1"/>
                <w:color w:val="auto"/>
                <w:w w:val="85"/>
              </w:rPr>
              <w:t>registered (1)</w:t>
            </w:r>
          </w:p>
        </w:tc>
        <w:tc>
          <w:tcPr>
            <w:tcW w:w="240" w:type="dxa"/>
            <w:vAlign w:val="bottom"/>
            <w:tcBorders>
              <w:bottom w:val="single" w:sz="8" w:color="auto"/>
            </w:tcBorders>
          </w:tcPr>
          <w:p>
            <w:pPr>
              <w:spacing w:after="0"/>
              <w:rPr>
                <w:sz w:val="15"/>
                <w:szCs w:val="15"/>
                <w:color w:val="auto"/>
              </w:rPr>
            </w:pPr>
          </w:p>
        </w:tc>
        <w:tc>
          <w:tcPr>
            <w:tcW w:w="1360" w:type="dxa"/>
            <w:vAlign w:val="bottom"/>
            <w:tcBorders>
              <w:bottom w:val="single" w:sz="8" w:color="auto"/>
              <w:right w:val="single" w:sz="8" w:color="auto"/>
            </w:tcBorders>
          </w:tcPr>
          <w:p>
            <w:pPr>
              <w:jc w:val="center"/>
              <w:ind w:right="90"/>
              <w:spacing w:after="0"/>
              <w:rPr>
                <w:sz w:val="20"/>
                <w:szCs w:val="20"/>
                <w:color w:val="auto"/>
              </w:rPr>
            </w:pPr>
            <w:r>
              <w:rPr>
                <w:rFonts w:ascii="Arial" w:cs="Arial" w:eastAsia="Arial" w:hAnsi="Arial"/>
                <w:sz w:val="14"/>
                <w:szCs w:val="14"/>
                <w:b w:val="1"/>
                <w:bCs w:val="1"/>
                <w:color w:val="auto"/>
                <w:w w:val="85"/>
              </w:rPr>
              <w:t>per share (2)</w:t>
            </w:r>
          </w:p>
        </w:tc>
        <w:tc>
          <w:tcPr>
            <w:tcW w:w="1600" w:type="dxa"/>
            <w:vAlign w:val="bottom"/>
            <w:tcBorders>
              <w:bottom w:val="single" w:sz="8" w:color="auto"/>
              <w:right w:val="single" w:sz="8" w:color="auto"/>
            </w:tcBorders>
          </w:tcPr>
          <w:p>
            <w:pPr>
              <w:jc w:val="center"/>
              <w:ind w:left="25"/>
              <w:spacing w:after="0"/>
              <w:rPr>
                <w:sz w:val="20"/>
                <w:szCs w:val="20"/>
                <w:color w:val="auto"/>
              </w:rPr>
            </w:pPr>
            <w:r>
              <w:rPr>
                <w:rFonts w:ascii="Arial" w:cs="Arial" w:eastAsia="Arial" w:hAnsi="Arial"/>
                <w:sz w:val="14"/>
                <w:szCs w:val="14"/>
                <w:b w:val="1"/>
                <w:bCs w:val="1"/>
                <w:color w:val="auto"/>
                <w:w w:val="88"/>
              </w:rPr>
              <w:t>offering price (2)</w:t>
            </w:r>
          </w:p>
        </w:tc>
        <w:tc>
          <w:tcPr>
            <w:tcW w:w="24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registration fee (2)</w:t>
            </w:r>
          </w:p>
        </w:tc>
        <w:tc>
          <w:tcPr>
            <w:tcW w:w="180" w:type="dxa"/>
            <w:vAlign w:val="bottom"/>
            <w:tcBorders>
              <w:bottom w:val="single" w:sz="8" w:color="auto"/>
            </w:tcBorders>
          </w:tcPr>
          <w:p>
            <w:pPr>
              <w:spacing w:after="0"/>
              <w:rPr>
                <w:sz w:val="15"/>
                <w:szCs w:val="15"/>
                <w:color w:val="auto"/>
              </w:rPr>
            </w:pPr>
          </w:p>
        </w:tc>
      </w:tr>
      <w:tr>
        <w:trPr>
          <w:trHeight w:val="201"/>
        </w:trPr>
        <w:tc>
          <w:tcPr>
            <w:tcW w:w="20" w:type="dxa"/>
            <w:vAlign w:val="bottom"/>
          </w:tcPr>
          <w:p>
            <w:pPr>
              <w:spacing w:after="0"/>
              <w:rPr>
                <w:sz w:val="17"/>
                <w:szCs w:val="17"/>
                <w:color w:val="auto"/>
              </w:rPr>
            </w:pPr>
          </w:p>
        </w:tc>
        <w:tc>
          <w:tcPr>
            <w:tcW w:w="5040" w:type="dxa"/>
            <w:vAlign w:val="bottom"/>
            <w:tcBorders>
              <w:right w:val="single" w:sz="8" w:color="auto"/>
            </w:tcBorders>
            <w:gridSpan w:val="3"/>
          </w:tcPr>
          <w:p>
            <w:pPr>
              <w:spacing w:after="0" w:line="201"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600" w:type="dxa"/>
            <w:vAlign w:val="bottom"/>
            <w:tcBorders>
              <w:right w:val="single" w:sz="8" w:color="auto"/>
            </w:tcBorders>
          </w:tcPr>
          <w:p>
            <w:pPr>
              <w:spacing w:after="0"/>
              <w:rPr>
                <w:sz w:val="17"/>
                <w:szCs w:val="17"/>
                <w:color w:val="auto"/>
              </w:rPr>
            </w:pPr>
          </w:p>
        </w:tc>
        <w:tc>
          <w:tcPr>
            <w:tcW w:w="240" w:type="dxa"/>
            <w:vAlign w:val="bottom"/>
          </w:tcPr>
          <w:p>
            <w:pPr>
              <w:spacing w:after="0"/>
              <w:rPr>
                <w:sz w:val="17"/>
                <w:szCs w:val="17"/>
                <w:color w:val="auto"/>
              </w:rPr>
            </w:pPr>
          </w:p>
        </w:tc>
        <w:tc>
          <w:tcPr>
            <w:tcW w:w="1360" w:type="dxa"/>
            <w:vAlign w:val="bottom"/>
            <w:tcBorders>
              <w:right w:val="single" w:sz="8" w:color="auto"/>
            </w:tcBorders>
          </w:tcPr>
          <w:p>
            <w:pPr>
              <w:spacing w:after="0"/>
              <w:rPr>
                <w:sz w:val="17"/>
                <w:szCs w:val="17"/>
                <w:color w:val="auto"/>
              </w:rPr>
            </w:pPr>
          </w:p>
        </w:tc>
        <w:tc>
          <w:tcPr>
            <w:tcW w:w="1600" w:type="dxa"/>
            <w:vAlign w:val="bottom"/>
            <w:tcBorders>
              <w:right w:val="single" w:sz="8" w:color="auto"/>
            </w:tcBorders>
          </w:tcPr>
          <w:p>
            <w:pPr>
              <w:spacing w:after="0"/>
              <w:rPr>
                <w:sz w:val="17"/>
                <w:szCs w:val="17"/>
                <w:color w:val="auto"/>
              </w:rPr>
            </w:pPr>
          </w:p>
        </w:tc>
        <w:tc>
          <w:tcPr>
            <w:tcW w:w="2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8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gridSpan w:val="3"/>
          </w:tcPr>
          <w:p>
            <w:pPr>
              <w:ind w:left="200"/>
              <w:spacing w:after="0"/>
              <w:rPr>
                <w:sz w:val="20"/>
                <w:szCs w:val="20"/>
                <w:color w:val="auto"/>
              </w:rPr>
            </w:pPr>
            <w:r>
              <w:rPr>
                <w:rFonts w:ascii="Arial" w:cs="Arial" w:eastAsia="Arial" w:hAnsi="Arial"/>
                <w:sz w:val="18"/>
                <w:szCs w:val="18"/>
                <w:color w:val="auto"/>
                <w:w w:val="94"/>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40" w:type="dxa"/>
            <w:vAlign w:val="bottom"/>
            <w:tcBorders>
              <w:bottom w:val="single" w:sz="8" w:color="auto"/>
              <w:right w:val="single" w:sz="8" w:color="auto"/>
            </w:tcBorders>
            <w:gridSpan w:val="3"/>
          </w:tcPr>
          <w:p>
            <w:pPr>
              <w:ind w:left="200"/>
              <w:spacing w:after="0"/>
              <w:rPr>
                <w:sz w:val="20"/>
                <w:szCs w:val="20"/>
                <w:color w:val="auto"/>
              </w:rPr>
            </w:pPr>
            <w:r>
              <w:rPr>
                <w:rFonts w:ascii="Arial" w:cs="Arial" w:eastAsia="Arial" w:hAnsi="Arial"/>
                <w:sz w:val="18"/>
                <w:szCs w:val="18"/>
                <w:color w:val="auto"/>
              </w:rPr>
              <w:t>Plan, as amended and restated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4"/>
              </w:rPr>
              <w:t>7,911,440 shares</w:t>
            </w:r>
          </w:p>
        </w:tc>
        <w:tc>
          <w:tcPr>
            <w:tcW w:w="240" w:type="dxa"/>
            <w:vAlign w:val="bottom"/>
            <w:tcBorders>
              <w:bottom w:val="single" w:sz="8" w:color="auto"/>
            </w:tcBorders>
          </w:tcPr>
          <w:p>
            <w:pPr>
              <w:spacing w:after="0"/>
              <w:rPr>
                <w:sz w:val="19"/>
                <w:szCs w:val="19"/>
                <w:color w:val="auto"/>
              </w:rPr>
            </w:pPr>
          </w:p>
        </w:tc>
        <w:tc>
          <w:tcPr>
            <w:tcW w:w="1360" w:type="dxa"/>
            <w:vAlign w:val="bottom"/>
            <w:tcBorders>
              <w:bottom w:val="single" w:sz="8" w:color="auto"/>
              <w:right w:val="single" w:sz="8" w:color="auto"/>
            </w:tcBorders>
          </w:tcPr>
          <w:p>
            <w:pPr>
              <w:jc w:val="center"/>
              <w:ind w:right="90"/>
              <w:spacing w:after="0"/>
              <w:rPr>
                <w:sz w:val="20"/>
                <w:szCs w:val="20"/>
                <w:color w:val="auto"/>
              </w:rPr>
            </w:pPr>
            <w:r>
              <w:rPr>
                <w:rFonts w:ascii="Arial" w:cs="Arial" w:eastAsia="Arial" w:hAnsi="Arial"/>
                <w:sz w:val="18"/>
                <w:szCs w:val="18"/>
                <w:color w:val="auto"/>
                <w:w w:val="87"/>
              </w:rPr>
              <w:t>$10.27</w:t>
            </w:r>
          </w:p>
        </w:tc>
        <w:tc>
          <w:tcPr>
            <w:tcW w:w="1600" w:type="dxa"/>
            <w:vAlign w:val="bottom"/>
            <w:tcBorders>
              <w:bottom w:val="single" w:sz="8" w:color="auto"/>
              <w:right w:val="single" w:sz="8" w:color="auto"/>
            </w:tcBorders>
          </w:tcPr>
          <w:p>
            <w:pPr>
              <w:jc w:val="center"/>
              <w:ind w:left="25"/>
              <w:spacing w:after="0"/>
              <w:rPr>
                <w:sz w:val="20"/>
                <w:szCs w:val="20"/>
                <w:color w:val="auto"/>
              </w:rPr>
            </w:pPr>
            <w:r>
              <w:rPr>
                <w:rFonts w:ascii="Arial" w:cs="Arial" w:eastAsia="Arial" w:hAnsi="Arial"/>
                <w:sz w:val="18"/>
                <w:szCs w:val="18"/>
                <w:color w:val="auto"/>
                <w:w w:val="87"/>
              </w:rPr>
              <w:t>$81,250,488.80</w:t>
            </w:r>
          </w:p>
        </w:tc>
        <w:tc>
          <w:tcPr>
            <w:tcW w:w="24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6"/>
              </w:rPr>
              <w:t>$11,082.57</w:t>
            </w:r>
          </w:p>
        </w:tc>
        <w:tc>
          <w:tcPr>
            <w:tcW w:w="180" w:type="dxa"/>
            <w:vAlign w:val="bottom"/>
            <w:tcBorders>
              <w:bottom w:val="single" w:sz="8" w:color="auto"/>
            </w:tcBorders>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28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r>
    </w:tbl>
    <w:p>
      <w:pPr>
        <w:spacing w:after="0" w:line="5" w:lineRule="exact"/>
        <w:rPr>
          <w:sz w:val="20"/>
          <w:szCs w:val="20"/>
          <w:color w:val="auto"/>
        </w:rPr>
      </w:pPr>
    </w:p>
    <w:p>
      <w:pPr>
        <w:ind w:left="460" w:right="140" w:hanging="452"/>
        <w:spacing w:after="0" w:line="283"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2" w:lineRule="exact"/>
        <w:rPr>
          <w:rFonts w:ascii="Arial" w:cs="Arial" w:eastAsia="Arial" w:hAnsi="Arial"/>
          <w:sz w:val="16"/>
          <w:szCs w:val="16"/>
          <w:color w:val="auto"/>
        </w:rPr>
      </w:pPr>
    </w:p>
    <w:p>
      <w:pPr>
        <w:ind w:left="460" w:right="60" w:hanging="452"/>
        <w:spacing w:after="0" w:line="255"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25, 2013, which amount was $10.27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182880</wp:posOffset>
            </wp:positionV>
            <wp:extent cx="151765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328295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2" w:name="page3"/>
    <w:bookmarkEnd w:id="2"/>
    <w:p>
      <w:pPr>
        <w:ind w:right="4280"/>
        <w:spacing w:after="0" w:line="347"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 General Instruction E Information</w:t>
      </w:r>
    </w:p>
    <w:p>
      <w:pPr>
        <w:spacing w:after="0" w:line="2" w:lineRule="exact"/>
        <w:rPr>
          <w:sz w:val="20"/>
          <w:szCs w:val="20"/>
          <w:color w:val="auto"/>
        </w:rPr>
      </w:pPr>
    </w:p>
    <w:p>
      <w:pPr>
        <w:jc w:val="both"/>
        <w:ind w:right="100"/>
        <w:spacing w:after="0" w:line="306" w:lineRule="auto"/>
        <w:rPr>
          <w:sz w:val="20"/>
          <w:szCs w:val="20"/>
          <w:color w:val="auto"/>
        </w:rPr>
      </w:pPr>
      <w:r>
        <w:rPr>
          <w:rFonts w:ascii="Arial" w:cs="Arial" w:eastAsia="Arial" w:hAnsi="Arial"/>
          <w:sz w:val="16"/>
          <w:szCs w:val="16"/>
          <w:color w:val="auto"/>
        </w:rPr>
        <w:t>This Registration Statement on Form S-8 is being filed by Marvell Technology Group Ltd. (“Marvell”) to register an additional 7,911,440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07" w:lineRule="exact"/>
        <w:rPr>
          <w:sz w:val="20"/>
          <w:szCs w:val="20"/>
          <w:color w:val="auto"/>
        </w:rPr>
      </w:pPr>
    </w:p>
    <w:p>
      <w:pPr>
        <w:jc w:val="both"/>
        <w:spacing w:after="0" w:line="284" w:lineRule="auto"/>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 No. 333-</w:t>
      </w:r>
    </w:p>
    <w:p>
      <w:pPr>
        <w:spacing w:after="0" w:line="1" w:lineRule="exact"/>
        <w:rPr>
          <w:sz w:val="20"/>
          <w:szCs w:val="20"/>
          <w:color w:val="auto"/>
        </w:rPr>
      </w:pPr>
    </w:p>
    <w:p>
      <w:pPr>
        <w:ind w:right="20"/>
        <w:spacing w:after="0" w:line="323" w:lineRule="auto"/>
        <w:rPr>
          <w:sz w:val="20"/>
          <w:szCs w:val="20"/>
          <w:color w:val="auto"/>
        </w:rPr>
      </w:pPr>
      <w:r>
        <w:rPr>
          <w:rFonts w:ascii="Arial" w:cs="Arial" w:eastAsia="Arial" w:hAnsi="Arial"/>
          <w:sz w:val="16"/>
          <w:szCs w:val="16"/>
          <w:color w:val="auto"/>
        </w:rPr>
        <w:t>133281), January 11, 2008 (Registration No. 333-148621), June 20, 2008 (Registration No. 333-151816), December 10, 2009 (Registration No. 333-163644) and March 28, 2012 (Registration No. 333-180412), each of which relates to the 2000 ESPP, are incorporated herein by reference and made a part hereof.</w:t>
      </w:r>
    </w:p>
    <w:p>
      <w:pPr>
        <w:spacing w:after="0" w:line="24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Incorporation of Documents by Reference.</w:t>
      </w:r>
    </w:p>
    <w:p>
      <w:pPr>
        <w:spacing w:after="0" w:line="9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The following documents and information previously filed with the Commission by Marvell are hereby incorporated by reference in this Registration Statement unless otherwise noted:</w:t>
      </w:r>
    </w:p>
    <w:p>
      <w:pPr>
        <w:spacing w:after="0" w:line="51"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Marvell’s Annual Report on Form 10-K for the fiscal year ended February 2, 2013, filed with the Commission on March 29, 2013.</w:t>
      </w:r>
    </w:p>
    <w:p>
      <w:pPr>
        <w:spacing w:after="0" w:line="90" w:lineRule="exact"/>
        <w:rPr>
          <w:rFonts w:ascii="Arial" w:cs="Arial" w:eastAsia="Arial" w:hAnsi="Arial"/>
          <w:sz w:val="18"/>
          <w:szCs w:val="18"/>
          <w:color w:val="auto"/>
        </w:rPr>
      </w:pPr>
    </w:p>
    <w:p>
      <w:pPr>
        <w:ind w:left="900" w:right="60" w:hanging="325"/>
        <w:spacing w:after="0" w:line="33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Marvell’s Current Report on Form 8-K filed with the Commission on February 21, 2013. With respect to such Current Report on Form 8-K, Marvell specifically excludes from incorporation such information that has been furnished and not filed pursuant to Item 2.02, Item 7.01 and/or Item 9.01.</w:t>
      </w:r>
    </w:p>
    <w:p>
      <w:pPr>
        <w:spacing w:after="0" w:line="4"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description of the Common Shares contained in Marvell’s Registration Statement on Form 8-A as filed with the Commission on June 22, 2000 pursuant to Section 12(g) of the Securities Exchange Act of 1934, as amended (the “Exchange Act”).</w:t>
      </w:r>
    </w:p>
    <w:p>
      <w:pPr>
        <w:spacing w:after="0" w:line="132"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All documents subsequently filed by Marvell pursuant to Sections 13(a), 13(c), 14 and 15(d) of the Exchange Act, prior to the filing of a post-effective amendment to the Registration Statement that indicates that all of the Common Shares offered have been sold or that deregisters all of such shares then remaining unsold, shall be deemed to be incorporated by reference in this Registration Statement and to be a part hereof from the date of the filing of such documents. For the purposes of this Registration Statement, any statement contained in a document incorporated or deemed to be incorporated by reference herein shall be deemed to be modified or superseded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234"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Indemnification of Directors and Officers.</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Marvell’s Memorandum of Association, as presently in effect (the “Memorandum of Association”), and Marvell’s Third Amended and Restated Bye-laws (the “Bye-laws”), as such provisions relate to the indemnification of its directors and officers. This description is intended only as a summary and is qualified in its entirety by reference to the applicable provisions of the Companies Act, the Memorandum of Association and the Bye-laws, which are incorporated herein by reference.</w:t>
      </w:r>
    </w:p>
    <w:p>
      <w:pPr>
        <w:sectPr>
          <w:pgSz w:w="11900" w:h="16838" w:orient="portrait"/>
          <w:cols w:equalWidth="0" w:num="1">
            <w:col w:w="11380"/>
          </w:cols>
          <w:pgMar w:left="240" w:top="274" w:right="279" w:bottom="1440" w:gutter="0" w:footer="0" w:header="0"/>
        </w:sectPr>
      </w:pPr>
    </w:p>
    <w:bookmarkStart w:id="3" w:name="page4"/>
    <w:bookmarkEnd w:id="3"/>
    <w:p>
      <w:pPr>
        <w:ind w:right="14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own fraud or dishonesty.</w:t>
      </w:r>
    </w:p>
    <w:p>
      <w:pPr>
        <w:spacing w:after="0" w:line="14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Bye-laws provide that every director, officer and committee member be indemnified against any liability, loss, damage or expense incurred or suffered in such capacity, subject to limitations imposed in the Companies Act.</w:t>
      </w:r>
    </w:p>
    <w:p>
      <w:pPr>
        <w:spacing w:after="0" w:line="132"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Bye-laws further provide that each shareholder agree to waive any claim or right of action against any director or officer, in respect of any failure to act or any action taken by such director or officer in the performance of his duties with or for Marvell. The waiver does not extend to claims arising under United States federal securities laws or any claims or rights of action arising from the fraud or dishonesty of the director or officer.</w:t>
      </w:r>
    </w:p>
    <w:p>
      <w:pPr>
        <w:spacing w:after="0" w:line="10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Marvell has agreed to indemnify certain current and former directors and officers of Marvell and current and former officers and employees of its subsidiary, Marvell Semiconductor, Inc. (“MSI”), for reasonable costs and expenses incurred by such individuals in connection with certain civil actions and governmental investigations relating to Marvell’s historic stock option granting practices. Marvell’s agreement to pay reasonable fees and costs is subject to each individual’s agreement to reimburse Marvell in the event that it is subsequently determined by Marvell or a court of law that the individual is not entitled to indemnification under the Bye-laws or MSI’s bye-laws or applicable law.</w:t>
      </w:r>
    </w:p>
    <w:p>
      <w:pPr>
        <w:spacing w:after="0" w:line="116"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Marvell has entered into indemnification agreements with certain officers that may be sufficiently broad to permit indemnification of such officers for liabilities (including reimbursement of expenses incurred) arising under the Securities Act.</w:t>
      </w:r>
    </w:p>
    <w:p>
      <w:pPr>
        <w:spacing w:after="0" w:line="132"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Marvell has agreed to indemnify Dr. Sehat Sutardja, Marvell’s Chairman of the Board of Directors, President and Chief Executive Officer, for reasonable fees and expenses that he may incur in challenging potential state and federal tax liabilities under Section 409A of the Internal Revenue Code in connection with his exercise of an option for Marvell’s common shares.</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20" w:type="dxa"/>
            <w:vAlign w:val="bottom"/>
            <w:gridSpan w:val="2"/>
          </w:tcPr>
          <w:p>
            <w:pPr>
              <w:spacing w:after="0"/>
              <w:rPr>
                <w:sz w:val="20"/>
                <w:szCs w:val="20"/>
                <w:color w:val="auto"/>
              </w:rPr>
            </w:pPr>
            <w:r>
              <w:rPr>
                <w:rFonts w:ascii="Arial" w:cs="Arial" w:eastAsia="Arial" w:hAnsi="Arial"/>
                <w:sz w:val="18"/>
                <w:szCs w:val="18"/>
                <w:b w:val="1"/>
                <w:bCs w:val="1"/>
                <w:color w:val="auto"/>
              </w:rPr>
              <w:t>Item 8.</w:t>
            </w:r>
          </w:p>
        </w:tc>
        <w:tc>
          <w:tcPr>
            <w:tcW w:w="10660" w:type="dxa"/>
            <w:vAlign w:val="bottom"/>
            <w:gridSpan w:val="3"/>
          </w:tcPr>
          <w:p>
            <w:pPr>
              <w:ind w:left="320"/>
              <w:spacing w:after="0"/>
              <w:rPr>
                <w:sz w:val="20"/>
                <w:szCs w:val="20"/>
                <w:color w:val="auto"/>
              </w:rPr>
            </w:pPr>
            <w:r>
              <w:rPr>
                <w:rFonts w:ascii="Arial" w:cs="Arial" w:eastAsia="Arial" w:hAnsi="Arial"/>
                <w:sz w:val="18"/>
                <w:szCs w:val="18"/>
                <w:b w:val="1"/>
                <w:bCs w:val="1"/>
                <w:color w:val="auto"/>
              </w:rPr>
              <w:t>Exhibits.</w:t>
            </w:r>
          </w:p>
        </w:tc>
      </w:tr>
      <w:tr>
        <w:trPr>
          <w:trHeight w:val="297"/>
        </w:trPr>
        <w:tc>
          <w:tcPr>
            <w:tcW w:w="4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660" w:type="dxa"/>
            <w:vAlign w:val="bottom"/>
            <w:gridSpan w:val="3"/>
          </w:tcPr>
          <w:p>
            <w:pPr>
              <w:ind w:left="200"/>
              <w:spacing w:after="0"/>
              <w:rPr>
                <w:sz w:val="20"/>
                <w:szCs w:val="20"/>
                <w:color w:val="auto"/>
              </w:rPr>
            </w:pPr>
            <w:r>
              <w:rPr>
                <w:rFonts w:ascii="Arial" w:cs="Arial" w:eastAsia="Arial" w:hAnsi="Arial"/>
                <w:sz w:val="18"/>
                <w:szCs w:val="18"/>
                <w:color w:val="auto"/>
              </w:rPr>
              <w:t>The following exhibits are filed as part of this Registration Statement:</w:t>
            </w:r>
          </w:p>
        </w:tc>
      </w:tr>
      <w:tr>
        <w:trPr>
          <w:trHeight w:val="340"/>
        </w:trPr>
        <w:tc>
          <w:tcPr>
            <w:tcW w:w="72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51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800" w:type="dxa"/>
            <w:vAlign w:val="bottom"/>
          </w:tcPr>
          <w:p>
            <w:pPr>
              <w:spacing w:after="0"/>
              <w:rPr>
                <w:sz w:val="24"/>
                <w:szCs w:val="24"/>
                <w:color w:val="auto"/>
              </w:rPr>
            </w:pPr>
          </w:p>
        </w:tc>
      </w:tr>
      <w:tr>
        <w:trPr>
          <w:trHeight w:val="161"/>
        </w:trPr>
        <w:tc>
          <w:tcPr>
            <w:tcW w:w="460" w:type="dxa"/>
            <w:vAlign w:val="bottom"/>
            <w:tcBorders>
              <w:bottom w:val="single" w:sz="8" w:color="auto"/>
            </w:tcBorders>
          </w:tcPr>
          <w:p>
            <w:pPr>
              <w:jc w:val="right"/>
              <w:ind w:right="37"/>
              <w:spacing w:after="0"/>
              <w:rPr>
                <w:sz w:val="20"/>
                <w:szCs w:val="20"/>
                <w:color w:val="auto"/>
              </w:rPr>
            </w:pPr>
            <w:r>
              <w:rPr>
                <w:rFonts w:ascii="Arial" w:cs="Arial" w:eastAsia="Arial" w:hAnsi="Arial"/>
                <w:sz w:val="14"/>
                <w:szCs w:val="14"/>
                <w:b w:val="1"/>
                <w:bCs w:val="1"/>
                <w:color w:val="auto"/>
              </w:rPr>
              <w:t>No.</w:t>
            </w:r>
          </w:p>
        </w:tc>
        <w:tc>
          <w:tcPr>
            <w:tcW w:w="26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7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8"/>
              </w:rPr>
              <w:t>Description</w:t>
            </w:r>
          </w:p>
        </w:tc>
        <w:tc>
          <w:tcPr>
            <w:tcW w:w="4800" w:type="dxa"/>
            <w:vAlign w:val="bottom"/>
          </w:tcPr>
          <w:p>
            <w:pPr>
              <w:spacing w:after="0"/>
              <w:rPr>
                <w:sz w:val="14"/>
                <w:szCs w:val="14"/>
                <w:color w:val="auto"/>
              </w:rPr>
            </w:pPr>
          </w:p>
        </w:tc>
      </w:tr>
      <w:tr>
        <w:trPr>
          <w:trHeight w:val="316"/>
        </w:trPr>
        <w:tc>
          <w:tcPr>
            <w:tcW w:w="460" w:type="dxa"/>
            <w:vAlign w:val="bottom"/>
          </w:tcPr>
          <w:p>
            <w:pPr>
              <w:jc w:val="right"/>
              <w:ind w:right="57"/>
              <w:spacing w:after="0"/>
              <w:rPr>
                <w:sz w:val="20"/>
                <w:szCs w:val="20"/>
                <w:color w:val="auto"/>
              </w:rPr>
            </w:pPr>
            <w:r>
              <w:rPr>
                <w:rFonts w:ascii="Arial" w:cs="Arial" w:eastAsia="Arial" w:hAnsi="Arial"/>
                <w:sz w:val="18"/>
                <w:szCs w:val="18"/>
                <w:color w:val="auto"/>
              </w:rPr>
              <w:t>5.1</w:t>
            </w:r>
          </w:p>
        </w:tc>
        <w:tc>
          <w:tcPr>
            <w:tcW w:w="260" w:type="dxa"/>
            <w:vAlign w:val="bottom"/>
          </w:tcPr>
          <w:p>
            <w:pPr>
              <w:spacing w:after="0"/>
              <w:rPr>
                <w:sz w:val="24"/>
                <w:szCs w:val="24"/>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rPr>
              <w:t>Opinion of Appleby (Bermuda) Limited</w:t>
            </w:r>
          </w:p>
        </w:tc>
      </w:tr>
      <w:tr>
        <w:trPr>
          <w:trHeight w:val="318"/>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10.1</w:t>
            </w:r>
          </w:p>
        </w:tc>
        <w:tc>
          <w:tcPr>
            <w:tcW w:w="260" w:type="dxa"/>
            <w:vAlign w:val="bottom"/>
          </w:tcPr>
          <w:p>
            <w:pPr>
              <w:spacing w:after="0"/>
              <w:rPr>
                <w:sz w:val="24"/>
                <w:szCs w:val="24"/>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w w:val="87"/>
              </w:rPr>
              <w:t>2000 Employee Stock Purchase Plan (as amended and restated as of October 31, 2011), incorporated by reference to Exhibit 10.1 of the registrant’s</w:t>
            </w:r>
          </w:p>
        </w:tc>
      </w:tr>
      <w:tr>
        <w:trPr>
          <w:trHeight w:val="222"/>
        </w:trPr>
        <w:tc>
          <w:tcPr>
            <w:tcW w:w="4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rPr>
              <w:t>Quarterly Report on Form 10-Q for the period ended October 29, 2011 as filed on December 2, 2011</w:t>
            </w:r>
          </w:p>
        </w:tc>
      </w:tr>
      <w:tr>
        <w:trPr>
          <w:trHeight w:val="318"/>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10.2</w:t>
            </w:r>
          </w:p>
        </w:tc>
        <w:tc>
          <w:tcPr>
            <w:tcW w:w="260" w:type="dxa"/>
            <w:vAlign w:val="bottom"/>
          </w:tcPr>
          <w:p>
            <w:pPr>
              <w:spacing w:after="0"/>
              <w:rPr>
                <w:sz w:val="24"/>
                <w:szCs w:val="24"/>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w w:val="89"/>
              </w:rPr>
              <w:t>2000 Employee Stock Purchase Plan Form of Subscription Agreement, incorporated by reference to Exhibit 10.4 of the registrant’s Annual Report</w:t>
            </w:r>
          </w:p>
        </w:tc>
      </w:tr>
      <w:tr>
        <w:trPr>
          <w:trHeight w:val="222"/>
        </w:trPr>
        <w:tc>
          <w:tcPr>
            <w:tcW w:w="4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rPr>
              <w:t>on Form 10-K for the period ended February 2, 2013 as filed on March 29, 2013</w:t>
            </w:r>
          </w:p>
        </w:tc>
      </w:tr>
      <w:tr>
        <w:trPr>
          <w:trHeight w:val="324"/>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23.1</w:t>
            </w:r>
          </w:p>
        </w:tc>
        <w:tc>
          <w:tcPr>
            <w:tcW w:w="260" w:type="dxa"/>
            <w:vAlign w:val="bottom"/>
          </w:tcPr>
          <w:p>
            <w:pPr>
              <w:spacing w:after="0"/>
              <w:rPr>
                <w:sz w:val="24"/>
                <w:szCs w:val="24"/>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r>
      <w:tr>
        <w:trPr>
          <w:trHeight w:val="324"/>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23.2</w:t>
            </w:r>
          </w:p>
        </w:tc>
        <w:tc>
          <w:tcPr>
            <w:tcW w:w="260" w:type="dxa"/>
            <w:vAlign w:val="bottom"/>
          </w:tcPr>
          <w:p>
            <w:pPr>
              <w:spacing w:after="0"/>
              <w:rPr>
                <w:sz w:val="24"/>
                <w:szCs w:val="24"/>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rPr>
              <w:t>Consent of Appleby (Bermuda) Limited (included in Exhibit 5.1)</w:t>
            </w:r>
          </w:p>
        </w:tc>
      </w:tr>
      <w:tr>
        <w:trPr>
          <w:trHeight w:val="324"/>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24.1</w:t>
            </w:r>
          </w:p>
        </w:tc>
        <w:tc>
          <w:tcPr>
            <w:tcW w:w="260" w:type="dxa"/>
            <w:vAlign w:val="bottom"/>
          </w:tcPr>
          <w:p>
            <w:pPr>
              <w:spacing w:after="0"/>
              <w:rPr>
                <w:sz w:val="24"/>
                <w:szCs w:val="24"/>
                <w:color w:val="auto"/>
              </w:rPr>
            </w:pPr>
          </w:p>
        </w:tc>
        <w:tc>
          <w:tcPr>
            <w:tcW w:w="10660" w:type="dxa"/>
            <w:vAlign w:val="bottom"/>
            <w:gridSpan w:val="3"/>
          </w:tcPr>
          <w:p>
            <w:pPr>
              <w:ind w:left="300"/>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420"/>
          </w:cols>
          <w:pgMar w:left="240" w:top="280" w:right="239" w:bottom="1440" w:gutter="0" w:footer="0" w:header="0"/>
        </w:sectPr>
      </w:pPr>
    </w:p>
    <w:bookmarkStart w:id="4" w:name="page5"/>
    <w:bookmarkEnd w:id="4"/>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w:t>
      </w:r>
      <w:r>
        <w:rPr>
          <w:sz w:val="20"/>
          <w:szCs w:val="20"/>
          <w:color w:val="auto"/>
        </w:rPr>
        <w:tab/>
      </w:r>
      <w:r>
        <w:rPr>
          <w:rFonts w:ascii="Arial" w:cs="Arial" w:eastAsia="Arial" w:hAnsi="Arial"/>
          <w:sz w:val="15"/>
          <w:szCs w:val="15"/>
          <w:b w:val="1"/>
          <w:bCs w:val="1"/>
          <w:color w:val="auto"/>
        </w:rPr>
        <w:t>Undertakings.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Registrant hereby undertakes:</w:t>
      </w:r>
    </w:p>
    <w:p>
      <w:pPr>
        <w:spacing w:after="0" w:line="171" w:lineRule="exact"/>
        <w:rPr>
          <w:sz w:val="20"/>
          <w:szCs w:val="20"/>
          <w:color w:val="auto"/>
        </w:rPr>
      </w:pPr>
    </w:p>
    <w:p>
      <w:pPr>
        <w:ind w:left="720" w:hanging="256"/>
        <w:spacing w:after="0"/>
        <w:tabs>
          <w:tab w:leader="none" w:pos="7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71"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(i) to include any prospectus required by Section 10(a)(3) of the Securities Act;</w:t>
      </w:r>
    </w:p>
    <w:p>
      <w:pPr>
        <w:spacing w:after="0" w:line="171" w:lineRule="exact"/>
        <w:rPr>
          <w:sz w:val="20"/>
          <w:szCs w:val="20"/>
          <w:color w:val="auto"/>
        </w:rPr>
      </w:pPr>
    </w:p>
    <w:p>
      <w:pPr>
        <w:ind w:right="20" w:firstLine="464"/>
        <w:spacing w:after="0" w:line="291" w:lineRule="auto"/>
        <w:tabs>
          <w:tab w:leader="none" w:pos="715" w:val="left"/>
        </w:tabs>
        <w:numPr>
          <w:ilvl w:val="0"/>
          <w:numId w:val="4"/>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percent change in the maximum aggregate offering price set forth in the “Calculation of Registration Fee” table in the effective registration statement;</w:t>
      </w:r>
    </w:p>
    <w:p>
      <w:pPr>
        <w:spacing w:after="0" w:line="120" w:lineRule="exact"/>
        <w:rPr>
          <w:rFonts w:ascii="Arial" w:cs="Arial" w:eastAsia="Arial" w:hAnsi="Arial"/>
          <w:sz w:val="16"/>
          <w:szCs w:val="16"/>
          <w:color w:val="auto"/>
        </w:rPr>
      </w:pPr>
    </w:p>
    <w:p>
      <w:pPr>
        <w:ind w:right="420" w:firstLine="464"/>
        <w:spacing w:after="0" w:line="268" w:lineRule="auto"/>
        <w:tabs>
          <w:tab w:leader="none" w:pos="764"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the information in this Registration Statement;</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i w:val="1"/>
          <w:iCs w:val="1"/>
          <w:color w:val="auto"/>
        </w:rPr>
        <w:t xml:space="preserve">provided, however, </w:t>
      </w:r>
      <w:r>
        <w:rPr>
          <w:rFonts w:ascii="Arial" w:cs="Arial" w:eastAsia="Arial" w:hAnsi="Arial"/>
          <w:sz w:val="18"/>
          <w:szCs w:val="18"/>
          <w:color w:val="auto"/>
        </w:rPr>
        <w:t>that paragraphs (a)(1)(i) and (a)(1)(ii) above do not apply if the information required to be included in a post-effective amendment by</w:t>
      </w:r>
      <w:r>
        <w:rPr>
          <w:rFonts w:ascii="Arial" w:cs="Arial" w:eastAsia="Arial" w:hAnsi="Arial"/>
          <w:sz w:val="18"/>
          <w:szCs w:val="18"/>
          <w:i w:val="1"/>
          <w:iCs w:val="1"/>
          <w:color w:val="auto"/>
        </w:rPr>
        <w:t xml:space="preserve"> </w:t>
      </w:r>
      <w:r>
        <w:rPr>
          <w:rFonts w:ascii="Arial" w:cs="Arial" w:eastAsia="Arial" w:hAnsi="Arial"/>
          <w:sz w:val="18"/>
          <w:szCs w:val="18"/>
          <w:color w:val="auto"/>
        </w:rPr>
        <w:t>those paragraphs is contained in periodic reports filed with or furnished to the Commission by Registrant pursuant to Section 13 or Section 15(d) of the Exchange Act that are incorporated by reference in this Registration Statement.</w:t>
      </w:r>
    </w:p>
    <w:p>
      <w:pPr>
        <w:spacing w:after="0" w:line="140" w:lineRule="exact"/>
        <w:rPr>
          <w:sz w:val="20"/>
          <w:szCs w:val="20"/>
          <w:color w:val="auto"/>
        </w:rPr>
      </w:pPr>
    </w:p>
    <w:p>
      <w:pPr>
        <w:ind w:right="340" w:firstLine="464"/>
        <w:spacing w:after="0" w:line="370" w:lineRule="auto"/>
        <w:tabs>
          <w:tab w:leader="none" w:pos="705" w:val="left"/>
        </w:tabs>
        <w:numPr>
          <w:ilvl w:val="1"/>
          <w:numId w:val="5"/>
        </w:numPr>
        <w:rPr>
          <w:rFonts w:ascii="Arial" w:cs="Arial" w:eastAsia="Arial" w:hAnsi="Arial"/>
          <w:sz w:val="15"/>
          <w:szCs w:val="15"/>
          <w:color w:val="auto"/>
        </w:rPr>
      </w:pPr>
      <w:r>
        <w:rPr>
          <w:rFonts w:ascii="Arial" w:cs="Arial" w:eastAsia="Arial" w:hAnsi="Arial"/>
          <w:sz w:val="15"/>
          <w:szCs w:val="15"/>
          <w:color w:val="auto"/>
        </w:rPr>
        <w:t xml:space="preserve">That, for the purpose of determining any liability under the Securities Act, each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5"/>
          <w:szCs w:val="15"/>
          <w:i w:val="1"/>
          <w:iCs w:val="1"/>
          <w:color w:val="auto"/>
        </w:rPr>
        <w:t>bona fide</w:t>
      </w:r>
      <w:r>
        <w:rPr>
          <w:rFonts w:ascii="Arial" w:cs="Arial" w:eastAsia="Arial" w:hAnsi="Arial"/>
          <w:sz w:val="15"/>
          <w:szCs w:val="15"/>
          <w:color w:val="auto"/>
        </w:rPr>
        <w:t xml:space="preserve"> offering thereof.</w:t>
      </w:r>
    </w:p>
    <w:p>
      <w:pPr>
        <w:spacing w:after="0" w:line="62" w:lineRule="exact"/>
        <w:rPr>
          <w:rFonts w:ascii="Arial" w:cs="Arial" w:eastAsia="Arial" w:hAnsi="Arial"/>
          <w:sz w:val="15"/>
          <w:szCs w:val="15"/>
          <w:color w:val="auto"/>
        </w:rPr>
      </w:pPr>
    </w:p>
    <w:p>
      <w:pPr>
        <w:ind w:right="180" w:firstLine="464"/>
        <w:spacing w:after="0" w:line="268" w:lineRule="auto"/>
        <w:tabs>
          <w:tab w:leader="none" w:pos="705"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31" w:lineRule="exact"/>
        <w:rPr>
          <w:rFonts w:ascii="Arial" w:cs="Arial" w:eastAsia="Arial" w:hAnsi="Arial"/>
          <w:sz w:val="18"/>
          <w:szCs w:val="18"/>
          <w:color w:val="auto"/>
        </w:rPr>
      </w:pPr>
    </w:p>
    <w:p>
      <w:pPr>
        <w:jc w:val="both"/>
        <w:ind w:firstLine="8"/>
        <w:spacing w:after="0" w:line="298" w:lineRule="auto"/>
        <w:tabs>
          <w:tab w:leader="none" w:pos="249" w:val="left"/>
        </w:tabs>
        <w:numPr>
          <w:ilvl w:val="0"/>
          <w:numId w:val="6"/>
        </w:numPr>
        <w:rPr>
          <w:rFonts w:ascii="Arial" w:cs="Arial" w:eastAsia="Arial" w:hAnsi="Arial"/>
          <w:sz w:val="16"/>
          <w:szCs w:val="16"/>
          <w:color w:val="auto"/>
        </w:rPr>
      </w:pPr>
      <w:r>
        <w:rPr>
          <w:rFonts w:ascii="Arial" w:cs="Arial" w:eastAsia="Arial" w:hAnsi="Arial"/>
          <w:sz w:val="16"/>
          <w:szCs w:val="16"/>
          <w:color w:val="auto"/>
        </w:rPr>
        <w:t xml:space="preserve">The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w:t>
      </w:r>
    </w:p>
    <w:p>
      <w:pPr>
        <w:spacing w:after="0" w:line="112" w:lineRule="exact"/>
        <w:rPr>
          <w:rFonts w:ascii="Arial" w:cs="Arial" w:eastAsia="Arial" w:hAnsi="Arial"/>
          <w:sz w:val="16"/>
          <w:szCs w:val="16"/>
          <w:color w:val="auto"/>
        </w:rPr>
      </w:pPr>
    </w:p>
    <w:p>
      <w:pPr>
        <w:ind w:firstLine="8"/>
        <w:spacing w:after="0" w:line="290" w:lineRule="auto"/>
        <w:tabs>
          <w:tab w:leader="none" w:pos="239" w:val="left"/>
        </w:tabs>
        <w:numPr>
          <w:ilvl w:val="0"/>
          <w:numId w:val="6"/>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ectPr>
          <w:pgSz w:w="11900" w:h="16838" w:orient="portrait"/>
          <w:cols w:equalWidth="0" w:num="1">
            <w:col w:w="11380"/>
          </w:cols>
          <w:pgMar w:left="240" w:top="274" w:right="279" w:bottom="1440" w:gutter="0" w:footer="0" w:header="0"/>
        </w:sectPr>
      </w:pPr>
    </w:p>
    <w:bookmarkStart w:id="5" w:name="page6"/>
    <w:bookmarkEnd w:id="5"/>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29</w:t>
      </w:r>
      <w:r>
        <w:rPr>
          <w:rFonts w:ascii="Arial" w:cs="Arial" w:eastAsia="Arial" w:hAnsi="Arial"/>
          <w:sz w:val="11"/>
          <w:szCs w:val="11"/>
          <w:color w:val="auto"/>
        </w:rPr>
        <w:t>th</w:t>
      </w:r>
      <w:r>
        <w:rPr>
          <w:rFonts w:ascii="Arial" w:cs="Arial" w:eastAsia="Arial" w:hAnsi="Arial"/>
          <w:sz w:val="18"/>
          <w:szCs w:val="18"/>
          <w:color w:val="auto"/>
        </w:rPr>
        <w:t xml:space="preserve"> day of March 2013.</w:t>
      </w:r>
    </w:p>
    <w:p>
      <w:pPr>
        <w:spacing w:after="0" w:line="18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10795</wp:posOffset>
            </wp:positionV>
            <wp:extent cx="268414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7200"/>
        <w:spacing w:after="0"/>
        <w:rPr>
          <w:sz w:val="20"/>
          <w:szCs w:val="20"/>
          <w:color w:val="auto"/>
        </w:rPr>
      </w:pPr>
      <w:r>
        <w:rPr>
          <w:rFonts w:ascii="Arial" w:cs="Arial" w:eastAsia="Arial" w:hAnsi="Arial"/>
          <w:sz w:val="18"/>
          <w:szCs w:val="18"/>
          <w:color w:val="auto"/>
        </w:rPr>
        <w:t>Name:  Dr. Sehat Sutardja</w:t>
      </w:r>
    </w:p>
    <w:p>
      <w:pPr>
        <w:spacing w:after="0" w:line="15" w:lineRule="exact"/>
        <w:rPr>
          <w:sz w:val="20"/>
          <w:szCs w:val="20"/>
          <w:color w:val="auto"/>
        </w:rPr>
      </w:pPr>
    </w:p>
    <w:p>
      <w:pPr>
        <w:ind w:left="7200"/>
        <w:spacing w:after="0"/>
        <w:tabs>
          <w:tab w:leader="none" w:pos="776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8"/>
          <w:szCs w:val="18"/>
          <w:i w:val="1"/>
          <w:iCs w:val="1"/>
          <w:color w:val="auto"/>
        </w:rPr>
        <w:t>President and Chief Executive Officer</w:t>
      </w:r>
    </w:p>
    <w:p>
      <w:pPr>
        <w:spacing w:after="0" w:line="3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Dr. Sehat Sutardja and Brad D. Feller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1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Signature</w:t>
            </w:r>
          </w:p>
        </w:tc>
        <w:tc>
          <w:tcPr>
            <w:tcW w:w="184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2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Title</w:t>
            </w:r>
          </w:p>
        </w:tc>
        <w:tc>
          <w:tcPr>
            <w:tcW w:w="2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Date</w:t>
            </w:r>
          </w:p>
        </w:tc>
        <w:tc>
          <w:tcPr>
            <w:tcW w:w="400" w:type="dxa"/>
            <w:vAlign w:val="bottom"/>
          </w:tcPr>
          <w:p>
            <w:pPr>
              <w:spacing w:after="0"/>
              <w:rPr>
                <w:sz w:val="14"/>
                <w:szCs w:val="14"/>
                <w:color w:val="auto"/>
              </w:rPr>
            </w:pPr>
          </w:p>
        </w:tc>
      </w:tr>
      <w:tr>
        <w:trPr>
          <w:trHeight w:val="424"/>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Sehat Sutardja</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rPr>
              <w:t>Chairman of the Board, President and Chief Executive Officer</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3"/>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6"/>
              </w:rPr>
              <w:t>Dr. Sehat Sutardja</w:t>
            </w:r>
          </w:p>
        </w:tc>
        <w:tc>
          <w:tcPr>
            <w:tcW w:w="540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Principal Executive Officer</w:t>
            </w:r>
            <w:r>
              <w:rPr>
                <w:rFonts w:ascii="Arial" w:cs="Arial" w:eastAsia="Arial" w:hAnsi="Arial"/>
                <w:sz w:val="18"/>
                <w:szCs w:val="18"/>
                <w:color w:val="auto"/>
              </w:rPr>
              <w:t>)</w:t>
            </w: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r>
        <w:trPr>
          <w:trHeight w:val="432"/>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Brad D. Feller</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rPr>
              <w:t>Interim Chief Financial Officer (</w:t>
            </w:r>
            <w:r>
              <w:rPr>
                <w:rFonts w:ascii="Arial" w:cs="Arial" w:eastAsia="Arial" w:hAnsi="Arial"/>
                <w:sz w:val="18"/>
                <w:szCs w:val="18"/>
                <w:i w:val="1"/>
                <w:iCs w:val="1"/>
                <w:color w:val="auto"/>
              </w:rPr>
              <w:t>Principal Financial and Accounting</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3"/>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0"/>
              </w:rPr>
              <w:t>Brad D. Feller</w:t>
            </w:r>
          </w:p>
        </w:tc>
        <w:tc>
          <w:tcPr>
            <w:tcW w:w="5400" w:type="dxa"/>
            <w:vAlign w:val="bottom"/>
            <w:gridSpan w:val="3"/>
          </w:tcPr>
          <w:p>
            <w:pPr>
              <w:ind w:left="320"/>
              <w:spacing w:after="0" w:line="202" w:lineRule="exact"/>
              <w:rPr>
                <w:sz w:val="20"/>
                <w:szCs w:val="20"/>
                <w:color w:val="auto"/>
              </w:rPr>
            </w:pPr>
            <w:r>
              <w:rPr>
                <w:rFonts w:ascii="Arial" w:cs="Arial" w:eastAsia="Arial" w:hAnsi="Arial"/>
                <w:sz w:val="18"/>
                <w:szCs w:val="18"/>
                <w:i w:val="1"/>
                <w:iCs w:val="1"/>
                <w:color w:val="auto"/>
              </w:rPr>
              <w:t>Officer)</w:t>
            </w: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r>
        <w:trPr>
          <w:trHeight w:val="432"/>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Pantas Sutardja</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w w:val="94"/>
              </w:rPr>
              <w:t>Director, Vice President, Chief Technology Officer and Chief Research</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3"/>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6"/>
              </w:rPr>
              <w:t>Dr. Pantas Sutardja</w:t>
            </w:r>
          </w:p>
        </w:tc>
        <w:tc>
          <w:tcPr>
            <w:tcW w:w="5400" w:type="dxa"/>
            <w:vAlign w:val="bottom"/>
            <w:gridSpan w:val="3"/>
          </w:tcPr>
          <w:p>
            <w:pPr>
              <w:ind w:left="320"/>
              <w:spacing w:after="0" w:line="202" w:lineRule="exact"/>
              <w:rPr>
                <w:sz w:val="20"/>
                <w:szCs w:val="20"/>
                <w:color w:val="auto"/>
              </w:rPr>
            </w:pPr>
            <w:r>
              <w:rPr>
                <w:rFonts w:ascii="Arial" w:cs="Arial" w:eastAsia="Arial" w:hAnsi="Arial"/>
                <w:sz w:val="18"/>
                <w:szCs w:val="18"/>
                <w:color w:val="auto"/>
              </w:rPr>
              <w:t>and Development Officer</w:t>
            </w: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r>
        <w:trPr>
          <w:trHeight w:val="433"/>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Juergen Gromer</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rPr>
              <w:t>Director</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2"/>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7"/>
              </w:rPr>
              <w:t>Dr. Juergen Gromer</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r>
        <w:trPr>
          <w:trHeight w:val="433"/>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John G. Kassakian</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rPr>
              <w:t>Director</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2"/>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6"/>
              </w:rPr>
              <w:t>Dr. John G. Kassakian</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r>
        <w:trPr>
          <w:trHeight w:val="433"/>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Arturo Krueger</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rPr>
              <w:t>Director</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2"/>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1"/>
              </w:rPr>
              <w:t>Arturo Krueger</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r>
        <w:trPr>
          <w:trHeight w:val="433"/>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Randhir Thakur</w:t>
            </w:r>
          </w:p>
        </w:tc>
        <w:tc>
          <w:tcPr>
            <w:tcW w:w="5400" w:type="dxa"/>
            <w:vAlign w:val="bottom"/>
            <w:gridSpan w:val="3"/>
          </w:tcPr>
          <w:p>
            <w:pPr>
              <w:ind w:left="100"/>
              <w:spacing w:after="0"/>
              <w:rPr>
                <w:sz w:val="20"/>
                <w:szCs w:val="20"/>
                <w:color w:val="auto"/>
              </w:rPr>
            </w:pPr>
            <w:r>
              <w:rPr>
                <w:rFonts w:ascii="Arial" w:cs="Arial" w:eastAsia="Arial" w:hAnsi="Arial"/>
                <w:sz w:val="18"/>
                <w:szCs w:val="18"/>
                <w:color w:val="auto"/>
              </w:rPr>
              <w:t>Director</w:t>
            </w:r>
          </w:p>
        </w:tc>
        <w:tc>
          <w:tcPr>
            <w:tcW w:w="1420" w:type="dxa"/>
            <w:vAlign w:val="bottom"/>
            <w:gridSpan w:val="3"/>
          </w:tcPr>
          <w:p>
            <w:pPr>
              <w:jc w:val="center"/>
              <w:ind w:left="232"/>
              <w:spacing w:after="0"/>
              <w:rPr>
                <w:sz w:val="20"/>
                <w:szCs w:val="20"/>
                <w:color w:val="auto"/>
              </w:rPr>
            </w:pPr>
            <w:r>
              <w:rPr>
                <w:rFonts w:ascii="Arial" w:cs="Arial" w:eastAsia="Arial" w:hAnsi="Arial"/>
                <w:sz w:val="18"/>
                <w:szCs w:val="18"/>
                <w:color w:val="auto"/>
                <w:w w:val="87"/>
              </w:rPr>
              <w:t>March 29, 2013</w:t>
            </w:r>
          </w:p>
        </w:tc>
      </w:tr>
      <w:tr>
        <w:trPr>
          <w:trHeight w:val="222"/>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0"/>
              </w:rPr>
              <w:t>Dr. Randhir Thakur</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r>
    </w:tbl>
    <w:p>
      <w:pPr>
        <w:sectPr>
          <w:pgSz w:w="11900" w:h="16838" w:orient="portrait"/>
          <w:cols w:equalWidth="0" w:num="1">
            <w:col w:w="11400"/>
          </w:cols>
          <w:pgMar w:left="240" w:top="274" w:right="259" w:bottom="1440" w:gutter="0" w:footer="0" w:header="0"/>
        </w:sectPr>
      </w:pPr>
    </w:p>
    <w:bookmarkStart w:id="6" w:name="page7"/>
    <w:bookmarkEnd w:id="6"/>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28"/>
        </w:trPr>
        <w:tc>
          <w:tcPr>
            <w:tcW w:w="460" w:type="dxa"/>
            <w:vAlign w:val="bottom"/>
          </w:tcPr>
          <w:p>
            <w:pPr>
              <w:spacing w:after="0"/>
              <w:rPr>
                <w:sz w:val="19"/>
                <w:szCs w:val="19"/>
                <w:color w:val="auto"/>
              </w:rPr>
            </w:pPr>
          </w:p>
        </w:tc>
        <w:tc>
          <w:tcPr>
            <w:tcW w:w="10920" w:type="dxa"/>
            <w:vAlign w:val="bottom"/>
            <w:gridSpan w:val="3"/>
          </w:tcPr>
          <w:p>
            <w:pPr>
              <w:ind w:left="4580"/>
              <w:spacing w:after="0"/>
              <w:rPr>
                <w:sz w:val="20"/>
                <w:szCs w:val="20"/>
                <w:color w:val="auto"/>
              </w:rPr>
            </w:pPr>
            <w:r>
              <w:rPr>
                <w:rFonts w:ascii="Arial" w:cs="Arial" w:eastAsia="Arial" w:hAnsi="Arial"/>
                <w:sz w:val="18"/>
                <w:szCs w:val="18"/>
                <w:b w:val="1"/>
                <w:bCs w:val="1"/>
                <w:color w:val="auto"/>
              </w:rPr>
              <w:t>EXHIBIT INDEX</w:t>
            </w:r>
          </w:p>
        </w:tc>
      </w:tr>
      <w:tr>
        <w:trPr>
          <w:trHeight w:val="340"/>
        </w:trPr>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800" w:type="dxa"/>
            <w:vAlign w:val="bottom"/>
          </w:tcPr>
          <w:p>
            <w:pPr>
              <w:spacing w:after="0"/>
              <w:rPr>
                <w:sz w:val="24"/>
                <w:szCs w:val="24"/>
                <w:color w:val="auto"/>
              </w:rPr>
            </w:pPr>
          </w:p>
        </w:tc>
      </w:tr>
      <w:tr>
        <w:trPr>
          <w:trHeight w:val="161"/>
        </w:trPr>
        <w:tc>
          <w:tcPr>
            <w:tcW w:w="460" w:type="dxa"/>
            <w:vAlign w:val="bottom"/>
            <w:tcBorders>
              <w:bottom w:val="single" w:sz="8" w:color="auto"/>
            </w:tcBorders>
          </w:tcPr>
          <w:p>
            <w:pPr>
              <w:jc w:val="right"/>
              <w:ind w:right="37"/>
              <w:spacing w:after="0"/>
              <w:rPr>
                <w:sz w:val="20"/>
                <w:szCs w:val="20"/>
                <w:color w:val="auto"/>
              </w:rPr>
            </w:pPr>
            <w:r>
              <w:rPr>
                <w:rFonts w:ascii="Arial" w:cs="Arial" w:eastAsia="Arial" w:hAnsi="Arial"/>
                <w:sz w:val="14"/>
                <w:szCs w:val="14"/>
                <w:b w:val="1"/>
                <w:bCs w:val="1"/>
                <w:color w:val="auto"/>
              </w:rPr>
              <w:t>No.</w:t>
            </w:r>
          </w:p>
        </w:tc>
        <w:tc>
          <w:tcPr>
            <w:tcW w:w="5400" w:type="dxa"/>
            <w:vAlign w:val="bottom"/>
          </w:tcPr>
          <w:p>
            <w:pPr>
              <w:spacing w:after="0"/>
              <w:rPr>
                <w:sz w:val="14"/>
                <w:szCs w:val="14"/>
                <w:color w:val="auto"/>
              </w:rPr>
            </w:pPr>
          </w:p>
        </w:tc>
        <w:tc>
          <w:tcPr>
            <w:tcW w:w="7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8"/>
              </w:rPr>
              <w:t>Description</w:t>
            </w:r>
          </w:p>
        </w:tc>
        <w:tc>
          <w:tcPr>
            <w:tcW w:w="4800" w:type="dxa"/>
            <w:vAlign w:val="bottom"/>
          </w:tcPr>
          <w:p>
            <w:pPr>
              <w:spacing w:after="0"/>
              <w:rPr>
                <w:sz w:val="14"/>
                <w:szCs w:val="14"/>
                <w:color w:val="auto"/>
              </w:rPr>
            </w:pPr>
          </w:p>
        </w:tc>
      </w:tr>
      <w:tr>
        <w:trPr>
          <w:trHeight w:val="316"/>
        </w:trPr>
        <w:tc>
          <w:tcPr>
            <w:tcW w:w="460" w:type="dxa"/>
            <w:vAlign w:val="bottom"/>
          </w:tcPr>
          <w:p>
            <w:pPr>
              <w:jc w:val="right"/>
              <w:ind w:right="57"/>
              <w:spacing w:after="0"/>
              <w:rPr>
                <w:sz w:val="20"/>
                <w:szCs w:val="20"/>
                <w:color w:val="auto"/>
              </w:rPr>
            </w:pPr>
            <w:r>
              <w:rPr>
                <w:rFonts w:ascii="Arial" w:cs="Arial" w:eastAsia="Arial" w:hAnsi="Arial"/>
                <w:sz w:val="18"/>
                <w:szCs w:val="18"/>
                <w:color w:val="auto"/>
              </w:rPr>
              <w:t>5.1</w:t>
            </w: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rPr>
              <w:t>Opinion of Appleby (Bermuda) Limited</w:t>
            </w:r>
          </w:p>
        </w:tc>
      </w:tr>
      <w:tr>
        <w:trPr>
          <w:trHeight w:val="318"/>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10.1</w:t>
            </w: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w w:val="87"/>
              </w:rPr>
              <w:t>2000 Employee Stock Purchase Plan (as amended and restated as of October 31, 2011), incorporated by reference to Exhibit 10.1 of the registrant’s</w:t>
            </w:r>
          </w:p>
        </w:tc>
      </w:tr>
      <w:tr>
        <w:trPr>
          <w:trHeight w:val="222"/>
        </w:trPr>
        <w:tc>
          <w:tcPr>
            <w:tcW w:w="460" w:type="dxa"/>
            <w:vAlign w:val="bottom"/>
          </w:tcPr>
          <w:p>
            <w:pPr>
              <w:spacing w:after="0"/>
              <w:rPr>
                <w:sz w:val="19"/>
                <w:szCs w:val="19"/>
                <w:color w:val="auto"/>
              </w:rPr>
            </w:pP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rPr>
              <w:t>Quarterly Report on Form 10-Q for the period ended October 29, 2011 as filed on December 2, 2011</w:t>
            </w:r>
          </w:p>
        </w:tc>
      </w:tr>
      <w:tr>
        <w:trPr>
          <w:trHeight w:val="318"/>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10.2</w:t>
            </w: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w w:val="89"/>
              </w:rPr>
              <w:t>2000 Employee Stock Purchase Plan Form of Subscription Agreement, incorporated by reference to Exhibit 10.4 of the registrant’s Annual Report</w:t>
            </w:r>
          </w:p>
        </w:tc>
      </w:tr>
      <w:tr>
        <w:trPr>
          <w:trHeight w:val="222"/>
        </w:trPr>
        <w:tc>
          <w:tcPr>
            <w:tcW w:w="460" w:type="dxa"/>
            <w:vAlign w:val="bottom"/>
          </w:tcPr>
          <w:p>
            <w:pPr>
              <w:spacing w:after="0"/>
              <w:rPr>
                <w:sz w:val="19"/>
                <w:szCs w:val="19"/>
                <w:color w:val="auto"/>
              </w:rPr>
            </w:pP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rPr>
              <w:t>on Form 10-K for the period ended February 2, 2013 as filed on March 29, 2013</w:t>
            </w:r>
          </w:p>
        </w:tc>
      </w:tr>
      <w:tr>
        <w:trPr>
          <w:trHeight w:val="324"/>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23.1</w:t>
            </w: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r>
      <w:tr>
        <w:trPr>
          <w:trHeight w:val="324"/>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23.2</w:t>
            </w: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rPr>
              <w:t>Consent of Appleby (Bermuda) Limited (included in Exhibit 5.1)</w:t>
            </w:r>
          </w:p>
        </w:tc>
      </w:tr>
      <w:tr>
        <w:trPr>
          <w:trHeight w:val="324"/>
        </w:trPr>
        <w:tc>
          <w:tcPr>
            <w:tcW w:w="460" w:type="dxa"/>
            <w:vAlign w:val="bottom"/>
          </w:tcPr>
          <w:p>
            <w:pPr>
              <w:jc w:val="right"/>
              <w:ind w:right="57"/>
              <w:spacing w:after="0"/>
              <w:rPr>
                <w:sz w:val="20"/>
                <w:szCs w:val="20"/>
                <w:color w:val="auto"/>
              </w:rPr>
            </w:pPr>
            <w:r>
              <w:rPr>
                <w:rFonts w:ascii="Arial" w:cs="Arial" w:eastAsia="Arial" w:hAnsi="Arial"/>
                <w:sz w:val="18"/>
                <w:szCs w:val="18"/>
                <w:color w:val="auto"/>
                <w:w w:val="85"/>
              </w:rPr>
              <w:t>24.1</w:t>
            </w:r>
          </w:p>
        </w:tc>
        <w:tc>
          <w:tcPr>
            <w:tcW w:w="10920" w:type="dxa"/>
            <w:vAlign w:val="bottom"/>
            <w:gridSpan w:val="3"/>
          </w:tcPr>
          <w:p>
            <w:pPr>
              <w:ind w:left="560"/>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380"/>
          </w:cols>
          <w:pgMar w:left="240" w:top="274" w:right="279" w:bottom="144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5780" w:type="dxa"/>
            <w:vAlign w:val="bottom"/>
          </w:tcPr>
          <w:p>
            <w:pPr>
              <w:spacing w:after="0"/>
              <w:rPr>
                <w:sz w:val="19"/>
                <w:szCs w:val="19"/>
                <w:color w:val="auto"/>
              </w:rPr>
            </w:pP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12"/>
        </w:trPr>
        <w:tc>
          <w:tcPr>
            <w:tcW w:w="5780" w:type="dxa"/>
            <w:vAlign w:val="bottom"/>
          </w:tcPr>
          <w:p>
            <w:pPr>
              <w:spacing w:after="0"/>
              <w:rPr>
                <w:sz w:val="24"/>
                <w:szCs w:val="24"/>
                <w:color w:val="auto"/>
              </w:rPr>
            </w:pP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22"/>
        </w:trPr>
        <w:tc>
          <w:tcPr>
            <w:tcW w:w="5780" w:type="dxa"/>
            <w:vAlign w:val="bottom"/>
          </w:tcPr>
          <w:p>
            <w:pPr>
              <w:spacing w:after="0"/>
              <w:rPr>
                <w:sz w:val="19"/>
                <w:szCs w:val="19"/>
                <w:color w:val="auto"/>
              </w:rPr>
            </w:pPr>
          </w:p>
        </w:tc>
        <w:tc>
          <w:tcPr>
            <w:tcW w:w="5640" w:type="dxa"/>
            <w:vAlign w:val="bottom"/>
          </w:tcPr>
          <w:p>
            <w:pPr>
              <w:jc w:val="right"/>
              <w:spacing w:after="0"/>
              <w:rPr>
                <w:sz w:val="20"/>
                <w:szCs w:val="20"/>
                <w:color w:val="auto"/>
              </w:rPr>
            </w:pPr>
            <w:r>
              <w:rPr>
                <w:rFonts w:ascii="Arial" w:cs="Arial" w:eastAsia="Arial" w:hAnsi="Arial"/>
                <w:sz w:val="18"/>
                <w:szCs w:val="18"/>
                <w:color w:val="auto"/>
              </w:rPr>
              <w:t>adfagundo@applebyglobal.com</w:t>
            </w:r>
          </w:p>
        </w:tc>
        <w:tc>
          <w:tcPr>
            <w:tcW w:w="0" w:type="dxa"/>
            <w:vAlign w:val="bottom"/>
          </w:tcPr>
          <w:p>
            <w:pPr>
              <w:spacing w:after="0"/>
              <w:rPr>
                <w:sz w:val="1"/>
                <w:szCs w:val="1"/>
                <w:color w:val="auto"/>
              </w:rPr>
            </w:pPr>
          </w:p>
        </w:tc>
      </w:tr>
      <w:tr>
        <w:trPr>
          <w:trHeight w:val="420"/>
        </w:trPr>
        <w:tc>
          <w:tcPr>
            <w:tcW w:w="57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16"/>
        </w:trPr>
        <w:tc>
          <w:tcPr>
            <w:tcW w:w="5780" w:type="dxa"/>
            <w:vAlign w:val="bottom"/>
          </w:tcPr>
          <w:p>
            <w:pPr>
              <w:spacing w:after="0"/>
              <w:rPr>
                <w:sz w:val="20"/>
                <w:szCs w:val="20"/>
                <w:color w:val="auto"/>
              </w:rPr>
            </w:pPr>
            <w:r>
              <w:rPr>
                <w:rFonts w:ascii="Arial" w:cs="Arial" w:eastAsia="Arial" w:hAnsi="Arial"/>
                <w:sz w:val="18"/>
                <w:szCs w:val="18"/>
                <w:color w:val="auto"/>
              </w:rPr>
              <w:t>Canon’s Court</w:t>
            </w: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3549</w:t>
            </w:r>
          </w:p>
        </w:tc>
        <w:tc>
          <w:tcPr>
            <w:tcW w:w="0" w:type="dxa"/>
            <w:vAlign w:val="bottom"/>
          </w:tcPr>
          <w:p>
            <w:pPr>
              <w:spacing w:after="0"/>
              <w:rPr>
                <w:sz w:val="1"/>
                <w:szCs w:val="1"/>
                <w:color w:val="auto"/>
              </w:rPr>
            </w:pPr>
          </w:p>
        </w:tc>
      </w:tr>
      <w:tr>
        <w:trPr>
          <w:trHeight w:val="222"/>
        </w:trPr>
        <w:tc>
          <w:tcPr>
            <w:tcW w:w="5780" w:type="dxa"/>
            <w:vAlign w:val="bottom"/>
          </w:tcPr>
          <w:p>
            <w:pPr>
              <w:spacing w:after="0"/>
              <w:rPr>
                <w:sz w:val="20"/>
                <w:szCs w:val="20"/>
                <w:color w:val="auto"/>
              </w:rPr>
            </w:pPr>
            <w:r>
              <w:rPr>
                <w:rFonts w:ascii="Arial" w:cs="Arial" w:eastAsia="Arial" w:hAnsi="Arial"/>
                <w:sz w:val="18"/>
                <w:szCs w:val="18"/>
                <w:color w:val="auto"/>
              </w:rPr>
              <w:t>22 Victoria Street</w:t>
            </w: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3461</w:t>
            </w:r>
          </w:p>
        </w:tc>
        <w:tc>
          <w:tcPr>
            <w:tcW w:w="0" w:type="dxa"/>
            <w:vAlign w:val="bottom"/>
          </w:tcPr>
          <w:p>
            <w:pPr>
              <w:spacing w:after="0"/>
              <w:rPr>
                <w:sz w:val="1"/>
                <w:szCs w:val="1"/>
                <w:color w:val="auto"/>
              </w:rPr>
            </w:pPr>
          </w:p>
        </w:tc>
      </w:tr>
      <w:tr>
        <w:trPr>
          <w:trHeight w:val="216"/>
        </w:trPr>
        <w:tc>
          <w:tcPr>
            <w:tcW w:w="5780" w:type="dxa"/>
            <w:vAlign w:val="bottom"/>
          </w:tcPr>
          <w:p>
            <w:pPr>
              <w:spacing w:after="0"/>
              <w:rPr>
                <w:sz w:val="20"/>
                <w:szCs w:val="20"/>
                <w:color w:val="auto"/>
              </w:rPr>
            </w:pPr>
            <w:r>
              <w:rPr>
                <w:rFonts w:ascii="Arial" w:cs="Arial" w:eastAsia="Arial" w:hAnsi="Arial"/>
                <w:sz w:val="18"/>
                <w:szCs w:val="18"/>
                <w:color w:val="auto"/>
              </w:rPr>
              <w:t>Hamilton HM 12</w:t>
            </w:r>
          </w:p>
        </w:tc>
        <w:tc>
          <w:tcPr>
            <w:tcW w:w="56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155"/>
        </w:trPr>
        <w:tc>
          <w:tcPr>
            <w:tcW w:w="5780" w:type="dxa"/>
            <w:vAlign w:val="bottom"/>
            <w:vMerge w:val="restart"/>
          </w:tcPr>
          <w:p>
            <w:pPr>
              <w:spacing w:after="0"/>
              <w:rPr>
                <w:sz w:val="20"/>
                <w:szCs w:val="20"/>
                <w:color w:val="auto"/>
              </w:rPr>
            </w:pPr>
            <w:r>
              <w:rPr>
                <w:rFonts w:ascii="Arial" w:cs="Arial" w:eastAsia="Arial" w:hAnsi="Arial"/>
                <w:sz w:val="18"/>
                <w:szCs w:val="18"/>
                <w:color w:val="auto"/>
              </w:rPr>
              <w:t>Bermuda</w:t>
            </w:r>
          </w:p>
        </w:tc>
        <w:tc>
          <w:tcPr>
            <w:tcW w:w="56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5780" w:type="dxa"/>
            <w:vAlign w:val="bottom"/>
            <w:vMerge w:val="continue"/>
          </w:tcPr>
          <w:p>
            <w:pPr>
              <w:spacing w:after="0"/>
              <w:rPr>
                <w:sz w:val="5"/>
                <w:szCs w:val="5"/>
                <w:color w:val="auto"/>
              </w:rPr>
            </w:pPr>
          </w:p>
        </w:tc>
        <w:tc>
          <w:tcPr>
            <w:tcW w:w="56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9"/>
        </w:trPr>
        <w:tc>
          <w:tcPr>
            <w:tcW w:w="5780" w:type="dxa"/>
            <w:vAlign w:val="bottom"/>
          </w:tcPr>
          <w:p>
            <w:pPr>
              <w:spacing w:after="0"/>
              <w:rPr>
                <w:sz w:val="24"/>
                <w:szCs w:val="24"/>
                <w:color w:val="auto"/>
              </w:rPr>
            </w:pP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c>
          <w:tcPr>
            <w:tcW w:w="0" w:type="dxa"/>
            <w:vAlign w:val="bottom"/>
          </w:tcPr>
          <w:p>
            <w:pPr>
              <w:spacing w:after="0"/>
              <w:rPr>
                <w:sz w:val="1"/>
                <w:szCs w:val="1"/>
                <w:color w:val="auto"/>
              </w:rPr>
            </w:pPr>
          </w:p>
        </w:tc>
      </w:tr>
      <w:tr>
        <w:trPr>
          <w:trHeight w:val="222"/>
        </w:trPr>
        <w:tc>
          <w:tcPr>
            <w:tcW w:w="5780" w:type="dxa"/>
            <w:vAlign w:val="bottom"/>
          </w:tcPr>
          <w:p>
            <w:pPr>
              <w:spacing w:after="0"/>
              <w:rPr>
                <w:sz w:val="19"/>
                <w:szCs w:val="19"/>
                <w:color w:val="auto"/>
              </w:rPr>
            </w:pPr>
          </w:p>
        </w:tc>
        <w:tc>
          <w:tcPr>
            <w:tcW w:w="5640" w:type="dxa"/>
            <w:vAlign w:val="bottom"/>
          </w:tcPr>
          <w:p>
            <w:pPr>
              <w:jc w:val="right"/>
              <w:spacing w:after="0"/>
              <w:rPr>
                <w:sz w:val="20"/>
                <w:szCs w:val="20"/>
                <w:color w:val="auto"/>
              </w:rPr>
            </w:pPr>
            <w:r>
              <w:rPr>
                <w:rFonts w:ascii="Arial" w:cs="Arial" w:eastAsia="Arial" w:hAnsi="Arial"/>
                <w:sz w:val="18"/>
                <w:szCs w:val="18"/>
                <w:color w:val="auto"/>
              </w:rPr>
              <w:t>ADF/cb/124194.0039</w:t>
            </w:r>
          </w:p>
        </w:tc>
        <w:tc>
          <w:tcPr>
            <w:tcW w:w="0" w:type="dxa"/>
            <w:vAlign w:val="bottom"/>
          </w:tcPr>
          <w:p>
            <w:pPr>
              <w:spacing w:after="0"/>
              <w:rPr>
                <w:sz w:val="1"/>
                <w:szCs w:val="1"/>
                <w:color w:val="auto"/>
              </w:rPr>
            </w:pPr>
          </w:p>
        </w:tc>
      </w:tr>
      <w:tr>
        <w:trPr>
          <w:trHeight w:val="432"/>
        </w:trPr>
        <w:tc>
          <w:tcPr>
            <w:tcW w:w="5780" w:type="dxa"/>
            <w:vAlign w:val="bottom"/>
          </w:tcPr>
          <w:p>
            <w:pPr>
              <w:spacing w:after="0"/>
              <w:rPr>
                <w:sz w:val="20"/>
                <w:szCs w:val="20"/>
                <w:color w:val="auto"/>
              </w:rPr>
            </w:pPr>
            <w:r>
              <w:rPr>
                <w:rFonts w:ascii="Arial" w:cs="Arial" w:eastAsia="Arial" w:hAnsi="Arial"/>
                <w:sz w:val="18"/>
                <w:szCs w:val="18"/>
                <w:color w:val="auto"/>
              </w:rPr>
              <w:t>Dear Sirs</w:t>
            </w:r>
          </w:p>
        </w:tc>
        <w:tc>
          <w:tcPr>
            <w:tcW w:w="5640" w:type="dxa"/>
            <w:vAlign w:val="bottom"/>
          </w:tcPr>
          <w:p>
            <w:pPr>
              <w:jc w:val="right"/>
              <w:spacing w:after="0"/>
              <w:rPr>
                <w:sz w:val="20"/>
                <w:szCs w:val="20"/>
                <w:color w:val="auto"/>
              </w:rPr>
            </w:pPr>
            <w:r>
              <w:rPr>
                <w:rFonts w:ascii="Arial" w:cs="Arial" w:eastAsia="Arial" w:hAnsi="Arial"/>
                <w:sz w:val="18"/>
                <w:szCs w:val="18"/>
                <w:color w:val="auto"/>
              </w:rPr>
              <w:t>29 March 2013</w:t>
            </w:r>
          </w:p>
        </w:tc>
        <w:tc>
          <w:tcPr>
            <w:tcW w:w="0" w:type="dxa"/>
            <w:vAlign w:val="bottom"/>
          </w:tcPr>
          <w:p>
            <w:pPr>
              <w:spacing w:after="0"/>
              <w:rPr>
                <w:sz w:val="1"/>
                <w:szCs w:val="1"/>
                <w:color w:val="auto"/>
              </w:rPr>
            </w:pPr>
          </w:p>
        </w:tc>
      </w:tr>
    </w:tbl>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(the “Company”)</w:t>
      </w:r>
    </w:p>
    <w:p>
      <w:pPr>
        <w:spacing w:after="0" w:line="96" w:lineRule="exact"/>
        <w:rPr>
          <w:sz w:val="20"/>
          <w:szCs w:val="20"/>
          <w:color w:val="auto"/>
        </w:rPr>
      </w:pPr>
    </w:p>
    <w:p>
      <w:pPr>
        <w:ind w:right="260"/>
        <w:spacing w:after="0" w:line="256" w:lineRule="auto"/>
        <w:rPr>
          <w:sz w:val="20"/>
          <w:szCs w:val="20"/>
          <w:color w:val="auto"/>
        </w:rPr>
      </w:pPr>
      <w:r>
        <w:rPr>
          <w:rFonts w:ascii="Arial" w:cs="Arial" w:eastAsia="Arial" w:hAnsi="Arial"/>
          <w:sz w:val="18"/>
          <w:szCs w:val="18"/>
          <w:color w:val="auto"/>
        </w:rPr>
        <w:t>We have acted as attorneys in Bermuda for the Company, a Bermuda company, in connection with its filing with the United States Securities and Exchange Commission of a Registration Statement on Form S-8 (the “Registration Statement”) with respect to 7,911,440 of the Company’s common shares, par value US$0.002 per share (the “Common Shares”) to be issued pursuant to the terms of the Marvell Technology Group Ltd. 2000 Employee Stock Purchase Plan (as amended and restated as of October 31, 2011) (the “Plan”).</w:t>
      </w:r>
    </w:p>
    <w:p>
      <w:pPr>
        <w:spacing w:after="0" w:line="143" w:lineRule="exact"/>
        <w:rPr>
          <w:sz w:val="20"/>
          <w:szCs w:val="20"/>
          <w:color w:val="auto"/>
        </w:rPr>
      </w:pPr>
    </w:p>
    <w:p>
      <w:pPr>
        <w:ind w:right="740"/>
        <w:spacing w:after="0" w:line="268"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90" w:lineRule="exact"/>
        <w:rPr>
          <w:sz w:val="20"/>
          <w:szCs w:val="20"/>
          <w:color w:val="auto"/>
        </w:rPr>
      </w:pPr>
    </w:p>
    <w:p>
      <w:pPr>
        <w:ind w:left="460" w:right="180" w:hanging="452"/>
        <w:spacing w:after="0" w:line="332" w:lineRule="auto"/>
        <w:tabs>
          <w:tab w:leader="none" w:pos="46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4" w:lineRule="exact"/>
        <w:rPr>
          <w:rFonts w:ascii="Arial" w:cs="Arial" w:eastAsia="Arial" w:hAnsi="Arial"/>
          <w:sz w:val="16"/>
          <w:szCs w:val="16"/>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ectPr>
          <w:pgSz w:w="11900" w:h="16838" w:orient="portrait"/>
          <w:cols w:equalWidth="0" w:num="1">
            <w:col w:w="11420"/>
          </w:cols>
          <w:pgMar w:left="240" w:top="125" w:right="23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8" w:lineRule="exact"/>
        <w:rPr>
          <w:sz w:val="20"/>
          <w:szCs w:val="20"/>
          <w:color w:val="auto"/>
        </w:rPr>
      </w:pPr>
    </w:p>
    <w:p>
      <w:pPr>
        <w:ind w:left="460" w:right="78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50" w:lineRule="exact"/>
        <w:rPr>
          <w:rFonts w:ascii="Arial" w:cs="Arial" w:eastAsia="Arial" w:hAnsi="Arial"/>
          <w:sz w:val="18"/>
          <w:szCs w:val="18"/>
          <w:color w:val="auto"/>
        </w:rPr>
      </w:pPr>
    </w:p>
    <w:p>
      <w:pPr>
        <w:ind w:left="460" w:right="34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50" w:lineRule="exact"/>
        <w:rPr>
          <w:rFonts w:ascii="Arial" w:cs="Arial" w:eastAsia="Arial" w:hAnsi="Arial"/>
          <w:sz w:val="18"/>
          <w:szCs w:val="18"/>
          <w:color w:val="auto"/>
        </w:rPr>
      </w:pPr>
    </w:p>
    <w:p>
      <w:pPr>
        <w:ind w:left="460" w:right="16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 and the Resolutions, other than as to the laws of Bermuda, are true, accurate and complete in all material respects;</w:t>
      </w:r>
    </w:p>
    <w:p>
      <w:pPr>
        <w:spacing w:after="0" w:line="50" w:lineRule="exact"/>
        <w:rPr>
          <w:rFonts w:ascii="Arial" w:cs="Arial" w:eastAsia="Arial" w:hAnsi="Arial"/>
          <w:sz w:val="18"/>
          <w:szCs w:val="18"/>
          <w:color w:val="auto"/>
        </w:rPr>
      </w:pPr>
    </w:p>
    <w:p>
      <w:pPr>
        <w:ind w:left="460" w:right="180" w:hanging="452"/>
        <w:spacing w:after="0" w:line="284" w:lineRule="auto"/>
        <w:tabs>
          <w:tab w:leader="none" w:pos="46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w:t>
      </w:r>
    </w:p>
    <w:p>
      <w:pPr>
        <w:spacing w:after="0" w:line="1" w:lineRule="exact"/>
        <w:rPr>
          <w:rFonts w:ascii="Arial" w:cs="Arial" w:eastAsia="Arial" w:hAnsi="Arial"/>
          <w:sz w:val="16"/>
          <w:szCs w:val="16"/>
          <w:color w:val="auto"/>
        </w:rPr>
      </w:pPr>
    </w:p>
    <w:p>
      <w:pPr>
        <w:ind w:left="460" w:right="60"/>
        <w:spacing w:after="0" w:line="302" w:lineRule="auto"/>
        <w:rPr>
          <w:rFonts w:ascii="Arial" w:cs="Arial" w:eastAsia="Arial" w:hAnsi="Arial"/>
          <w:sz w:val="16"/>
          <w:szCs w:val="16"/>
          <w:color w:val="auto"/>
        </w:rPr>
      </w:pPr>
      <w:r>
        <w:rPr>
          <w:rFonts w:ascii="Arial" w:cs="Arial" w:eastAsia="Arial" w:hAnsi="Arial"/>
          <w:sz w:val="16"/>
          <w:szCs w:val="16"/>
          <w:color w:val="auto"/>
        </w:rPr>
        <w:t>(iii)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28" w:lineRule="exact"/>
        <w:rPr>
          <w:rFonts w:ascii="Arial" w:cs="Arial" w:eastAsia="Arial" w:hAnsi="Arial"/>
          <w:sz w:val="16"/>
          <w:szCs w:val="16"/>
          <w:color w:val="auto"/>
        </w:rPr>
      </w:pPr>
    </w:p>
    <w:p>
      <w:pPr>
        <w:ind w:left="460" w:right="18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any purchase rights under the Plan relevant to this opinion (each a “Purchase Right” and collectively, the “Purchase Rights”) will constitute the legal, valid and binding obligations of the parties thereto, other than the Company;</w:t>
      </w:r>
    </w:p>
    <w:p>
      <w:pPr>
        <w:spacing w:after="0" w:line="50" w:lineRule="exact"/>
        <w:rPr>
          <w:rFonts w:ascii="Arial" w:cs="Arial" w:eastAsia="Arial" w:hAnsi="Arial"/>
          <w:sz w:val="18"/>
          <w:szCs w:val="18"/>
          <w:color w:val="auto"/>
        </w:rPr>
      </w:pPr>
    </w:p>
    <w:p>
      <w:pPr>
        <w:ind w:left="460" w:right="18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50" w:lineRule="exact"/>
        <w:rPr>
          <w:rFonts w:ascii="Arial" w:cs="Arial" w:eastAsia="Arial" w:hAnsi="Arial"/>
          <w:sz w:val="18"/>
          <w:szCs w:val="18"/>
          <w:color w:val="auto"/>
        </w:rPr>
      </w:pPr>
    </w:p>
    <w:p>
      <w:pPr>
        <w:ind w:left="460" w:right="6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ectPr>
          <w:pgSz w:w="11900" w:h="16838" w:orient="portrait"/>
          <w:cols w:equalWidth="0" w:num="1">
            <w:col w:w="11420"/>
          </w:cols>
          <w:pgMar w:left="240" w:top="274" w:right="2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8" w:lineRule="exact"/>
        <w:rPr>
          <w:sz w:val="20"/>
          <w:szCs w:val="20"/>
          <w:color w:val="auto"/>
        </w:rPr>
      </w:pPr>
    </w:p>
    <w:p>
      <w:pPr>
        <w:ind w:left="460" w:right="40" w:hanging="452"/>
        <w:spacing w:after="0" w:line="256"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at the time of issue by the Executive Compensation Committee of the Board of Directors (the “Committee”)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62" w:lineRule="exact"/>
        <w:rPr>
          <w:rFonts w:ascii="Arial" w:cs="Arial" w:eastAsia="Arial" w:hAnsi="Arial"/>
          <w:sz w:val="18"/>
          <w:szCs w:val="18"/>
          <w:color w:val="auto"/>
        </w:rPr>
      </w:pPr>
    </w:p>
    <w:p>
      <w:pPr>
        <w:ind w:left="460" w:right="180" w:hanging="452"/>
        <w:spacing w:after="0" w:line="259"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59" w:lineRule="exact"/>
        <w:rPr>
          <w:rFonts w:ascii="Arial" w:cs="Arial" w:eastAsia="Arial" w:hAnsi="Arial"/>
          <w:sz w:val="18"/>
          <w:szCs w:val="18"/>
          <w:color w:val="auto"/>
        </w:rPr>
      </w:pPr>
    </w:p>
    <w:p>
      <w:pPr>
        <w:ind w:left="460" w:hanging="452"/>
        <w:spacing w:after="0" w:line="259"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in any case where Common Shares are issued by the Company pursuant to the Plan on the terms of a Purchase Right, the Company will receive prior to the allotment of shares a transfer to it an amount of cash at least equivalent to the aggregate par value of the Common Shares issued to him pursuant to that Purchase Right;</w:t>
      </w:r>
    </w:p>
    <w:p>
      <w:pPr>
        <w:spacing w:after="0" w:line="59" w:lineRule="exact"/>
        <w:rPr>
          <w:rFonts w:ascii="Arial" w:cs="Arial" w:eastAsia="Arial" w:hAnsi="Arial"/>
          <w:sz w:val="18"/>
          <w:szCs w:val="18"/>
          <w:color w:val="auto"/>
        </w:rPr>
      </w:pPr>
    </w:p>
    <w:p>
      <w:pPr>
        <w:ind w:left="460" w:right="360" w:hanging="452"/>
        <w:spacing w:after="0" w:line="268"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filed with the United States Securities and Exchange Commission, the Registration Statement will not differ in any material respect from the electronic copy referred to in paragraph 1 of the Schedule;</w:t>
      </w:r>
    </w:p>
    <w:p>
      <w:pPr>
        <w:spacing w:after="0" w:line="50" w:lineRule="exact"/>
        <w:rPr>
          <w:rFonts w:ascii="Arial" w:cs="Arial" w:eastAsia="Arial" w:hAnsi="Arial"/>
          <w:sz w:val="18"/>
          <w:szCs w:val="18"/>
          <w:color w:val="auto"/>
        </w:rPr>
      </w:pPr>
    </w:p>
    <w:p>
      <w:pPr>
        <w:ind w:left="460" w:right="140" w:hanging="452"/>
        <w:spacing w:after="0" w:line="357" w:lineRule="auto"/>
        <w:tabs>
          <w:tab w:leader="none" w:pos="460" w:val="left"/>
        </w:tabs>
        <w:numPr>
          <w:ilvl w:val="0"/>
          <w:numId w:val="9"/>
        </w:numPr>
        <w:rPr>
          <w:rFonts w:ascii="Arial" w:cs="Arial" w:eastAsia="Arial" w:hAnsi="Arial"/>
          <w:sz w:val="15"/>
          <w:szCs w:val="15"/>
          <w:color w:val="auto"/>
        </w:rPr>
      </w:pPr>
      <w:r>
        <w:rPr>
          <w:rFonts w:ascii="Arial" w:cs="Arial" w:eastAsia="Arial" w:hAnsi="Arial"/>
          <w:sz w:val="15"/>
          <w:szCs w:val="15"/>
          <w:color w:val="auto"/>
        </w:rPr>
        <w:t>that the records which were the subject of the Company Search were complete and accurate at the time of such search and disclosed all information which is material for the purposes of this opinion and such information has not since the date and time of the Company Search been materially altered; and</w:t>
      </w:r>
    </w:p>
    <w:p>
      <w:pPr>
        <w:ind w:left="460" w:right="120" w:hanging="452"/>
        <w:spacing w:after="0" w:line="332"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and time of the Litigation Search been materially altered.</w:t>
      </w:r>
    </w:p>
    <w:p>
      <w:pPr>
        <w:sectPr>
          <w:pgSz w:w="11900" w:h="16838" w:orient="portrait"/>
          <w:cols w:equalWidth="0" w:num="1">
            <w:col w:w="11420"/>
          </w:cols>
          <w:pgMar w:left="240" w:top="274" w:right="23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113" w:lineRule="exact"/>
        <w:rPr>
          <w:sz w:val="20"/>
          <w:szCs w:val="20"/>
          <w:color w:val="auto"/>
        </w:rPr>
      </w:pPr>
    </w:p>
    <w:p>
      <w:pPr>
        <w:ind w:left="460" w:right="14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50" w:lineRule="exact"/>
        <w:rPr>
          <w:rFonts w:ascii="Arial" w:cs="Arial" w:eastAsia="Arial" w:hAnsi="Arial"/>
          <w:sz w:val="18"/>
          <w:szCs w:val="18"/>
          <w:color w:val="auto"/>
        </w:rPr>
      </w:pPr>
    </w:p>
    <w:p>
      <w:pPr>
        <w:ind w:left="460" w:right="140" w:hanging="452"/>
        <w:spacing w:after="0" w:line="306"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5" w:lineRule="exact"/>
        <w:rPr>
          <w:rFonts w:ascii="Arial" w:cs="Arial" w:eastAsia="Arial" w:hAnsi="Arial"/>
          <w:sz w:val="16"/>
          <w:szCs w:val="16"/>
          <w:color w:val="auto"/>
        </w:rPr>
      </w:pPr>
    </w:p>
    <w:p>
      <w:pPr>
        <w:ind w:left="460" w:right="380" w:hanging="452"/>
        <w:spacing w:after="0" w:line="357" w:lineRule="auto"/>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ind w:left="460" w:right="26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90" w:lineRule="exact"/>
        <w:rPr>
          <w:sz w:val="20"/>
          <w:szCs w:val="20"/>
          <w:color w:val="auto"/>
        </w:rPr>
      </w:pPr>
    </w:p>
    <w:p>
      <w:pPr>
        <w:ind w:left="460" w:right="100" w:hanging="452"/>
        <w:spacing w:after="0" w:line="332"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4" w:lineRule="exact"/>
        <w:rPr>
          <w:rFonts w:ascii="Arial" w:cs="Arial" w:eastAsia="Arial" w:hAnsi="Arial"/>
          <w:sz w:val="16"/>
          <w:szCs w:val="16"/>
          <w:color w:val="auto"/>
        </w:rPr>
      </w:pPr>
    </w:p>
    <w:p>
      <w:pPr>
        <w:ind w:left="460" w:right="360" w:hanging="452"/>
        <w:spacing w:after="0" w:line="268"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w:t>
      </w:r>
    </w:p>
    <w:p>
      <w:pPr>
        <w:sectPr>
          <w:pgSz w:w="11900" w:h="16838" w:orient="portrait"/>
          <w:cols w:equalWidth="0" w:num="1">
            <w:col w:w="11420"/>
          </w:cols>
          <w:pgMar w:left="240" w:top="274" w:right="23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8" w:lineRule="exact"/>
        <w:rPr>
          <w:sz w:val="20"/>
          <w:szCs w:val="20"/>
          <w:color w:val="auto"/>
        </w:rPr>
      </w:pPr>
    </w:p>
    <w:p>
      <w:pPr>
        <w:ind w:left="460" w:right="20"/>
        <w:spacing w:after="0" w:line="256" w:lineRule="auto"/>
        <w:rPr>
          <w:sz w:val="20"/>
          <w:szCs w:val="20"/>
          <w:color w:val="auto"/>
        </w:rPr>
      </w:pPr>
      <w:r>
        <w:rPr>
          <w:rFonts w:ascii="Arial" w:cs="Arial" w:eastAsia="Arial" w:hAnsi="Arial"/>
          <w:sz w:val="18"/>
          <w:szCs w:val="18"/>
          <w:color w:val="auto"/>
        </w:rPr>
        <w:t>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62" w:lineRule="exact"/>
        <w:rPr>
          <w:sz w:val="20"/>
          <w:szCs w:val="20"/>
          <w:color w:val="auto"/>
        </w:rPr>
      </w:pPr>
    </w:p>
    <w:p>
      <w:pPr>
        <w:ind w:left="460" w:right="60" w:hanging="452"/>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50" w:lineRule="exact"/>
        <w:rPr>
          <w:rFonts w:ascii="Arial" w:cs="Arial" w:eastAsia="Arial" w:hAnsi="Arial"/>
          <w:sz w:val="18"/>
          <w:szCs w:val="18"/>
          <w:color w:val="auto"/>
        </w:rPr>
      </w:pPr>
    </w:p>
    <w:p>
      <w:pPr>
        <w:ind w:left="900" w:right="20" w:hanging="446"/>
        <w:spacing w:after="0" w:line="306" w:lineRule="auto"/>
        <w:tabs>
          <w:tab w:leader="none" w:pos="900" w:val="left"/>
        </w:tabs>
        <w:numPr>
          <w:ilvl w:val="1"/>
          <w:numId w:val="12"/>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25" w:lineRule="exact"/>
        <w:rPr>
          <w:rFonts w:ascii="Arial" w:cs="Arial" w:eastAsia="Arial" w:hAnsi="Arial"/>
          <w:sz w:val="16"/>
          <w:szCs w:val="16"/>
          <w:color w:val="auto"/>
        </w:rPr>
      </w:pPr>
    </w:p>
    <w:p>
      <w:pPr>
        <w:ind w:left="900" w:hanging="446"/>
        <w:spacing w:after="0"/>
        <w:tabs>
          <w:tab w:leader="none" w:pos="900" w:val="left"/>
        </w:tabs>
        <w:numPr>
          <w:ilvl w:val="1"/>
          <w:numId w:val="12"/>
        </w:numPr>
        <w:rPr>
          <w:rFonts w:ascii="Arial" w:cs="Arial" w:eastAsia="Arial" w:hAnsi="Arial"/>
          <w:sz w:val="16"/>
          <w:szCs w:val="16"/>
          <w:color w:val="auto"/>
        </w:rPr>
      </w:pPr>
      <w:r>
        <w:rPr>
          <w:rFonts w:ascii="Arial" w:cs="Arial" w:eastAsia="Arial" w:hAnsi="Arial"/>
          <w:sz w:val="16"/>
          <w:szCs w:val="16"/>
          <w:color w:val="auto"/>
        </w:rPr>
        <w:t>details of matters which should have been lodged for registration but have not been lodged for registration at the date the search is concluded.</w:t>
      </w:r>
    </w:p>
    <w:p>
      <w:pPr>
        <w:spacing w:after="0" w:line="113" w:lineRule="exact"/>
        <w:rPr>
          <w:rFonts w:ascii="Arial" w:cs="Arial" w:eastAsia="Arial" w:hAnsi="Arial"/>
          <w:sz w:val="16"/>
          <w:szCs w:val="16"/>
          <w:color w:val="auto"/>
        </w:rPr>
      </w:pPr>
    </w:p>
    <w:p>
      <w:pPr>
        <w:ind w:left="460" w:right="360" w:hanging="452"/>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5 and 6 of the Schedule and have not enquired as to whether there has been any change since the date and time of the Searches.</w:t>
      </w:r>
    </w:p>
    <w:p>
      <w:pPr>
        <w:spacing w:after="0" w:line="50" w:lineRule="exact"/>
        <w:rPr>
          <w:rFonts w:ascii="Arial" w:cs="Arial" w:eastAsia="Arial" w:hAnsi="Arial"/>
          <w:sz w:val="18"/>
          <w:szCs w:val="18"/>
          <w:color w:val="auto"/>
        </w:rPr>
      </w:pPr>
    </w:p>
    <w:p>
      <w:pPr>
        <w:ind w:left="460" w:right="440" w:hanging="452"/>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opinion paragraph (1) above the term “good standing” means that the Company has received a Certificate of Compliance issued by the Registrar of Companies.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96" w:lineRule="exact"/>
        <w:rPr>
          <w:sz w:val="20"/>
          <w:szCs w:val="20"/>
          <w:color w:val="auto"/>
        </w:rPr>
      </w:pPr>
    </w:p>
    <w:p>
      <w:pPr>
        <w:jc w:val="both"/>
        <w:ind w:right="80"/>
        <w:spacing w:after="0" w:line="335" w:lineRule="auto"/>
        <w:rPr>
          <w:sz w:val="20"/>
          <w:szCs w:val="20"/>
          <w:color w:val="auto"/>
        </w:rPr>
      </w:pPr>
      <w:r>
        <w:rPr>
          <w:rFonts w:ascii="Arial" w:cs="Arial" w:eastAsia="Arial" w:hAnsi="Arial"/>
          <w:sz w:val="15"/>
          <w:szCs w:val="15"/>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ectPr>
          <w:pgSz w:w="11900" w:h="16838" w:orient="portrait"/>
          <w:cols w:equalWidth="0" w:num="1">
            <w:col w:w="11420"/>
          </w:cols>
          <w:pgMar w:left="240" w:top="274" w:right="23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8"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Appleby (Bermuda) Limited</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(Bermuda) Limited</w:t>
      </w:r>
    </w:p>
    <w:p>
      <w:pPr>
        <w:sectPr>
          <w:pgSz w:w="11900" w:h="16838" w:orient="portrait"/>
          <w:cols w:equalWidth="0" w:num="1">
            <w:col w:w="11420"/>
          </w:cols>
          <w:pgMar w:left="240" w:top="274" w:right="23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SCHEDULE</w:t>
      </w:r>
    </w:p>
    <w:p>
      <w:pPr>
        <w:spacing w:after="0" w:line="218" w:lineRule="exact"/>
        <w:rPr>
          <w:sz w:val="20"/>
          <w:szCs w:val="20"/>
          <w:color w:val="auto"/>
        </w:rPr>
      </w:pPr>
    </w:p>
    <w:p>
      <w:pPr>
        <w:ind w:left="460" w:right="160" w:hanging="452"/>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26 March 2013 (excluding the exhibits and excluding the documents incorporated by reference).</w:t>
      </w:r>
    </w:p>
    <w:p>
      <w:pPr>
        <w:spacing w:after="0" w:line="50" w:lineRule="exact"/>
        <w:rPr>
          <w:rFonts w:ascii="Arial" w:cs="Arial" w:eastAsia="Arial" w:hAnsi="Arial"/>
          <w:sz w:val="18"/>
          <w:szCs w:val="18"/>
          <w:color w:val="auto"/>
        </w:rPr>
      </w:pPr>
    </w:p>
    <w:p>
      <w:pPr>
        <w:ind w:left="460" w:hanging="452"/>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An electronic copy of the Marvell Technology Group Ltd. 2000 Employee Stock Purchase Plan (as amended and restated as of 31 October 2011).</w:t>
      </w:r>
    </w:p>
    <w:p>
      <w:pPr>
        <w:spacing w:after="0" w:line="113" w:lineRule="exact"/>
        <w:rPr>
          <w:rFonts w:ascii="Arial" w:cs="Arial" w:eastAsia="Arial" w:hAnsi="Arial"/>
          <w:sz w:val="16"/>
          <w:szCs w:val="16"/>
          <w:color w:val="auto"/>
        </w:rPr>
      </w:pPr>
    </w:p>
    <w:p>
      <w:pPr>
        <w:ind w:left="460" w:right="80" w:hanging="452"/>
        <w:spacing w:after="0" w:line="284" w:lineRule="auto"/>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w:t>
      </w:r>
    </w:p>
    <w:p>
      <w:pPr>
        <w:spacing w:after="0" w:line="1" w:lineRule="exact"/>
        <w:rPr>
          <w:rFonts w:ascii="Arial" w:cs="Arial" w:eastAsia="Arial" w:hAnsi="Arial"/>
          <w:sz w:val="16"/>
          <w:szCs w:val="16"/>
          <w:color w:val="auto"/>
        </w:rPr>
      </w:pPr>
    </w:p>
    <w:p>
      <w:pPr>
        <w:ind w:left="460" w:right="60"/>
        <w:spacing w:after="0" w:line="285" w:lineRule="auto"/>
        <w:rPr>
          <w:rFonts w:ascii="Arial" w:cs="Arial" w:eastAsia="Arial" w:hAnsi="Arial"/>
          <w:sz w:val="16"/>
          <w:szCs w:val="16"/>
          <w:color w:val="auto"/>
        </w:rPr>
      </w:pPr>
      <w:r>
        <w:rPr>
          <w:rFonts w:ascii="Arial" w:cs="Arial" w:eastAsia="Arial" w:hAnsi="Arial"/>
          <w:sz w:val="16"/>
          <w:szCs w:val="16"/>
          <w:color w:val="auto"/>
        </w:rPr>
        <w:t>5 April 2004, the Minutes of the Meeting of the Board of Directors of the Company held on 7 April 2005, the Minutes of the Meeting of the Board of Directors of the Company held on 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June 10, 2009, the Minutes of the Meeting of the Board of Directors of the Company held on 26 August 2009, the Minutes of the Meeting of the Board of Directors of the Company held on October 22, 2009, the Minutes of the Meeting of the Board of Directors of the Company held on 30 November 2009, the Minutes of the Meeting of the Board of Directors of the Company held on 13 December 2010, the Minutes of the Meeting of the Board of Directors of the Company held on 31 October 2011, an extract of the resolutions adopted at the Meeting of the Board of Directors held on 15 March 2012 and the Minutes of the Meeting of the Board of Directors held on 12–14 December 2012 (collectively, the “Board Resolutions”), the Minutes of the Meeting of the Members of the Company held on 17 June 2000, and the Minutes of the Meeting of the Members of the Company held on 27 June 2003 (the “Members’ Resolutions” and together with the Board Resolutions, the “Resolutions”).</w:t>
      </w:r>
    </w:p>
    <w:p>
      <w:pPr>
        <w:sectPr>
          <w:pgSz w:w="11900" w:h="16838" w:orient="portrait"/>
          <w:cols w:equalWidth="0" w:num="1">
            <w:col w:w="11420"/>
          </w:cols>
          <w:pgMar w:left="240" w:top="274" w:right="239" w:bottom="1440" w:gutter="0" w:footer="0" w:header="0"/>
        </w:sectPr>
      </w:pPr>
    </w:p>
    <w:bookmarkStart w:id="14" w:name="page15"/>
    <w:bookmarkEnd w:id="14"/>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2013</w:t>
      </w:r>
    </w:p>
    <w:p>
      <w:pPr>
        <w:spacing w:after="0" w:line="158" w:lineRule="exact"/>
        <w:rPr>
          <w:sz w:val="20"/>
          <w:szCs w:val="20"/>
          <w:color w:val="auto"/>
        </w:rPr>
      </w:pPr>
    </w:p>
    <w:p>
      <w:pPr>
        <w:ind w:left="460" w:right="140" w:hanging="452"/>
        <w:spacing w:after="0" w:line="332"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entries and filings shown in respect of the Company on the file of the Company maintained in the Register of Companies at the office of the Registrar of Companies in Hamilton, Bermuda, as revealed by a search done on 28 March 2013 at 9:55 a.m. (Bermuda time) (the “Company Search”).</w:t>
      </w:r>
    </w:p>
    <w:p>
      <w:pPr>
        <w:spacing w:after="0" w:line="4" w:lineRule="exact"/>
        <w:rPr>
          <w:rFonts w:ascii="Arial" w:cs="Arial" w:eastAsia="Arial" w:hAnsi="Arial"/>
          <w:sz w:val="16"/>
          <w:szCs w:val="16"/>
          <w:color w:val="auto"/>
        </w:rPr>
      </w:pPr>
    </w:p>
    <w:p>
      <w:pPr>
        <w:ind w:left="460" w:right="10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28 March 2013 at 9:30 am (Bermuda time) (the “Litigation Search”).</w:t>
      </w:r>
    </w:p>
    <w:p>
      <w:pPr>
        <w:spacing w:after="0" w:line="50"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90" w:lineRule="exact"/>
        <w:rPr>
          <w:rFonts w:ascii="Arial" w:cs="Arial" w:eastAsia="Arial" w:hAnsi="Arial"/>
          <w:sz w:val="18"/>
          <w:szCs w:val="18"/>
          <w:color w:val="auto"/>
        </w:rPr>
      </w:pPr>
    </w:p>
    <w:p>
      <w:pPr>
        <w:ind w:left="460" w:right="12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Memorandum of Association and the Third Amended and Restated Bye-laws of the Company adopted at the annual general meeting on 8 July 2010 (collectively referred to as the “Constitutional Documents”).</w:t>
      </w:r>
    </w:p>
    <w:p>
      <w:pPr>
        <w:spacing w:after="0" w:line="50" w:lineRule="exact"/>
        <w:rPr>
          <w:rFonts w:ascii="Arial" w:cs="Arial" w:eastAsia="Arial" w:hAnsi="Arial"/>
          <w:sz w:val="18"/>
          <w:szCs w:val="18"/>
          <w:color w:val="auto"/>
        </w:rPr>
      </w:pPr>
    </w:p>
    <w:p>
      <w:pPr>
        <w:ind w:left="460" w:right="2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50" w:lineRule="exact"/>
        <w:rPr>
          <w:rFonts w:ascii="Arial" w:cs="Arial" w:eastAsia="Arial" w:hAnsi="Arial"/>
          <w:sz w:val="18"/>
          <w:szCs w:val="18"/>
          <w:color w:val="auto"/>
        </w:rPr>
      </w:pPr>
    </w:p>
    <w:p>
      <w:pPr>
        <w:ind w:left="460" w:right="140" w:hanging="452"/>
        <w:spacing w:after="0" w:line="306"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25" w:lineRule="exact"/>
        <w:rPr>
          <w:rFonts w:ascii="Arial" w:cs="Arial" w:eastAsia="Arial" w:hAnsi="Arial"/>
          <w:sz w:val="16"/>
          <w:szCs w:val="16"/>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28 March 2013.</w:t>
      </w:r>
    </w:p>
    <w:p>
      <w:pPr>
        <w:spacing w:after="0" w:line="90" w:lineRule="exact"/>
        <w:rPr>
          <w:rFonts w:ascii="Arial" w:cs="Arial" w:eastAsia="Arial" w:hAnsi="Arial"/>
          <w:sz w:val="18"/>
          <w:szCs w:val="18"/>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26 March 2013.</w:t>
      </w:r>
    </w:p>
    <w:p>
      <w:pPr>
        <w:sectPr>
          <w:pgSz w:w="11900" w:h="16838" w:orient="portrait"/>
          <w:cols w:equalWidth="0" w:num="1">
            <w:col w:w="11420"/>
          </w:cols>
          <w:pgMar w:left="240" w:top="274" w:right="239" w:bottom="1440" w:gutter="0" w:footer="0" w:header="0"/>
        </w:sectPr>
      </w:pPr>
    </w:p>
    <w:bookmarkStart w:id="15" w:name="page16"/>
    <w:bookmarkEnd w:id="15"/>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March 29, 2013 relating to the financial statements, financial statement schedule, and the effectiveness of internal control over financial reporting, which appears in Marvell Technology Group Ltd.’s Annual Report on Form 10-K for the year ended February 2, 2013.</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29, 2013</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9E2A9E3"/>
    <w:multiLevelType w:val="hybridMultilevel"/>
    <w:lvl w:ilvl="0">
      <w:lvlJc w:val="left"/>
      <w:lvlText w:val="(%1)"/>
      <w:numFmt w:val="decimal"/>
      <w:start w:val="1"/>
    </w:lvl>
  </w:abstractNum>
  <w:abstractNum w:abstractNumId="1">
    <w:nsid w:val="7545E146"/>
    <w:multiLevelType w:val="hybridMultilevel"/>
    <w:lvl w:ilvl="0">
      <w:lvlJc w:val="left"/>
      <w:lvlText w:val="•"/>
      <w:numFmt w:val="bullet"/>
      <w:start w:val="1"/>
    </w:lvl>
  </w:abstractNum>
  <w:abstractNum w:abstractNumId="2">
    <w:nsid w:val="515F007C"/>
    <w:multiLevelType w:val="hybridMultilevel"/>
    <w:lvl w:ilvl="0">
      <w:lvlJc w:val="left"/>
      <w:lvlText w:val="(%1)"/>
      <w:numFmt w:val="decimal"/>
      <w:start w:val="1"/>
    </w:lvl>
  </w:abstractNum>
  <w:abstractNum w:abstractNumId="3">
    <w:nsid w:val="5BD062C2"/>
    <w:multiLevelType w:val="hybridMultilevel"/>
    <w:lvl w:ilvl="0">
      <w:lvlJc w:val="left"/>
      <w:lvlText w:val="(%1)"/>
      <w:numFmt w:val="lowerRoman"/>
      <w:start w:val="2"/>
    </w:lvl>
  </w:abstractNum>
  <w:abstractNum w:abstractNumId="4">
    <w:nsid w:val="12200854"/>
    <w:multiLevelType w:val="hybridMultilevel"/>
    <w:lvl w:ilvl="0">
      <w:lvlJc w:val="left"/>
      <w:lvlText w:val="%1"/>
      <w:numFmt w:val="lowerLetter"/>
      <w:start w:val="1"/>
    </w:lvl>
    <w:lvl w:ilvl="1">
      <w:lvlJc w:val="left"/>
      <w:lvlText w:val="(%2)"/>
      <w:numFmt w:val="decimal"/>
      <w:start w:val="2"/>
    </w:lvl>
  </w:abstractNum>
  <w:abstractNum w:abstractNumId="5">
    <w:nsid w:val="4DB127F8"/>
    <w:multiLevelType w:val="hybridMultilevel"/>
    <w:lvl w:ilvl="0">
      <w:lvlJc w:val="left"/>
      <w:lvlText w:val="(%1)"/>
      <w:numFmt w:val="lowerLetter"/>
      <w:start w:val="2"/>
    </w:lvl>
    <w:lvl w:ilvl="1">
      <w:lvlJc w:val="left"/>
      <w:lvlText w:val="%2"/>
      <w:numFmt w:val="decimal"/>
      <w:start w:val="1"/>
    </w:lvl>
  </w:abstractNum>
  <w:abstractNum w:abstractNumId="6">
    <w:nsid w:val="216231B"/>
    <w:multiLevelType w:val="hybridMultilevel"/>
    <w:lvl w:ilvl="0">
      <w:lvlJc w:val="left"/>
      <w:lvlText w:val="(%1)"/>
      <w:numFmt w:val="lowerLetter"/>
      <w:start w:val="1"/>
    </w:lvl>
  </w:abstractNum>
  <w:abstractNum w:abstractNumId="7">
    <w:nsid w:val="1F16E9E8"/>
    <w:multiLevelType w:val="hybridMultilevel"/>
    <w:lvl w:ilvl="0">
      <w:lvlJc w:val="left"/>
      <w:lvlText w:val="(%1)"/>
      <w:numFmt w:val="lowerLetter"/>
      <w:start w:val="3"/>
    </w:lvl>
  </w:abstractNum>
  <w:abstractNum w:abstractNumId="8">
    <w:nsid w:val="1190CDE7"/>
    <w:multiLevelType w:val="hybridMultilevel"/>
    <w:lvl w:ilvl="0">
      <w:lvlJc w:val="left"/>
      <w:lvlText w:val="(%1)"/>
      <w:numFmt w:val="lowerLetter"/>
      <w:start w:val="10"/>
    </w:lvl>
  </w:abstractNum>
  <w:abstractNum w:abstractNumId="9">
    <w:nsid w:val="66EF438D"/>
    <w:multiLevelType w:val="hybridMultilevel"/>
    <w:lvl w:ilvl="0">
      <w:lvlJc w:val="left"/>
      <w:lvlText w:val="(%1)"/>
      <w:numFmt w:val="decimal"/>
      <w:start w:val="1"/>
    </w:lvl>
  </w:abstractNum>
  <w:abstractNum w:abstractNumId="10">
    <w:nsid w:val="140E0F76"/>
    <w:multiLevelType w:val="hybridMultilevel"/>
    <w:lvl w:ilvl="0">
      <w:lvlJc w:val="left"/>
      <w:lvlText w:val="(%1)"/>
      <w:numFmt w:val="lowerLetter"/>
      <w:start w:val="1"/>
    </w:lvl>
  </w:abstractNum>
  <w:abstractNum w:abstractNumId="11">
    <w:nsid w:val="3352255A"/>
    <w:multiLevelType w:val="hybridMultilevel"/>
    <w:lvl w:ilvl="0">
      <w:lvlJc w:val="left"/>
      <w:lvlText w:val="(%1)"/>
      <w:numFmt w:val="lowerLetter"/>
      <w:start w:val="3"/>
    </w:lvl>
    <w:lvl w:ilvl="1">
      <w:lvlJc w:val="left"/>
      <w:lvlText w:val="(%2)"/>
      <w:numFmt w:val="lowerRoman"/>
      <w:start w:val="1"/>
    </w:lvl>
  </w:abstractNum>
  <w:abstractNum w:abstractNumId="12">
    <w:nsid w:val="109CF92E"/>
    <w:multiLevelType w:val="hybridMultilevel"/>
    <w:lvl w:ilvl="0">
      <w:lvlJc w:val="left"/>
      <w:lvlText w:val="%1."/>
      <w:numFmt w:val="decimal"/>
      <w:start w:val="1"/>
    </w:lvl>
  </w:abstractNum>
  <w:abstractNum w:abstractNumId="13">
    <w:nsid w:val="DED7263"/>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2019-12-06T20:08:57Z</dcterms:created>
  <dcterms:modified xsi:type="dcterms:W3CDTF">2019-12-06T20:08:57Z</dcterms:modified>
</cp:coreProperties>
</file>