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13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SEC Form 5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380" w:type="dxa"/>
            <w:vAlign w:val="bottom"/>
            <w:gridSpan w:val="3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</w:rPr>
              <w:t>FORM 5</w:t>
            </w:r>
          </w:p>
        </w:tc>
        <w:tc>
          <w:tcPr>
            <w:tcW w:w="7660" w:type="dxa"/>
            <w:vAlign w:val="bottom"/>
            <w:gridSpan w:val="10"/>
          </w:tcPr>
          <w:p>
            <w:pPr>
              <w:jc w:val="center"/>
              <w:ind w:right="9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20" w:type="dxa"/>
            <w:vAlign w:val="bottom"/>
            <w:vMerge w:val="restart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vMerge w:val="restart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vMerge w:val="restart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restart"/>
          </w:tcPr>
          <w:p>
            <w:pPr>
              <w:jc w:val="center"/>
              <w:ind w:right="4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380" w:type="dxa"/>
            <w:vAlign w:val="bottom"/>
            <w:gridSpan w:val="3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Check this box if no longer subject to</w:t>
            </w: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3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808080"/>
            </w:tcBorders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" w:type="dxa"/>
            <w:vAlign w:val="bottom"/>
            <w:vMerge w:val="restart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vMerge w:val="restart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380" w:type="dxa"/>
            <w:vAlign w:val="bottom"/>
            <w:gridSpan w:val="3"/>
            <w:vMerge w:val="restart"/>
          </w:tcPr>
          <w:p>
            <w:pPr>
              <w:ind w:left="2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Section 16. Form 4 or Form 5</w:t>
            </w:r>
          </w:p>
        </w:tc>
        <w:tc>
          <w:tcPr>
            <w:tcW w:w="6060" w:type="dxa"/>
            <w:vAlign w:val="bottom"/>
            <w:gridSpan w:val="7"/>
            <w:vMerge w:val="restart"/>
          </w:tcPr>
          <w:p>
            <w:pPr>
              <w:jc w:val="center"/>
              <w:ind w:left="465"/>
              <w:spacing w:after="0" w:line="1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ANNUAL STATEMENT OF CHANGES IN BENEFICIAL</w:t>
            </w:r>
          </w:p>
        </w:tc>
        <w:tc>
          <w:tcPr>
            <w:tcW w:w="6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3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6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1160" w:type="dxa"/>
            <w:vAlign w:val="bottom"/>
            <w:gridSpan w:val="2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3235-0362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380" w:type="dxa"/>
            <w:vAlign w:val="bottom"/>
            <w:gridSpan w:val="3"/>
          </w:tcPr>
          <w:p>
            <w:pPr>
              <w:ind w:left="260"/>
              <w:spacing w:after="0" w:line="6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7"/>
                <w:szCs w:val="7"/>
                <w:color w:val="auto"/>
              </w:rPr>
              <w:t xml:space="preserve">obligations may continue. </w:t>
            </w:r>
            <w:r>
              <w:rPr>
                <w:rFonts w:ascii="Arial" w:cs="Arial" w:eastAsia="Arial" w:hAnsi="Arial"/>
                <w:sz w:val="7"/>
                <w:szCs w:val="7"/>
                <w:i w:val="1"/>
                <w:iCs w:val="1"/>
                <w:color w:val="auto"/>
              </w:rPr>
              <w:t>See</w:t>
            </w:r>
          </w:p>
        </w:tc>
        <w:tc>
          <w:tcPr>
            <w:tcW w:w="606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Instruction 1(b).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restart"/>
          </w:tcPr>
          <w:p>
            <w:pPr>
              <w:jc w:val="center"/>
              <w:ind w:righ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8"/>
              </w:rPr>
              <w:t>OWNERSHIP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380" w:type="dxa"/>
            <w:vAlign w:val="bottom"/>
            <w:gridSpan w:val="3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Form 3 Holdings Reported.</w:t>
            </w: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2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5"/>
              </w:rPr>
              <w:t>1.0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  <w:vMerge w:val="restart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vMerge w:val="restart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3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80" w:type="dxa"/>
            <w:vAlign w:val="bottom"/>
            <w:gridSpan w:val="5"/>
            <w:vMerge w:val="restart"/>
          </w:tcPr>
          <w:p>
            <w:pPr>
              <w:jc w:val="center"/>
              <w:ind w:left="6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380" w:type="dxa"/>
            <w:vAlign w:val="bottom"/>
            <w:gridSpan w:val="3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480" w:type="dxa"/>
            <w:vAlign w:val="bottom"/>
            <w:gridSpan w:val="5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380" w:type="dxa"/>
            <w:vAlign w:val="bottom"/>
            <w:gridSpan w:val="3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Form 4 Transactions Reported.</w:t>
            </w: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48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3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restart"/>
          </w:tcPr>
          <w:p>
            <w:pPr>
              <w:jc w:val="center"/>
              <w:ind w:righ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or Section 30(h) of the Investment Company Act of 1940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80" w:type="dxa"/>
            <w:vAlign w:val="bottom"/>
            <w:gridSpan w:val="5"/>
          </w:tcPr>
          <w:p>
            <w:pPr>
              <w:ind w:left="60"/>
              <w:spacing w:after="0" w:line="21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3100" w:type="dxa"/>
            <w:vAlign w:val="bottom"/>
            <w:gridSpan w:val="5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5. Relationship of Reporting Person(s) to Issuer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380" w:type="dxa"/>
            <w:vAlign w:val="bottom"/>
            <w:gridSpan w:val="3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2"/>
                <w:szCs w:val="22"/>
                <w:color w:val="0000EE"/>
              </w:rPr>
            </w:pPr>
            <w:hyperlink r:id="rId8">
              <w:r>
                <w:rPr>
                  <w:rFonts w:ascii="Arial" w:cs="Arial" w:eastAsia="Arial" w:hAnsi="Arial"/>
                  <w:sz w:val="22"/>
                  <w:szCs w:val="22"/>
                  <w:color w:val="0000EE"/>
                </w:rPr>
                <w:t>Sutardja, Pantas</w:t>
              </w:r>
            </w:hyperlink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800" w:type="dxa"/>
            <w:vAlign w:val="bottom"/>
            <w:tcBorders>
              <w:bottom w:val="single" w:sz="8" w:color="0000EE"/>
            </w:tcBorders>
          </w:tcPr>
          <w:p>
            <w:pPr>
              <w:spacing w:after="0" w:line="175" w:lineRule="exact"/>
              <w:rPr>
                <w:rFonts w:ascii="Arial" w:cs="Arial" w:eastAsia="Arial" w:hAnsi="Arial"/>
                <w:sz w:val="19"/>
                <w:szCs w:val="19"/>
                <w:color w:val="0000EE"/>
              </w:rPr>
            </w:pPr>
            <w:hyperlink r:id="rId9">
              <w:r>
                <w:rPr>
                  <w:rFonts w:ascii="Arial" w:cs="Arial" w:eastAsia="Arial" w:hAnsi="Arial"/>
                  <w:sz w:val="19"/>
                  <w:szCs w:val="19"/>
                  <w:color w:val="0000EE"/>
                </w:rPr>
                <w:t>MARVELL TECHNOLOGY GROUP LTD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18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3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restart"/>
          </w:tcPr>
          <w:p>
            <w:pPr>
              <w:spacing w:after="0" w:line="12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]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280"/>
              <w:spacing w:after="0" w:line="12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X</w:t>
            </w:r>
          </w:p>
        </w:tc>
        <w:tc>
          <w:tcPr>
            <w:tcW w:w="1600" w:type="dxa"/>
            <w:vAlign w:val="bottom"/>
            <w:gridSpan w:val="3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600" w:type="dxa"/>
            <w:vAlign w:val="bottom"/>
            <w:gridSpan w:val="3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4"/>
              </w:rPr>
              <w:t>Other (specify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0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0" w:type="dxa"/>
            <w:vAlign w:val="bottom"/>
            <w:gridSpan w:val="3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3. Statement for Issuer's Fiscal Year Ended (Month/Day/Year)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38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C/O MARVELL SEMICONDUCTOR, INC.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ind w:left="80"/>
              <w:spacing w:after="0" w:line="17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VP, Chief Technology Officer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3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380" w:type="dxa"/>
            <w:vAlign w:val="bottom"/>
            <w:gridSpan w:val="4"/>
            <w:vMerge w:val="restart"/>
          </w:tcPr>
          <w:p>
            <w:pPr>
              <w:ind w:left="58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02/02/2013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3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-6985</wp:posOffset>
            </wp:positionH>
            <wp:positionV relativeFrom="paragraph">
              <wp:posOffset>-1824990</wp:posOffset>
            </wp:positionV>
            <wp:extent cx="7272020" cy="70662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7066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5488 MARVELL LANE</w:t>
      </w:r>
    </w:p>
    <w:p>
      <w:pPr>
        <w:sectPr>
          <w:pgSz w:w="11900" w:h="16838" w:orient="portrait"/>
          <w:cols w:equalWidth="0" w:num="1">
            <w:col w:w="11420"/>
          </w:cols>
          <w:pgMar w:left="240" w:top="226" w:right="239" w:bottom="1440" w:gutter="0" w:footer="0" w:header="0"/>
        </w:sectPr>
      </w:pPr>
    </w:p>
    <w:p>
      <w:pPr>
        <w:spacing w:after="0" w:line="286" w:lineRule="exact"/>
        <w:rPr>
          <w:sz w:val="20"/>
          <w:szCs w:val="20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2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spacing w:after="0"/>
        <w:tabs>
          <w:tab w:leader="none" w:pos="39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9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180"/>
        <w:spacing w:after="0" w:line="211" w:lineRule="auto"/>
        <w:tabs>
          <w:tab w:leader="none" w:pos="45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0"/>
          <w:szCs w:val="20"/>
          <w:color w:val="auto"/>
        </w:rPr>
      </w:pPr>
    </w:p>
    <w:p>
      <w:pPr>
        <w:ind w:left="45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5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61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160"/>
            <w:col w:w="7340"/>
          </w:cols>
          <w:pgMar w:left="240" w:top="226" w:right="239" w:bottom="1440" w:gutter="0" w:footer="0" w:header="0"/>
          <w:type w:val="continuous"/>
        </w:sect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1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3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 Disposed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3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 3, 4 and 5)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20" w:type="dxa"/>
            <w:vAlign w:val="bottom"/>
            <w:gridSpan w:val="3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1020" w:type="dxa"/>
            <w:vAlign w:val="bottom"/>
            <w:gridSpan w:val="3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at end of</w:t>
            </w:r>
          </w:p>
        </w:tc>
        <w:tc>
          <w:tcPr>
            <w:tcW w:w="360" w:type="dxa"/>
            <w:vAlign w:val="bottom"/>
            <w:vMerge w:val="restart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(D) or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20" w:type="dxa"/>
            <w:vAlign w:val="bottom"/>
            <w:gridSpan w:val="3"/>
            <w:vMerge w:val="restart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Issuer's Fiscal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 (I)</w:t>
            </w:r>
          </w:p>
        </w:tc>
        <w:tc>
          <w:tcPr>
            <w:tcW w:w="1020" w:type="dxa"/>
            <w:vAlign w:val="bottom"/>
            <w:gridSpan w:val="3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Year (Instr. 3 and</w:t>
            </w: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8"/>
              </w:rPr>
              <w:t>By 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Chuk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12/26/2012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280"/>
              <w:spacing w:after="0" w:line="21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95"/>
                <w:vertAlign w:val="subscript"/>
              </w:rPr>
              <w:t>G</w:t>
            </w:r>
            <w:r>
              <w:rPr>
                <w:rFonts w:ascii="Arial" w:cs="Arial" w:eastAsia="Arial" w:hAnsi="Arial"/>
                <w:sz w:val="10"/>
                <w:szCs w:val="10"/>
                <w:color w:val="008000"/>
                <w:w w:val="95"/>
              </w:rPr>
              <w:t>(1)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jc w:val="right"/>
              <w:ind w:right="2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315,137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0.00</w:t>
            </w:r>
          </w:p>
        </w:tc>
        <w:tc>
          <w:tcPr>
            <w:tcW w:w="1400" w:type="dxa"/>
            <w:vAlign w:val="bottom"/>
            <w:gridSpan w:val="3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37,300,298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</w:t>
            </w:r>
          </w:p>
        </w:tc>
        <w:tc>
          <w:tcPr>
            <w:tcW w:w="10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Revocable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8"/>
              </w:rPr>
              <w:t>By 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Chuk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12/26/2012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280"/>
              <w:spacing w:after="0" w:line="21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95"/>
                <w:vertAlign w:val="subscript"/>
              </w:rPr>
              <w:t>G</w:t>
            </w:r>
            <w:r>
              <w:rPr>
                <w:rFonts w:ascii="Arial" w:cs="Arial" w:eastAsia="Arial" w:hAnsi="Arial"/>
                <w:sz w:val="10"/>
                <w:szCs w:val="10"/>
                <w:color w:val="008000"/>
                <w:w w:val="95"/>
              </w:rPr>
              <w:t>(1)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jc w:val="right"/>
              <w:ind w:right="2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315,137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0.00</w:t>
            </w:r>
          </w:p>
        </w:tc>
        <w:tc>
          <w:tcPr>
            <w:tcW w:w="1400" w:type="dxa"/>
            <w:vAlign w:val="bottom"/>
            <w:gridSpan w:val="3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36,985,161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</w:t>
            </w:r>
          </w:p>
        </w:tc>
        <w:tc>
          <w:tcPr>
            <w:tcW w:w="10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Revocable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50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6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ind w:left="9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Table II - Derivative Securities Acquired, Disposed of, or Beneficially Owned</w:t>
            </w: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20" w:type="dxa"/>
            <w:vAlign w:val="bottom"/>
            <w:gridSpan w:val="10"/>
          </w:tcPr>
          <w:p>
            <w:pPr>
              <w:ind w:left="5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(e.g., puts, calls, warrants, options, convertible securities)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3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6. Date Exercisable and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4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8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3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gridSpan w:val="2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8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38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gridSpan w:val="2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8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gridSpan w:val="2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gridSpan w:val="2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gridSpan w:val="2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 3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gridSpan w:val="2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60" w:type="dxa"/>
            <w:vAlign w:val="bottom"/>
            <w:gridSpan w:val="2"/>
          </w:tcPr>
          <w:p>
            <w:pPr>
              <w:ind w:left="5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5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13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  Date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4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008000"/>
        </w:rPr>
        <w:t>1. This transaction involved a gift of securities by the reporting person.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/s/ Pantas Sutardja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02/07/2013</w:t>
            </w:r>
          </w:p>
        </w:tc>
      </w:tr>
      <w:tr>
        <w:trPr>
          <w:trHeight w:val="20"/>
        </w:trPr>
        <w:tc>
          <w:tcPr>
            <w:tcW w:w="13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10" Type="http://schemas.openxmlformats.org/officeDocument/2006/relationships/image" Target="media/image1.png"/><Relationship Id="rId8" Type="http://schemas.openxmlformats.org/officeDocument/2006/relationships/hyperlink" Target="http://www.sec.gov/cgi-bin/browse-edgar?action=getcompany&amp;CIK=0001134282" TargetMode="External"/><Relationship Id="rId9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2019-12-18T03:20:35Z</dcterms:created>
  <dcterms:modified xsi:type="dcterms:W3CDTF">2019-12-18T03:20:35Z</dcterms:modified>
</cp:coreProperties>
</file>