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67"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SCHEDULE 13G</w:t>
      </w:r>
    </w:p>
    <w:p>
      <w:pPr>
        <w:spacing w:after="0" w:line="172"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(Amendment No. 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1" w:lineRule="exact"/>
        <w:rPr>
          <w:sz w:val="24"/>
          <w:szCs w:val="24"/>
          <w:color w:val="auto"/>
        </w:rPr>
      </w:pPr>
    </w:p>
    <w:p>
      <w:pPr>
        <w:jc w:val="center"/>
        <w:ind w:right="-15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(Name of Issuer)</w:t>
      </w:r>
    </w:p>
    <w:p>
      <w:pPr>
        <w:spacing w:after="0" w:line="313"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(Title of Class of Securities)</w:t>
      </w:r>
    </w:p>
    <w:p>
      <w:pPr>
        <w:spacing w:after="0" w:line="29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(CUSIP Number)</w:t>
      </w:r>
    </w:p>
    <w:p>
      <w:pPr>
        <w:spacing w:after="0" w:line="29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December 31, 2012</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224790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2"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460" w:hanging="44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14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85090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119380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Page 1 of 6</w:t>
      </w:r>
    </w:p>
    <w:p>
      <w:pPr>
        <w:sectPr>
          <w:pgSz w:w="11900" w:h="16838" w:orient="portrait"/>
          <w:cols w:equalWidth="0" w:num="1">
            <w:col w:w="11260"/>
          </w:cols>
          <w:pgMar w:left="240" w:top="422" w:right="39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Sehat Sutardja</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2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4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102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102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300"/>
              <w:spacing w:after="0"/>
              <w:rPr>
                <w:sz w:val="20"/>
                <w:szCs w:val="20"/>
                <w:color w:val="auto"/>
              </w:rPr>
            </w:pPr>
            <w:r>
              <w:rPr>
                <w:rFonts w:ascii="Arial" w:cs="Arial" w:eastAsia="Arial" w:hAnsi="Arial"/>
                <w:sz w:val="22"/>
                <w:szCs w:val="22"/>
                <w:color w:val="auto"/>
              </w:rPr>
              <w:t>67,561,436 shares *</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8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3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67,561,436 shares *</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940" w:type="dxa"/>
            <w:vAlign w:val="bottom"/>
            <w:gridSpan w:val="3"/>
          </w:tcPr>
          <w:p>
            <w:pPr>
              <w:ind w:left="80"/>
              <w:spacing w:after="0"/>
              <w:rPr>
                <w:sz w:val="20"/>
                <w:szCs w:val="20"/>
                <w:color w:val="auto"/>
              </w:rPr>
            </w:pPr>
            <w:r>
              <w:rPr>
                <w:rFonts w:ascii="Arial" w:cs="Arial" w:eastAsia="Arial" w:hAnsi="Arial"/>
                <w:sz w:val="18"/>
                <w:szCs w:val="18"/>
                <w:color w:val="auto"/>
                <w:w w:val="98"/>
              </w:rPr>
              <w:t>Aggregate</w:t>
            </w:r>
          </w:p>
        </w:tc>
        <w:tc>
          <w:tcPr>
            <w:tcW w:w="1008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67,561,436 shares *</w:t>
            </w: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1102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gridSpan w:val="2"/>
          </w:tcPr>
          <w:p>
            <w:pPr>
              <w:spacing w:after="0"/>
              <w:rPr>
                <w:sz w:val="13"/>
                <w:szCs w:val="13"/>
                <w:color w:val="auto"/>
              </w:rPr>
            </w:pPr>
          </w:p>
        </w:tc>
        <w:tc>
          <w:tcPr>
            <w:tcW w:w="1008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12.8%</w:t>
            </w: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20" w:hanging="212"/>
        <w:spacing w:after="0" w:line="294" w:lineRule="auto"/>
        <w:tabs>
          <w:tab w:leader="none" w:pos="220" w:val="left"/>
        </w:tabs>
        <w:numPr>
          <w:ilvl w:val="0"/>
          <w:numId w:val="3"/>
        </w:numPr>
        <w:rPr>
          <w:rFonts w:ascii="Arial" w:cs="Arial" w:eastAsia="Arial" w:hAnsi="Arial"/>
          <w:sz w:val="16"/>
          <w:szCs w:val="16"/>
          <w:color w:val="auto"/>
        </w:rPr>
      </w:pPr>
      <w:r>
        <w:rPr>
          <w:rFonts w:ascii="Arial" w:cs="Arial" w:eastAsia="Arial" w:hAnsi="Arial"/>
          <w:sz w:val="16"/>
          <w:szCs w:val="16"/>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2,613,300 shares issuable pursuant to stock options exercisable on March 1, 2013, held by Dr. Sehat Sutardja, and (iii) 370,000 shares issuable pursuant to stock options exercisable on March 1, 2013,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40"/>
          </w:cols>
          <w:pgMar w:left="240" w:top="280"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Weili Dai</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2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4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6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102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1102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300"/>
              <w:spacing w:after="0"/>
              <w:rPr>
                <w:sz w:val="20"/>
                <w:szCs w:val="20"/>
                <w:color w:val="auto"/>
              </w:rPr>
            </w:pPr>
            <w:r>
              <w:rPr>
                <w:rFonts w:ascii="Arial" w:cs="Arial" w:eastAsia="Arial" w:hAnsi="Arial"/>
                <w:sz w:val="22"/>
                <w:szCs w:val="22"/>
                <w:color w:val="auto"/>
              </w:rPr>
              <w:t>67,561,436 shares *</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8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restart"/>
          </w:tcPr>
          <w:p>
            <w:pPr>
              <w:ind w:left="3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8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8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67,561,436 shares *</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940" w:type="dxa"/>
            <w:vAlign w:val="bottom"/>
            <w:gridSpan w:val="3"/>
          </w:tcPr>
          <w:p>
            <w:pPr>
              <w:ind w:left="80"/>
              <w:spacing w:after="0"/>
              <w:rPr>
                <w:sz w:val="20"/>
                <w:szCs w:val="20"/>
                <w:color w:val="auto"/>
              </w:rPr>
            </w:pPr>
            <w:r>
              <w:rPr>
                <w:rFonts w:ascii="Arial" w:cs="Arial" w:eastAsia="Arial" w:hAnsi="Arial"/>
                <w:sz w:val="18"/>
                <w:szCs w:val="18"/>
                <w:color w:val="auto"/>
                <w:w w:val="98"/>
              </w:rPr>
              <w:t>Aggregate</w:t>
            </w:r>
          </w:p>
        </w:tc>
        <w:tc>
          <w:tcPr>
            <w:tcW w:w="1008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2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67,561,436 shares *</w:t>
            </w: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11020" w:type="dxa"/>
            <w:vAlign w:val="bottom"/>
            <w:gridSpan w:val="4"/>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660" w:type="dxa"/>
            <w:vAlign w:val="bottom"/>
            <w:tcBorders>
              <w:bottom w:val="single" w:sz="8" w:color="auto"/>
            </w:tcBorders>
          </w:tcPr>
          <w:p>
            <w:pPr>
              <w:spacing w:after="0"/>
              <w:rPr>
                <w:sz w:val="13"/>
                <w:szCs w:val="13"/>
                <w:color w:val="auto"/>
              </w:rPr>
            </w:pPr>
          </w:p>
        </w:tc>
        <w:tc>
          <w:tcPr>
            <w:tcW w:w="280" w:type="dxa"/>
            <w:vAlign w:val="bottom"/>
            <w:tcBorders>
              <w:bottom w:val="single" w:sz="8" w:color="auto"/>
            </w:tcBorders>
            <w:gridSpan w:val="2"/>
          </w:tcPr>
          <w:p>
            <w:pPr>
              <w:spacing w:after="0"/>
              <w:rPr>
                <w:sz w:val="13"/>
                <w:szCs w:val="13"/>
                <w:color w:val="auto"/>
              </w:rPr>
            </w:pPr>
          </w:p>
        </w:tc>
        <w:tc>
          <w:tcPr>
            <w:tcW w:w="1008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12.8%</w:t>
            </w: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2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40" w:hanging="212"/>
        <w:spacing w:after="0" w:line="294" w:lineRule="auto"/>
        <w:tabs>
          <w:tab w:leader="none" w:pos="220" w:val="left"/>
        </w:tabs>
        <w:numPr>
          <w:ilvl w:val="0"/>
          <w:numId w:val="4"/>
        </w:numPr>
        <w:rPr>
          <w:rFonts w:ascii="Arial" w:cs="Arial" w:eastAsia="Arial" w:hAnsi="Arial"/>
          <w:sz w:val="16"/>
          <w:szCs w:val="16"/>
          <w:color w:val="auto"/>
        </w:rPr>
      </w:pPr>
      <w:r>
        <w:rPr>
          <w:rFonts w:ascii="Arial" w:cs="Arial" w:eastAsia="Arial" w:hAnsi="Arial"/>
          <w:sz w:val="16"/>
          <w:szCs w:val="16"/>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2,613,300 shares issuable pursuant to stock options exercisable on March 1, 2013, held by Dr. Sehat Sutardja, and (iii) 370,000 shares issuable pursuant to stock options exercisable on March 1, 2013,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40"/>
          </w:cols>
          <w:pgMar w:left="240" w:top="280" w:right="219" w:bottom="1440" w:gutter="0" w:footer="0" w:header="0"/>
        </w:sectPr>
      </w:pPr>
    </w:p>
    <w:bookmarkStart w:id="3" w:name="page4"/>
    <w:bookmarkEnd w:id="3"/>
    <w:p>
      <w:pPr>
        <w:spacing w:after="0"/>
        <w:tabs>
          <w:tab w:leader="none" w:pos="700" w:val="left"/>
          <w:tab w:leader="none" w:pos="14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tab/>
        <w:t>(a)</w:t>
      </w:r>
      <w:r>
        <w:rPr>
          <w:sz w:val="20"/>
          <w:szCs w:val="20"/>
          <w:color w:val="auto"/>
        </w:rPr>
        <w:tab/>
      </w:r>
      <w:r>
        <w:rPr>
          <w:rFonts w:ascii="Arial" w:cs="Arial" w:eastAsia="Arial" w:hAnsi="Arial"/>
          <w:sz w:val="15"/>
          <w:szCs w:val="15"/>
          <w:color w:val="auto"/>
        </w:rPr>
        <w:t>Name of Issuer</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Marvell Technology Group Ltd.</w:t>
      </w:r>
    </w:p>
    <w:p>
      <w:pPr>
        <w:spacing w:after="0" w:line="117" w:lineRule="exact"/>
        <w:rPr>
          <w:sz w:val="20"/>
          <w:szCs w:val="20"/>
          <w:color w:val="auto"/>
        </w:rPr>
      </w:pPr>
    </w:p>
    <w:p>
      <w:pPr>
        <w:ind w:left="1420" w:hanging="710"/>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420" w:right="6559"/>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jc w:val="both"/>
        <w:ind w:left="1420" w:right="755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69" w:lineRule="exact"/>
        <w:rPr>
          <w:sz w:val="20"/>
          <w:szCs w:val="20"/>
          <w:color w:val="auto"/>
        </w:rPr>
      </w:pPr>
    </w:p>
    <w:p>
      <w:pPr>
        <w:spacing w:after="0"/>
        <w:tabs>
          <w:tab w:leader="none" w:pos="700" w:val="left"/>
          <w:tab w:leader="none" w:pos="1400" w:val="left"/>
        </w:tabs>
        <w:rPr>
          <w:sz w:val="20"/>
          <w:szCs w:val="20"/>
          <w:color w:val="auto"/>
        </w:rPr>
      </w:pPr>
      <w:r>
        <w:rPr>
          <w:rFonts w:ascii="Arial" w:cs="Arial" w:eastAsia="Arial" w:hAnsi="Arial"/>
          <w:sz w:val="18"/>
          <w:szCs w:val="18"/>
          <w:color w:val="auto"/>
        </w:rPr>
        <w:t>Item 2.</w:t>
        <w:tab/>
        <w:t>(a)</w:t>
      </w:r>
      <w:r>
        <w:rPr>
          <w:sz w:val="20"/>
          <w:szCs w:val="20"/>
          <w:color w:val="auto"/>
        </w:rPr>
        <w:tab/>
      </w:r>
      <w:r>
        <w:rPr>
          <w:rFonts w:ascii="Arial" w:cs="Arial" w:eastAsia="Arial" w:hAnsi="Arial"/>
          <w:sz w:val="15"/>
          <w:szCs w:val="15"/>
          <w:color w:val="auto"/>
        </w:rPr>
        <w:t>Name of Person Filing</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Dr. Sehat Sutardja</w:t>
      </w:r>
    </w:p>
    <w:p>
      <w:pPr>
        <w:spacing w:after="0" w:line="117" w:lineRule="exact"/>
        <w:rPr>
          <w:sz w:val="20"/>
          <w:szCs w:val="20"/>
          <w:color w:val="auto"/>
        </w:rPr>
      </w:pPr>
    </w:p>
    <w:p>
      <w:pPr>
        <w:ind w:left="1420" w:hanging="710"/>
        <w:spacing w:after="0"/>
        <w:tabs>
          <w:tab w:leader="none" w:pos="1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420" w:right="71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8" w:lineRule="exact"/>
        <w:rPr>
          <w:rFonts w:ascii="Arial" w:cs="Arial" w:eastAsia="Arial" w:hAnsi="Arial"/>
          <w:sz w:val="18"/>
          <w:szCs w:val="18"/>
          <w:color w:val="auto"/>
        </w:rPr>
      </w:pPr>
    </w:p>
    <w:p>
      <w:pPr>
        <w:ind w:left="1420" w:right="7859" w:hanging="710"/>
        <w:spacing w:after="0" w:line="451" w:lineRule="auto"/>
        <w:tabs>
          <w:tab w:leader="none" w:pos="1420"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420" w:hanging="710"/>
        <w:spacing w:after="0"/>
        <w:tabs>
          <w:tab w:leader="none" w:pos="1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7" w:lineRule="exact"/>
        <w:rPr>
          <w:rFonts w:ascii="Arial" w:cs="Arial" w:eastAsia="Arial" w:hAnsi="Arial"/>
          <w:sz w:val="18"/>
          <w:szCs w:val="18"/>
          <w:color w:val="auto"/>
        </w:rPr>
      </w:pPr>
    </w:p>
    <w:p>
      <w:pPr>
        <w:ind w:left="1420" w:hanging="710"/>
        <w:spacing w:after="0"/>
        <w:tabs>
          <w:tab w:leader="none" w:pos="1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CUSIP Number</w:t>
      </w:r>
    </w:p>
    <w:p>
      <w:pPr>
        <w:spacing w:after="0" w:line="117" w:lineRule="exact"/>
        <w:rPr>
          <w:sz w:val="20"/>
          <w:szCs w:val="20"/>
          <w:color w:val="auto"/>
        </w:rPr>
      </w:pPr>
    </w:p>
    <w:p>
      <w:pPr>
        <w:ind w:left="1580" w:hanging="167"/>
        <w:spacing w:after="0"/>
        <w:tabs>
          <w:tab w:leader="none" w:pos="1580" w:val="left"/>
        </w:tabs>
        <w:numPr>
          <w:ilvl w:val="1"/>
          <w:numId w:val="7"/>
        </w:numPr>
        <w:rPr>
          <w:rFonts w:ascii="Arial" w:cs="Arial" w:eastAsia="Arial" w:hAnsi="Arial"/>
          <w:sz w:val="18"/>
          <w:szCs w:val="18"/>
          <w:color w:val="auto"/>
        </w:rPr>
      </w:pPr>
      <w:r>
        <w:rPr>
          <w:rFonts w:ascii="Arial" w:cs="Arial" w:eastAsia="Arial" w:hAnsi="Arial"/>
          <w:sz w:val="18"/>
          <w:szCs w:val="18"/>
          <w:color w:val="auto"/>
        </w:rPr>
        <w:t>5876H105</w:t>
      </w:r>
    </w:p>
    <w:p>
      <w:pPr>
        <w:spacing w:after="0" w:line="117" w:lineRule="exact"/>
        <w:rPr>
          <w:rFonts w:ascii="Arial" w:cs="Arial" w:eastAsia="Arial" w:hAnsi="Arial"/>
          <w:sz w:val="18"/>
          <w:szCs w:val="18"/>
          <w:color w:val="auto"/>
        </w:rPr>
      </w:pPr>
    </w:p>
    <w:p>
      <w:pPr>
        <w:ind w:left="1420" w:right="7219" w:hanging="710"/>
        <w:spacing w:after="0" w:line="375" w:lineRule="auto"/>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1" w:lineRule="exact"/>
        <w:rPr>
          <w:rFonts w:ascii="Arial" w:cs="Arial" w:eastAsia="Arial" w:hAnsi="Arial"/>
          <w:sz w:val="18"/>
          <w:szCs w:val="18"/>
          <w:color w:val="auto"/>
        </w:rPr>
      </w:pPr>
    </w:p>
    <w:p>
      <w:pPr>
        <w:ind w:left="1420" w:hanging="710"/>
        <w:spacing w:after="0"/>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420" w:right="71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8" w:lineRule="exact"/>
        <w:rPr>
          <w:rFonts w:ascii="Arial" w:cs="Arial" w:eastAsia="Arial" w:hAnsi="Arial"/>
          <w:sz w:val="18"/>
          <w:szCs w:val="18"/>
          <w:color w:val="auto"/>
        </w:rPr>
      </w:pPr>
    </w:p>
    <w:p>
      <w:pPr>
        <w:ind w:left="1420" w:right="7859" w:hanging="710"/>
        <w:spacing w:after="0" w:line="451" w:lineRule="auto"/>
        <w:tabs>
          <w:tab w:leader="none" w:pos="1420" w:val="left"/>
        </w:tabs>
        <w:numPr>
          <w:ilvl w:val="0"/>
          <w:numId w:val="7"/>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420" w:hanging="710"/>
        <w:spacing w:after="0"/>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7" w:lineRule="exact"/>
        <w:rPr>
          <w:rFonts w:ascii="Arial" w:cs="Arial" w:eastAsia="Arial" w:hAnsi="Arial"/>
          <w:sz w:val="18"/>
          <w:szCs w:val="18"/>
          <w:color w:val="auto"/>
        </w:rPr>
      </w:pPr>
    </w:p>
    <w:p>
      <w:pPr>
        <w:ind w:left="1420" w:hanging="710"/>
        <w:spacing w:after="0"/>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CUSIP Number</w:t>
      </w:r>
    </w:p>
    <w:p>
      <w:pPr>
        <w:spacing w:after="0" w:line="117" w:lineRule="exact"/>
        <w:rPr>
          <w:rFonts w:ascii="Arial" w:cs="Arial" w:eastAsia="Arial" w:hAnsi="Arial"/>
          <w:sz w:val="18"/>
          <w:szCs w:val="18"/>
          <w:color w:val="auto"/>
        </w:rPr>
      </w:pPr>
    </w:p>
    <w:p>
      <w:pPr>
        <w:ind w:left="1580" w:hanging="167"/>
        <w:spacing w:after="0"/>
        <w:tabs>
          <w:tab w:leader="none" w:pos="1580" w:val="left"/>
        </w:tabs>
        <w:numPr>
          <w:ilvl w:val="1"/>
          <w:numId w:val="7"/>
        </w:numPr>
        <w:rPr>
          <w:rFonts w:ascii="Arial" w:cs="Arial" w:eastAsia="Arial" w:hAnsi="Arial"/>
          <w:sz w:val="18"/>
          <w:szCs w:val="18"/>
          <w:color w:val="auto"/>
        </w:rPr>
      </w:pPr>
      <w:r>
        <w:rPr>
          <w:rFonts w:ascii="Arial" w:cs="Arial" w:eastAsia="Arial" w:hAnsi="Arial"/>
          <w:sz w:val="18"/>
          <w:szCs w:val="18"/>
          <w:color w:val="auto"/>
        </w:rPr>
        <w:t>5876H105</w:t>
      </w:r>
    </w:p>
    <w:p>
      <w:pPr>
        <w:spacing w:after="0" w:line="11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80" w:right="1440" w:bottom="1440" w:gutter="0" w:footer="0" w:header="0"/>
        </w:sectPr>
      </w:pPr>
    </w:p>
    <w:bookmarkStart w:id="4" w:name="page5"/>
    <w:bookmarkEnd w:id="4"/>
    <w:p>
      <w:pPr>
        <w:spacing w:after="0"/>
        <w:tabs>
          <w:tab w:leader="none" w:pos="6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5"/>
          <w:szCs w:val="15"/>
          <w:color w:val="auto"/>
        </w:rPr>
        <w:t>Ownership</w:t>
      </w:r>
    </w:p>
    <w:p>
      <w:pPr>
        <w:spacing w:after="0" w:line="117" w:lineRule="exact"/>
        <w:rPr>
          <w:sz w:val="20"/>
          <w:szCs w:val="20"/>
          <w:color w:val="auto"/>
        </w:rPr>
      </w:pPr>
    </w:p>
    <w:p>
      <w:pPr>
        <w:ind w:left="700" w:right="199"/>
        <w:spacing w:after="0" w:line="268" w:lineRule="auto"/>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78" w:lineRule="exact"/>
        <w:rPr>
          <w:sz w:val="20"/>
          <w:szCs w:val="20"/>
          <w:color w:val="auto"/>
        </w:rPr>
      </w:pPr>
    </w:p>
    <w:p>
      <w:pPr>
        <w:ind w:left="1000" w:hanging="303"/>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17"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67,561,436 shares **</w:t>
      </w:r>
    </w:p>
    <w:p>
      <w:pPr>
        <w:spacing w:after="0" w:line="117" w:lineRule="exact"/>
        <w:rPr>
          <w:rFonts w:ascii="Arial" w:cs="Arial" w:eastAsia="Arial" w:hAnsi="Arial"/>
          <w:sz w:val="18"/>
          <w:szCs w:val="18"/>
          <w:color w:val="auto"/>
        </w:rPr>
      </w:pPr>
    </w:p>
    <w:p>
      <w:pPr>
        <w:ind w:left="1000" w:hanging="303"/>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17"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12.8%</w:t>
      </w:r>
    </w:p>
    <w:p>
      <w:pPr>
        <w:spacing w:after="0" w:line="117" w:lineRule="exact"/>
        <w:rPr>
          <w:rFonts w:ascii="Arial" w:cs="Arial" w:eastAsia="Arial" w:hAnsi="Arial"/>
          <w:sz w:val="18"/>
          <w:szCs w:val="18"/>
          <w:color w:val="auto"/>
        </w:rPr>
      </w:pPr>
    </w:p>
    <w:p>
      <w:pPr>
        <w:ind w:left="1000" w:hanging="303"/>
        <w:spacing w:after="0"/>
        <w:tabs>
          <w:tab w:leader="none" w:pos="1000" w:val="left"/>
        </w:tabs>
        <w:numPr>
          <w:ilvl w:val="0"/>
          <w:numId w:val="8"/>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380" w:right="6099" w:hanging="373"/>
        <w:spacing w:after="0" w:line="375" w:lineRule="auto"/>
        <w:tabs>
          <w:tab w:leader="none" w:pos="1380" w:val="left"/>
        </w:tabs>
        <w:numPr>
          <w:ilvl w:val="1"/>
          <w:numId w:val="8"/>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1" w:lineRule="exact"/>
        <w:rPr>
          <w:rFonts w:ascii="Arial" w:cs="Arial" w:eastAsia="Arial" w:hAnsi="Arial"/>
          <w:sz w:val="18"/>
          <w:szCs w:val="18"/>
          <w:color w:val="auto"/>
        </w:rPr>
      </w:pPr>
    </w:p>
    <w:p>
      <w:pPr>
        <w:ind w:left="1380" w:right="5939" w:hanging="373"/>
        <w:spacing w:after="0" w:line="375" w:lineRule="auto"/>
        <w:tabs>
          <w:tab w:leader="none" w:pos="1380" w:val="left"/>
        </w:tabs>
        <w:numPr>
          <w:ilvl w:val="1"/>
          <w:numId w:val="8"/>
        </w:numPr>
        <w:rPr>
          <w:rFonts w:ascii="Arial" w:cs="Arial" w:eastAsia="Arial" w:hAnsi="Arial"/>
          <w:sz w:val="18"/>
          <w:szCs w:val="18"/>
          <w:color w:val="auto"/>
        </w:rPr>
      </w:pPr>
      <w:r>
        <w:rPr>
          <w:rFonts w:ascii="Arial" w:cs="Arial" w:eastAsia="Arial" w:hAnsi="Arial"/>
          <w:sz w:val="18"/>
          <w:szCs w:val="18"/>
          <w:color w:val="auto"/>
        </w:rPr>
        <w:t>Shared power to vote or to direct the vote 67,561,436 shares *</w:t>
      </w:r>
    </w:p>
    <w:p>
      <w:pPr>
        <w:spacing w:after="0" w:line="1" w:lineRule="exact"/>
        <w:rPr>
          <w:rFonts w:ascii="Arial" w:cs="Arial" w:eastAsia="Arial" w:hAnsi="Arial"/>
          <w:sz w:val="18"/>
          <w:szCs w:val="18"/>
          <w:color w:val="auto"/>
        </w:rPr>
      </w:pPr>
    </w:p>
    <w:p>
      <w:pPr>
        <w:ind w:left="1380" w:right="5219" w:hanging="373"/>
        <w:spacing w:after="0" w:line="375" w:lineRule="auto"/>
        <w:tabs>
          <w:tab w:leader="none" w:pos="1380" w:val="left"/>
        </w:tabs>
        <w:numPr>
          <w:ilvl w:val="1"/>
          <w:numId w:val="8"/>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 w:lineRule="exact"/>
        <w:rPr>
          <w:rFonts w:ascii="Arial" w:cs="Arial" w:eastAsia="Arial" w:hAnsi="Arial"/>
          <w:sz w:val="18"/>
          <w:szCs w:val="18"/>
          <w:color w:val="auto"/>
        </w:rPr>
      </w:pPr>
    </w:p>
    <w:p>
      <w:pPr>
        <w:ind w:left="1380" w:hanging="373"/>
        <w:spacing w:after="0"/>
        <w:tabs>
          <w:tab w:leader="none" w:pos="1380" w:val="left"/>
        </w:tabs>
        <w:numPr>
          <w:ilvl w:val="1"/>
          <w:numId w:val="8"/>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w:t>
      </w:r>
    </w:p>
    <w:p>
      <w:pPr>
        <w:spacing w:after="0" w:line="117"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67,561,436 shares *</w:t>
      </w:r>
    </w:p>
    <w:p>
      <w:pPr>
        <w:spacing w:after="0" w:line="117" w:lineRule="exact"/>
        <w:rPr>
          <w:sz w:val="20"/>
          <w:szCs w:val="20"/>
          <w:color w:val="auto"/>
        </w:rPr>
      </w:pPr>
    </w:p>
    <w:p>
      <w:pPr>
        <w:ind w:left="1100" w:hanging="403"/>
        <w:spacing w:after="0"/>
        <w:tabs>
          <w:tab w:leader="none" w:pos="1100" w:val="left"/>
        </w:tabs>
        <w:numPr>
          <w:ilvl w:val="0"/>
          <w:numId w:val="9"/>
        </w:numPr>
        <w:rPr>
          <w:rFonts w:ascii="Arial" w:cs="Arial" w:eastAsia="Arial" w:hAnsi="Arial"/>
          <w:sz w:val="15"/>
          <w:szCs w:val="15"/>
          <w:color w:val="auto"/>
        </w:rPr>
      </w:pPr>
      <w:r>
        <w:rPr>
          <w:rFonts w:ascii="Arial" w:cs="Arial" w:eastAsia="Arial" w:hAnsi="Arial"/>
          <w:sz w:val="15"/>
          <w:szCs w:val="15"/>
          <w:color w:val="auto"/>
        </w:rPr>
        <w:t>Dr. Sehat Sutardja and Ms. Dai are married to each other and live in California, a community property state. As such, each may</w:t>
      </w:r>
    </w:p>
    <w:p>
      <w:pPr>
        <w:spacing w:after="0" w:line="50" w:lineRule="exact"/>
        <w:rPr>
          <w:sz w:val="20"/>
          <w:szCs w:val="20"/>
          <w:color w:val="auto"/>
        </w:rPr>
      </w:pPr>
    </w:p>
    <w:p>
      <w:pPr>
        <w:ind w:left="1120"/>
        <w:spacing w:after="0"/>
        <w:rPr>
          <w:sz w:val="20"/>
          <w:szCs w:val="20"/>
          <w:color w:val="auto"/>
        </w:rPr>
      </w:pPr>
      <w:r>
        <w:rPr>
          <w:rFonts w:ascii="Arial" w:cs="Arial" w:eastAsia="Arial" w:hAnsi="Arial"/>
          <w:sz w:val="16"/>
          <w:szCs w:val="16"/>
          <w:color w:val="auto"/>
        </w:rPr>
        <w:t>be deemed to be the beneficial owner (with voting and investment power) with respect to all of the outstanding shares held.</w:t>
      </w:r>
    </w:p>
    <w:p>
      <w:pPr>
        <w:spacing w:after="0" w:line="32" w:lineRule="exact"/>
        <w:rPr>
          <w:sz w:val="20"/>
          <w:szCs w:val="20"/>
          <w:color w:val="auto"/>
        </w:rPr>
      </w:pPr>
    </w:p>
    <w:p>
      <w:pPr>
        <w:ind w:left="1120" w:right="139" w:hanging="423"/>
        <w:spacing w:after="0" w:line="252" w:lineRule="auto"/>
        <w:tabs>
          <w:tab w:leader="none" w:pos="1083" w:val="left"/>
        </w:tabs>
        <w:numPr>
          <w:ilvl w:val="0"/>
          <w:numId w:val="10"/>
        </w:numPr>
        <w:rPr>
          <w:rFonts w:ascii="Arial" w:cs="Arial" w:eastAsia="Arial" w:hAnsi="Arial"/>
          <w:sz w:val="18"/>
          <w:szCs w:val="18"/>
          <w:color w:val="auto"/>
        </w:rPr>
      </w:pPr>
      <w:r>
        <w:rPr>
          <w:rFonts w:ascii="Arial" w:cs="Arial" w:eastAsia="Arial" w:hAnsi="Arial"/>
          <w:sz w:val="18"/>
          <w:szCs w:val="18"/>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 (ii) 2,613,300 shares issuable pursuant to stock options exercisable on March 1, 2013, held by Dr. Sehat Sutardja, and (iii) 370,000 shares issuable pursuant to stock options exercisable on March 1, 2013,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9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ind w:left="700" w:right="139"/>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8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0219"/>
          </w:cols>
          <w:pgMar w:left="240" w:top="280" w:right="1440" w:bottom="1440" w:gutter="0" w:footer="0" w:header="0"/>
        </w:sectPr>
      </w:pPr>
    </w:p>
    <w:bookmarkStart w:id="5" w:name="page6"/>
    <w:bookmarkEnd w:id="5"/>
    <w:p>
      <w:pPr>
        <w:ind w:left="5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7, 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ind w:left="8280"/>
        <w:spacing w:after="0"/>
        <w:tabs>
          <w:tab w:leader="none" w:pos="860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5"/>
          <w:szCs w:val="15"/>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88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7 , 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right"/>
        <w:ind w:right="1320"/>
        <w:spacing w:after="0"/>
        <w:tabs>
          <w:tab w:leader="none" w:pos="19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right"/>
        <w:ind w:right="13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0780"/>
          </w:cols>
          <w:pgMar w:left="240" w:top="274" w:right="879" w:bottom="1440" w:gutter="0" w:footer="0" w:header="0"/>
        </w:sectPr>
      </w:pPr>
    </w:p>
    <w:bookmarkStart w:id="6" w:name="page7"/>
    <w:bookmarkEnd w:id="6"/>
    <w:p>
      <w:pPr>
        <w:jc w:val="right"/>
        <w:ind w:right="39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5" w:lineRule="exact"/>
        <w:rPr>
          <w:sz w:val="20"/>
          <w:szCs w:val="20"/>
          <w:color w:val="auto"/>
        </w:rPr>
      </w:pPr>
    </w:p>
    <w:p>
      <w:pPr>
        <w:ind w:left="20"/>
        <w:spacing w:after="0"/>
        <w:tabs>
          <w:tab w:leader="none" w:pos="960" w:val="left"/>
        </w:tabs>
        <w:rPr>
          <w:sz w:val="20"/>
          <w:szCs w:val="20"/>
          <w:color w:val="auto"/>
        </w:rPr>
      </w:pPr>
      <w:r>
        <w:rPr>
          <w:rFonts w:ascii="Arial" w:cs="Arial" w:eastAsia="Arial" w:hAnsi="Arial"/>
          <w:sz w:val="14"/>
          <w:szCs w:val="14"/>
          <w:u w:val="single" w:color="auto"/>
          <w:color w:val="auto"/>
        </w:rPr>
        <w:t>Exhibit</w:t>
      </w:r>
      <w:r>
        <w:rPr>
          <w:sz w:val="20"/>
          <w:szCs w:val="20"/>
          <w:color w:val="auto"/>
        </w:rPr>
        <w:tab/>
      </w:r>
      <w:r>
        <w:rPr>
          <w:rFonts w:ascii="Arial" w:cs="Arial" w:eastAsia="Arial" w:hAnsi="Arial"/>
          <w:sz w:val="14"/>
          <w:szCs w:val="14"/>
          <w:u w:val="single" w:color="auto"/>
          <w:color w:val="auto"/>
        </w:rPr>
        <w:t>Description</w:t>
      </w:r>
    </w:p>
    <w:p>
      <w:pPr>
        <w:spacing w:after="0" w:line="112"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7, 2013.</w:t>
      </w:r>
    </w:p>
    <w:p>
      <w:pPr>
        <w:sectPr>
          <w:pgSz w:w="11900" w:h="16838" w:orient="portrait"/>
          <w:cols w:equalWidth="0" w:num="1">
            <w:col w:w="10219"/>
          </w:cols>
          <w:pgMar w:left="240" w:top="274"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171"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7, 2013.</w:t>
      </w:r>
    </w:p>
    <w:p>
      <w:pPr>
        <w:spacing w:after="0" w:line="212" w:lineRule="exact"/>
        <w:rPr>
          <w:sz w:val="20"/>
          <w:szCs w:val="20"/>
          <w:color w:val="auto"/>
        </w:rPr>
      </w:pPr>
    </w:p>
    <w:tbl>
      <w:tblPr>
        <w:tblLayout w:type="fixed"/>
        <w:tblInd w:w="6860" w:type="dxa"/>
        <w:tblCellMar>
          <w:top w:w="0" w:type="dxa"/>
          <w:left w:w="0" w:type="dxa"/>
          <w:bottom w:w="0" w:type="dxa"/>
          <w:right w:w="0" w:type="dxa"/>
        </w:tblCellMar>
      </w:tblPr>
      <w:tr>
        <w:trPr>
          <w:trHeight w:val="224"/>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right"/>
              <w:ind w:right="1732"/>
              <w:spacing w:after="0"/>
              <w:rPr>
                <w:sz w:val="20"/>
                <w:szCs w:val="20"/>
                <w:color w:val="auto"/>
              </w:rPr>
            </w:pPr>
            <w:r>
              <w:rPr>
                <w:rFonts w:ascii="Arial" w:cs="Arial" w:eastAsia="Arial" w:hAnsi="Arial"/>
                <w:sz w:val="18"/>
                <w:szCs w:val="18"/>
                <w:color w:val="auto"/>
              </w:rPr>
              <w:t>/s/  Weili Dai</w:t>
            </w:r>
          </w:p>
        </w:tc>
      </w:tr>
      <w:tr>
        <w:trPr>
          <w:trHeight w:val="221"/>
        </w:trPr>
        <w:tc>
          <w:tcPr>
            <w:tcW w:w="280" w:type="dxa"/>
            <w:vAlign w:val="bottom"/>
          </w:tcPr>
          <w:p>
            <w:pPr>
              <w:spacing w:after="0"/>
              <w:rPr>
                <w:sz w:val="19"/>
                <w:szCs w:val="19"/>
                <w:color w:val="auto"/>
              </w:rPr>
            </w:pPr>
          </w:p>
        </w:tc>
        <w:tc>
          <w:tcPr>
            <w:tcW w:w="4280" w:type="dxa"/>
            <w:vAlign w:val="bottom"/>
          </w:tcPr>
          <w:p>
            <w:pPr>
              <w:jc w:val="right"/>
              <w:ind w:right="1712"/>
              <w:spacing w:after="0"/>
              <w:rPr>
                <w:sz w:val="20"/>
                <w:szCs w:val="20"/>
                <w:color w:val="auto"/>
              </w:rPr>
            </w:pPr>
            <w:r>
              <w:rPr>
                <w:rFonts w:ascii="Arial" w:cs="Arial" w:eastAsia="Arial" w:hAnsi="Arial"/>
                <w:sz w:val="18"/>
                <w:szCs w:val="18"/>
                <w:color w:val="auto"/>
              </w:rPr>
              <w:t>Weili Dai</w:t>
            </w:r>
          </w:p>
        </w:tc>
      </w:tr>
      <w:tr>
        <w:trPr>
          <w:trHeight w:val="433"/>
        </w:trPr>
        <w:tc>
          <w:tcPr>
            <w:tcW w:w="280" w:type="dxa"/>
            <w:vAlign w:val="bottom"/>
          </w:tcPr>
          <w:p>
            <w:pPr>
              <w:spacing w:after="0"/>
              <w:rPr>
                <w:sz w:val="20"/>
                <w:szCs w:val="20"/>
                <w:color w:val="auto"/>
              </w:rPr>
            </w:pPr>
            <w:r>
              <w:rPr>
                <w:rFonts w:ascii="Arial" w:cs="Arial" w:eastAsia="Arial" w:hAnsi="Arial"/>
                <w:sz w:val="18"/>
                <w:szCs w:val="18"/>
                <w:color w:val="auto"/>
              </w:rPr>
              <w:t>By</w:t>
            </w:r>
          </w:p>
        </w:tc>
        <w:tc>
          <w:tcPr>
            <w:tcW w:w="4280" w:type="dxa"/>
            <w:vAlign w:val="bottom"/>
            <w:tcBorders>
              <w:bottom w:val="single" w:sz="8" w:color="auto"/>
            </w:tcBorders>
          </w:tcPr>
          <w:p>
            <w:pPr>
              <w:jc w:val="right"/>
              <w:ind w:right="1412"/>
              <w:spacing w:after="0"/>
              <w:rPr>
                <w:sz w:val="20"/>
                <w:szCs w:val="20"/>
                <w:color w:val="auto"/>
              </w:rPr>
            </w:pPr>
            <w:r>
              <w:rPr>
                <w:rFonts w:ascii="Arial" w:cs="Arial" w:eastAsia="Arial" w:hAnsi="Arial"/>
                <w:sz w:val="18"/>
                <w:szCs w:val="18"/>
                <w:color w:val="auto"/>
              </w:rPr>
              <w:t>/s/  Dr. Sehat Sutardja</w:t>
            </w:r>
          </w:p>
        </w:tc>
      </w:tr>
      <w:tr>
        <w:trPr>
          <w:trHeight w:val="222"/>
        </w:trPr>
        <w:tc>
          <w:tcPr>
            <w:tcW w:w="280" w:type="dxa"/>
            <w:vAlign w:val="bottom"/>
          </w:tcPr>
          <w:p>
            <w:pPr>
              <w:spacing w:after="0"/>
              <w:rPr>
                <w:sz w:val="19"/>
                <w:szCs w:val="19"/>
                <w:color w:val="auto"/>
              </w:rPr>
            </w:pPr>
          </w:p>
        </w:tc>
        <w:tc>
          <w:tcPr>
            <w:tcW w:w="4280" w:type="dxa"/>
            <w:vAlign w:val="bottom"/>
          </w:tcPr>
          <w:p>
            <w:pPr>
              <w:jc w:val="right"/>
              <w:ind w:right="1412"/>
              <w:spacing w:after="0"/>
              <w:rPr>
                <w:sz w:val="20"/>
                <w:szCs w:val="20"/>
                <w:color w:val="auto"/>
              </w:rPr>
            </w:pPr>
            <w:r>
              <w:rPr>
                <w:rFonts w:ascii="Arial" w:cs="Arial" w:eastAsia="Arial" w:hAnsi="Arial"/>
                <w:sz w:val="18"/>
                <w:szCs w:val="18"/>
                <w:color w:val="auto"/>
              </w:rPr>
              <w:t>Dr. Sehat Sutardja</w:t>
            </w:r>
          </w:p>
        </w:tc>
      </w:tr>
    </w:tbl>
    <w:p>
      <w:pPr>
        <w:spacing w:after="0" w:line="1" w:lineRule="exact"/>
        <w:rPr>
          <w:sz w:val="20"/>
          <w:szCs w:val="20"/>
          <w:color w:val="auto"/>
        </w:rPr>
      </w:pP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lvl w:ilvl="1">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1)"/>
      <w:numFmt w:val="lowerLetter"/>
      <w:start w:val="2"/>
    </w:lvl>
  </w:abstractNum>
  <w:abstractNum w:abstractNumId="5">
    <w:nsid w:val="7545E146"/>
    <w:multiLevelType w:val="hybridMultilevel"/>
    <w:lvl w:ilvl="0">
      <w:lvlJc w:val="left"/>
      <w:lvlText w:val="(%1)"/>
      <w:numFmt w:val="lowerLetter"/>
      <w:start w:val="2"/>
    </w:lvl>
  </w:abstractNum>
  <w:abstractNum w:abstractNumId="6">
    <w:nsid w:val="515F007C"/>
    <w:multiLevelType w:val="hybridMultilevel"/>
    <w:lvl w:ilvl="0">
      <w:lvlJc w:val="left"/>
      <w:lvlText w:val="(%1)"/>
      <w:numFmt w:val="lowerLetter"/>
    </w:lvl>
    <w:lvl w:ilvl="1">
      <w:lvlJc w:val="left"/>
      <w:lvlText w:val="G"/>
      <w:numFmt w:val="bullet"/>
      <w:start w:val="1"/>
    </w:lvl>
  </w:abstractNum>
  <w:abstractNum w:abstractNumId="7">
    <w:nsid w:val="5BD062C2"/>
    <w:multiLevelType w:val="hybridMultilevel"/>
    <w:lvl w:ilvl="0">
      <w:lvlJc w:val="left"/>
      <w:lvlText w:val="(%1)"/>
      <w:numFmt w:val="lowerLetter"/>
      <w:start w:val="1"/>
    </w:lvl>
    <w:lvl w:ilvl="1">
      <w:lvlJc w:val="left"/>
      <w:lvlText w:val="(%2)"/>
      <w:numFmt w:val="lowerRoman"/>
      <w:start w:val="1"/>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2019-12-06T20:07:50Z</dcterms:created>
  <dcterms:modified xsi:type="dcterms:W3CDTF">2019-12-06T20:07:50Z</dcterms:modified>
</cp:coreProperties>
</file>