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56165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5616575"/>
                    </a:xfrm>
                    <a:prstGeom prst="rect">
                      <a:avLst/>
                    </a:prstGeom>
                    <a:noFill/>
                  </pic:spPr>
                </pic:pic>
              </a:graphicData>
            </a:graphic>
          </wp:anchor>
        </w:drawing>
      </w:r>
    </w:p>
    <w:p>
      <w:pPr>
        <w:sectPr>
          <w:pgSz w:w="11900" w:h="16838" w:orient="portrait"/>
          <w:cols w:equalWidth="0" w:num="1">
            <w:col w:w="11420"/>
          </w:cols>
          <w:pgMar w:left="240" w:top="226" w:right="239" w:bottom="85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Feller Brad</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980" w:type="dxa"/>
            <w:vAlign w:val="bottom"/>
            <w:tcBorders>
              <w:top w:val="single" w:sz="8" w:color="0000EE"/>
              <w:bottom w:val="single" w:sz="8" w:color="9A9A9A"/>
            </w:tcBorders>
          </w:tcPr>
          <w:p>
            <w:pPr>
              <w:spacing w:after="0"/>
              <w:rPr>
                <w:sz w:val="15"/>
                <w:szCs w:val="15"/>
                <w:color w:val="auto"/>
              </w:rPr>
            </w:pPr>
          </w:p>
        </w:tc>
        <w:tc>
          <w:tcPr>
            <w:tcW w:w="224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10/16/2012</w:t>
            </w:r>
          </w:p>
        </w:tc>
        <w:tc>
          <w:tcPr>
            <w:tcW w:w="0" w:type="dxa"/>
            <w:vAlign w:val="bottom"/>
          </w:tcPr>
          <w:p>
            <w:pPr>
              <w:spacing w:after="0"/>
              <w:rPr>
                <w:sz w:val="1"/>
                <w:szCs w:val="1"/>
                <w:color w:val="auto"/>
              </w:rPr>
            </w:pPr>
          </w:p>
        </w:tc>
      </w:tr>
    </w:tbl>
    <w:p>
      <w:pPr>
        <w:spacing w:after="0" w:line="14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120" w:type="dxa"/>
            <w:vAlign w:val="bottom"/>
          </w:tcPr>
          <w:p>
            <w:pPr>
              <w:ind w:left="260"/>
              <w:spacing w:after="0"/>
              <w:rPr>
                <w:sz w:val="20"/>
                <w:szCs w:val="20"/>
                <w:color w:val="auto"/>
              </w:rPr>
            </w:pPr>
            <w:r>
              <w:rPr>
                <w:rFonts w:ascii="Arial" w:cs="Arial" w:eastAsia="Arial" w:hAnsi="Arial"/>
                <w:sz w:val="14"/>
                <w:szCs w:val="14"/>
                <w:color w:val="auto"/>
              </w:rPr>
              <w:t>(First)</w:t>
            </w:r>
          </w:p>
        </w:tc>
        <w:tc>
          <w:tcPr>
            <w:tcW w:w="1260" w:type="dxa"/>
            <w:vAlign w:val="bottom"/>
          </w:tcPr>
          <w:p>
            <w:pPr>
              <w:ind w:left="22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980" w:type="dxa"/>
            <w:vAlign w:val="bottom"/>
            <w:gridSpan w:val="2"/>
          </w:tcPr>
          <w:p>
            <w:pPr>
              <w:ind w:left="20"/>
              <w:spacing w:after="0"/>
              <w:rPr>
                <w:sz w:val="20"/>
                <w:szCs w:val="20"/>
                <w:color w:val="auto"/>
              </w:rPr>
            </w:pPr>
            <w:r>
              <w:rPr>
                <w:rFonts w:ascii="Arial" w:cs="Arial" w:eastAsia="Arial" w:hAnsi="Arial"/>
                <w:sz w:val="18"/>
                <w:szCs w:val="18"/>
                <w:color w:val="0000FF"/>
              </w:rPr>
              <w:t>5488 MARVELL LANE</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6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2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12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120" w:type="dxa"/>
            <w:vAlign w:val="bottom"/>
            <w:vMerge w:val="continue"/>
          </w:tcPr>
          <w:p>
            <w:pPr>
              <w:spacing w:after="0"/>
              <w:rPr>
                <w:sz w:val="9"/>
                <w:szCs w:val="9"/>
                <w:color w:val="auto"/>
              </w:rPr>
            </w:pPr>
          </w:p>
        </w:tc>
        <w:tc>
          <w:tcPr>
            <w:tcW w:w="12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2"/>
          <w:szCs w:val="22"/>
          <w:color w:val="0000EE"/>
        </w:rPr>
      </w:pPr>
      <w:hyperlink r:id="rId12">
        <w:r>
          <w:rPr>
            <w:rFonts w:ascii="Arial" w:cs="Arial" w:eastAsia="Arial" w:hAnsi="Arial"/>
            <w:sz w:val="22"/>
            <w:szCs w:val="22"/>
            <w:u w:val="single" w:color="auto"/>
            <w:color w:val="0000EE"/>
          </w:rPr>
          <w:t>MARVELL TECHNOLOGY GROUP LTD</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31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320" w:type="dxa"/>
            <w:vAlign w:val="bottom"/>
            <w:gridSpan w:val="3"/>
          </w:tcPr>
          <w:p>
            <w:pPr>
              <w:spacing w:after="0"/>
              <w:rPr>
                <w:sz w:val="20"/>
                <w:szCs w:val="20"/>
                <w:color w:val="auto"/>
              </w:rPr>
            </w:pPr>
            <w:r>
              <w:rPr>
                <w:rFonts w:ascii="Arial" w:cs="Arial" w:eastAsia="Arial" w:hAnsi="Arial"/>
                <w:sz w:val="14"/>
                <w:szCs w:val="14"/>
                <w:color w:val="auto"/>
              </w:rPr>
              <w:t>4. Relationship of Reporting Person(s) to Issuer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2680" w:type="dxa"/>
            <w:vAlign w:val="bottom"/>
          </w:tcPr>
          <w:p>
            <w:pPr>
              <w:ind w:left="20"/>
              <w:spacing w:after="0"/>
              <w:rPr>
                <w:sz w:val="20"/>
                <w:szCs w:val="20"/>
                <w:color w:val="auto"/>
              </w:rPr>
            </w:pPr>
            <w:r>
              <w:rPr>
                <w:rFonts w:ascii="Arial" w:cs="Arial" w:eastAsia="Arial" w:hAnsi="Arial"/>
                <w:sz w:val="14"/>
                <w:szCs w:val="14"/>
                <w:color w:val="auto"/>
              </w:rPr>
              <w:t>If Amendment, Date of Original Filed</w:t>
            </w:r>
          </w:p>
        </w:tc>
        <w:tc>
          <w:tcPr>
            <w:tcW w:w="0" w:type="dxa"/>
            <w:vAlign w:val="bottom"/>
          </w:tcPr>
          <w:p>
            <w:pPr>
              <w:spacing w:after="0"/>
              <w:rPr>
                <w:sz w:val="1"/>
                <w:szCs w:val="1"/>
                <w:color w:val="auto"/>
              </w:rPr>
            </w:pPr>
          </w:p>
        </w:tc>
      </w:tr>
      <w:tr>
        <w:trPr>
          <w:trHeight w:val="162"/>
        </w:trPr>
        <w:tc>
          <w:tcPr>
            <w:tcW w:w="2120" w:type="dxa"/>
            <w:vAlign w:val="bottom"/>
            <w:gridSpan w:val="2"/>
          </w:tcPr>
          <w:p>
            <w:pPr>
              <w:spacing w:after="0"/>
              <w:rPr>
                <w:sz w:val="20"/>
                <w:szCs w:val="20"/>
                <w:color w:val="auto"/>
              </w:rPr>
            </w:pPr>
            <w:r>
              <w:rPr>
                <w:rFonts w:ascii="Arial" w:cs="Arial" w:eastAsia="Arial" w:hAnsi="Arial"/>
                <w:sz w:val="14"/>
                <w:szCs w:val="14"/>
                <w:color w:val="auto"/>
              </w:rPr>
              <w:t>(Check all applicable)</w:t>
            </w:r>
          </w:p>
        </w:tc>
        <w:tc>
          <w:tcPr>
            <w:tcW w:w="1200" w:type="dxa"/>
            <w:vAlign w:val="bottom"/>
          </w:tcPr>
          <w:p>
            <w:pPr>
              <w:spacing w:after="0"/>
              <w:rPr>
                <w:sz w:val="14"/>
                <w:szCs w:val="14"/>
                <w:color w:val="auto"/>
              </w:rPr>
            </w:pPr>
          </w:p>
        </w:tc>
        <w:tc>
          <w:tcPr>
            <w:tcW w:w="2880" w:type="dxa"/>
            <w:vAlign w:val="bottom"/>
            <w:gridSpan w:val="2"/>
          </w:tcPr>
          <w:p>
            <w:pPr>
              <w:ind w:left="80"/>
              <w:spacing w:after="0"/>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89"/>
        </w:trPr>
        <w:tc>
          <w:tcPr>
            <w:tcW w:w="420" w:type="dxa"/>
            <w:vAlign w:val="bottom"/>
          </w:tcPr>
          <w:p>
            <w:pPr>
              <w:spacing w:after="0"/>
              <w:rPr>
                <w:sz w:val="16"/>
                <w:szCs w:val="16"/>
                <w:color w:val="auto"/>
              </w:rPr>
            </w:pPr>
          </w:p>
        </w:tc>
        <w:tc>
          <w:tcPr>
            <w:tcW w:w="1700" w:type="dxa"/>
            <w:vAlign w:val="bottom"/>
          </w:tcPr>
          <w:p>
            <w:pPr>
              <w:ind w:left="120"/>
              <w:spacing w:after="0"/>
              <w:rPr>
                <w:sz w:val="20"/>
                <w:szCs w:val="20"/>
                <w:color w:val="auto"/>
              </w:rPr>
            </w:pPr>
            <w:r>
              <w:rPr>
                <w:rFonts w:ascii="Arial" w:cs="Arial" w:eastAsia="Arial" w:hAnsi="Arial"/>
                <w:sz w:val="14"/>
                <w:szCs w:val="14"/>
                <w:color w:val="auto"/>
              </w:rPr>
              <w:t>Director</w:t>
            </w:r>
          </w:p>
        </w:tc>
        <w:tc>
          <w:tcPr>
            <w:tcW w:w="1200" w:type="dxa"/>
            <w:vAlign w:val="bottom"/>
          </w:tcPr>
          <w:p>
            <w:pPr>
              <w:ind w:left="40"/>
              <w:spacing w:after="0"/>
              <w:rPr>
                <w:sz w:val="20"/>
                <w:szCs w:val="20"/>
                <w:color w:val="auto"/>
              </w:rPr>
            </w:pPr>
            <w:r>
              <w:rPr>
                <w:rFonts w:ascii="Arial" w:cs="Arial" w:eastAsia="Arial" w:hAnsi="Arial"/>
                <w:sz w:val="14"/>
                <w:szCs w:val="14"/>
                <w:color w:val="auto"/>
              </w:rPr>
              <w:t>10% Owner</w:t>
            </w:r>
          </w:p>
        </w:tc>
        <w:tc>
          <w:tcPr>
            <w:tcW w:w="200" w:type="dxa"/>
            <w:vAlign w:val="bottom"/>
          </w:tcPr>
          <w:p>
            <w:pPr>
              <w:spacing w:after="0"/>
              <w:rPr>
                <w:sz w:val="16"/>
                <w:szCs w:val="16"/>
                <w:color w:val="auto"/>
              </w:rPr>
            </w:pPr>
          </w:p>
        </w:tc>
        <w:tc>
          <w:tcPr>
            <w:tcW w:w="2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
        </w:trPr>
        <w:tc>
          <w:tcPr>
            <w:tcW w:w="420" w:type="dxa"/>
            <w:vAlign w:val="bottom"/>
            <w:vMerge w:val="restart"/>
          </w:tcPr>
          <w:p>
            <w:pPr>
              <w:ind w:left="200"/>
              <w:spacing w:after="0"/>
              <w:rPr>
                <w:sz w:val="20"/>
                <w:szCs w:val="20"/>
                <w:color w:val="auto"/>
              </w:rPr>
            </w:pPr>
            <w:r>
              <w:rPr>
                <w:rFonts w:ascii="Arial" w:cs="Arial" w:eastAsia="Arial" w:hAnsi="Arial"/>
                <w:sz w:val="18"/>
                <w:szCs w:val="18"/>
                <w:color w:val="0000FF"/>
              </w:rPr>
              <w:t>X</w:t>
            </w:r>
          </w:p>
        </w:tc>
        <w:tc>
          <w:tcPr>
            <w:tcW w:w="1700" w:type="dxa"/>
            <w:vAlign w:val="bottom"/>
            <w:vMerge w:val="restart"/>
          </w:tcPr>
          <w:p>
            <w:pPr>
              <w:ind w:left="120"/>
              <w:spacing w:after="0"/>
              <w:rPr>
                <w:sz w:val="20"/>
                <w:szCs w:val="20"/>
                <w:color w:val="auto"/>
              </w:rPr>
            </w:pPr>
            <w:r>
              <w:rPr>
                <w:rFonts w:ascii="Arial" w:cs="Arial" w:eastAsia="Arial" w:hAnsi="Arial"/>
                <w:sz w:val="14"/>
                <w:szCs w:val="14"/>
                <w:color w:val="auto"/>
              </w:rPr>
              <w:t>Officer (give title</w:t>
            </w:r>
          </w:p>
        </w:tc>
        <w:tc>
          <w:tcPr>
            <w:tcW w:w="1200" w:type="dxa"/>
            <w:vAlign w:val="bottom"/>
            <w:vMerge w:val="restart"/>
          </w:tcPr>
          <w:p>
            <w:pPr>
              <w:ind w:left="40"/>
              <w:spacing w:after="0"/>
              <w:rPr>
                <w:sz w:val="20"/>
                <w:szCs w:val="20"/>
                <w:color w:val="auto"/>
              </w:rPr>
            </w:pPr>
            <w:r>
              <w:rPr>
                <w:rFonts w:ascii="Arial" w:cs="Arial" w:eastAsia="Arial" w:hAnsi="Arial"/>
                <w:sz w:val="14"/>
                <w:szCs w:val="14"/>
                <w:color w:val="auto"/>
              </w:rPr>
              <w:t>Other (specify</w:t>
            </w:r>
          </w:p>
        </w:tc>
        <w:tc>
          <w:tcPr>
            <w:tcW w:w="200" w:type="dxa"/>
            <w:vAlign w:val="bottom"/>
            <w:tcBorders>
              <w:bottom w:val="single" w:sz="8" w:color="2C2C2C"/>
            </w:tcBorders>
          </w:tcPr>
          <w:p>
            <w:pPr>
              <w:spacing w:after="0"/>
              <w:rPr>
                <w:sz w:val="3"/>
                <w:szCs w:val="3"/>
                <w:color w:val="auto"/>
              </w:rPr>
            </w:pPr>
          </w:p>
        </w:tc>
        <w:tc>
          <w:tcPr>
            <w:tcW w:w="26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34"/>
        </w:trPr>
        <w:tc>
          <w:tcPr>
            <w:tcW w:w="420" w:type="dxa"/>
            <w:vAlign w:val="bottom"/>
            <w:vMerge w:val="continue"/>
          </w:tcPr>
          <w:p>
            <w:pPr>
              <w:spacing w:after="0"/>
              <w:rPr>
                <w:sz w:val="11"/>
                <w:szCs w:val="11"/>
                <w:color w:val="auto"/>
              </w:rPr>
            </w:pPr>
          </w:p>
        </w:tc>
        <w:tc>
          <w:tcPr>
            <w:tcW w:w="1700" w:type="dxa"/>
            <w:vAlign w:val="bottom"/>
            <w:vMerge w:val="continue"/>
          </w:tcPr>
          <w:p>
            <w:pPr>
              <w:spacing w:after="0"/>
              <w:rPr>
                <w:sz w:val="11"/>
                <w:szCs w:val="11"/>
                <w:color w:val="auto"/>
              </w:rPr>
            </w:pPr>
          </w:p>
        </w:tc>
        <w:tc>
          <w:tcPr>
            <w:tcW w:w="1200" w:type="dxa"/>
            <w:vAlign w:val="bottom"/>
            <w:vMerge w:val="continue"/>
          </w:tcPr>
          <w:p>
            <w:pPr>
              <w:spacing w:after="0"/>
              <w:rPr>
                <w:sz w:val="11"/>
                <w:szCs w:val="11"/>
                <w:color w:val="auto"/>
              </w:rPr>
            </w:pPr>
          </w:p>
        </w:tc>
        <w:tc>
          <w:tcPr>
            <w:tcW w:w="200" w:type="dxa"/>
            <w:vAlign w:val="bottom"/>
            <w:vMerge w:val="restart"/>
          </w:tcPr>
          <w:p>
            <w:pPr>
              <w:ind w:left="80"/>
              <w:spacing w:after="0"/>
              <w:rPr>
                <w:sz w:val="20"/>
                <w:szCs w:val="20"/>
                <w:color w:val="auto"/>
              </w:rPr>
            </w:pPr>
            <w:r>
              <w:rPr>
                <w:rFonts w:ascii="Arial" w:cs="Arial" w:eastAsia="Arial" w:hAnsi="Arial"/>
                <w:sz w:val="14"/>
                <w:szCs w:val="14"/>
                <w:color w:val="auto"/>
                <w:w w:val="85"/>
              </w:rPr>
              <w:t>6.</w:t>
            </w:r>
          </w:p>
        </w:tc>
        <w:tc>
          <w:tcPr>
            <w:tcW w:w="2680" w:type="dxa"/>
            <w:vAlign w:val="bottom"/>
            <w:vMerge w:val="restart"/>
          </w:tcPr>
          <w:p>
            <w:pPr>
              <w:ind w:left="20"/>
              <w:spacing w:after="0"/>
              <w:rPr>
                <w:sz w:val="20"/>
                <w:szCs w:val="20"/>
                <w:color w:val="auto"/>
              </w:rPr>
            </w:pPr>
            <w:r>
              <w:rPr>
                <w:rFonts w:ascii="Arial" w:cs="Arial" w:eastAsia="Arial" w:hAnsi="Arial"/>
                <w:sz w:val="14"/>
                <w:szCs w:val="14"/>
                <w:color w:val="auto"/>
              </w:rPr>
              <w:t>Individual or Joint/Group Filing (Check</w:t>
            </w:r>
          </w:p>
        </w:tc>
        <w:tc>
          <w:tcPr>
            <w:tcW w:w="0" w:type="dxa"/>
            <w:vAlign w:val="bottom"/>
          </w:tcPr>
          <w:p>
            <w:pPr>
              <w:spacing w:after="0"/>
              <w:rPr>
                <w:sz w:val="1"/>
                <w:szCs w:val="1"/>
                <w:color w:val="auto"/>
              </w:rPr>
            </w:pPr>
          </w:p>
        </w:tc>
      </w:tr>
      <w:tr>
        <w:trPr>
          <w:trHeight w:val="68"/>
        </w:trPr>
        <w:tc>
          <w:tcPr>
            <w:tcW w:w="420" w:type="dxa"/>
            <w:vAlign w:val="bottom"/>
            <w:vMerge w:val="continue"/>
          </w:tcPr>
          <w:p>
            <w:pPr>
              <w:spacing w:after="0"/>
              <w:rPr>
                <w:sz w:val="5"/>
                <w:szCs w:val="5"/>
                <w:color w:val="auto"/>
              </w:rPr>
            </w:pPr>
          </w:p>
        </w:tc>
        <w:tc>
          <w:tcPr>
            <w:tcW w:w="170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200" w:type="dxa"/>
            <w:vAlign w:val="bottom"/>
            <w:vMerge w:val="restart"/>
          </w:tcPr>
          <w:p>
            <w:pPr>
              <w:ind w:left="40"/>
              <w:spacing w:after="0"/>
              <w:rPr>
                <w:sz w:val="20"/>
                <w:szCs w:val="20"/>
                <w:color w:val="auto"/>
              </w:rPr>
            </w:pPr>
            <w:r>
              <w:rPr>
                <w:rFonts w:ascii="Arial" w:cs="Arial" w:eastAsia="Arial" w:hAnsi="Arial"/>
                <w:sz w:val="14"/>
                <w:szCs w:val="14"/>
                <w:color w:val="auto"/>
              </w:rPr>
              <w:t>below)</w:t>
            </w:r>
          </w:p>
        </w:tc>
        <w:tc>
          <w:tcPr>
            <w:tcW w:w="200" w:type="dxa"/>
            <w:vAlign w:val="bottom"/>
            <w:vMerge w:val="continue"/>
          </w:tcPr>
          <w:p>
            <w:pPr>
              <w:spacing w:after="0"/>
              <w:rPr>
                <w:sz w:val="5"/>
                <w:szCs w:val="5"/>
                <w:color w:val="auto"/>
              </w:rPr>
            </w:pPr>
          </w:p>
        </w:tc>
        <w:tc>
          <w:tcPr>
            <w:tcW w:w="26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5"/>
        </w:trPr>
        <w:tc>
          <w:tcPr>
            <w:tcW w:w="420" w:type="dxa"/>
            <w:vAlign w:val="bottom"/>
          </w:tcPr>
          <w:p>
            <w:pPr>
              <w:spacing w:after="0"/>
              <w:rPr>
                <w:sz w:val="8"/>
                <w:szCs w:val="8"/>
                <w:color w:val="auto"/>
              </w:rPr>
            </w:pPr>
          </w:p>
        </w:tc>
        <w:tc>
          <w:tcPr>
            <w:tcW w:w="1700" w:type="dxa"/>
            <w:vAlign w:val="bottom"/>
            <w:vMerge w:val="continue"/>
          </w:tcPr>
          <w:p>
            <w:pPr>
              <w:spacing w:after="0"/>
              <w:rPr>
                <w:sz w:val="8"/>
                <w:szCs w:val="8"/>
                <w:color w:val="auto"/>
              </w:rPr>
            </w:pPr>
          </w:p>
        </w:tc>
        <w:tc>
          <w:tcPr>
            <w:tcW w:w="1200" w:type="dxa"/>
            <w:vAlign w:val="bottom"/>
            <w:vMerge w:val="continue"/>
          </w:tcPr>
          <w:p>
            <w:pPr>
              <w:spacing w:after="0"/>
              <w:rPr>
                <w:sz w:val="8"/>
                <w:szCs w:val="8"/>
                <w:color w:val="auto"/>
              </w:rPr>
            </w:pPr>
          </w:p>
        </w:tc>
        <w:tc>
          <w:tcPr>
            <w:tcW w:w="2880" w:type="dxa"/>
            <w:vAlign w:val="bottom"/>
            <w:gridSpan w:val="2"/>
            <w:vMerge w:val="restart"/>
          </w:tcPr>
          <w:p>
            <w:pPr>
              <w:ind w:left="80"/>
              <w:spacing w:after="0"/>
              <w:rPr>
                <w:sz w:val="20"/>
                <w:szCs w:val="20"/>
                <w:color w:val="auto"/>
              </w:rPr>
            </w:pPr>
            <w:r>
              <w:rPr>
                <w:rFonts w:ascii="Arial" w:cs="Arial" w:eastAsia="Arial" w:hAnsi="Arial"/>
                <w:sz w:val="14"/>
                <w:szCs w:val="14"/>
                <w:color w:val="auto"/>
              </w:rPr>
              <w:t>Applicable Line)</w:t>
            </w:r>
          </w:p>
        </w:tc>
        <w:tc>
          <w:tcPr>
            <w:tcW w:w="0" w:type="dxa"/>
            <w:vAlign w:val="bottom"/>
          </w:tcPr>
          <w:p>
            <w:pPr>
              <w:spacing w:after="0"/>
              <w:rPr>
                <w:sz w:val="1"/>
                <w:szCs w:val="1"/>
                <w:color w:val="auto"/>
              </w:rPr>
            </w:pPr>
          </w:p>
        </w:tc>
      </w:tr>
      <w:tr>
        <w:trPr>
          <w:trHeight w:val="68"/>
        </w:trPr>
        <w:tc>
          <w:tcPr>
            <w:tcW w:w="420" w:type="dxa"/>
            <w:vAlign w:val="bottom"/>
          </w:tcPr>
          <w:p>
            <w:pPr>
              <w:spacing w:after="0"/>
              <w:rPr>
                <w:sz w:val="5"/>
                <w:szCs w:val="5"/>
                <w:color w:val="auto"/>
              </w:rPr>
            </w:pPr>
          </w:p>
        </w:tc>
        <w:tc>
          <w:tcPr>
            <w:tcW w:w="1700" w:type="dxa"/>
            <w:vAlign w:val="bottom"/>
            <w:vMerge w:val="restart"/>
          </w:tcPr>
          <w:p>
            <w:pPr>
              <w:ind w:left="760"/>
              <w:spacing w:after="0"/>
              <w:rPr>
                <w:sz w:val="20"/>
                <w:szCs w:val="20"/>
                <w:color w:val="auto"/>
              </w:rPr>
            </w:pPr>
            <w:r>
              <w:rPr>
                <w:rFonts w:ascii="Arial" w:cs="Arial" w:eastAsia="Arial" w:hAnsi="Arial"/>
                <w:sz w:val="18"/>
                <w:szCs w:val="18"/>
                <w:color w:val="0000FF"/>
                <w:w w:val="93"/>
              </w:rPr>
              <w:t>Interim CFO</w:t>
            </w:r>
          </w:p>
        </w:tc>
        <w:tc>
          <w:tcPr>
            <w:tcW w:w="1200" w:type="dxa"/>
            <w:vAlign w:val="bottom"/>
          </w:tcPr>
          <w:p>
            <w:pPr>
              <w:spacing w:after="0"/>
              <w:rPr>
                <w:sz w:val="5"/>
                <w:szCs w:val="5"/>
                <w:color w:val="auto"/>
              </w:rPr>
            </w:pPr>
          </w:p>
        </w:tc>
        <w:tc>
          <w:tcPr>
            <w:tcW w:w="288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42"/>
        </w:trPr>
        <w:tc>
          <w:tcPr>
            <w:tcW w:w="420" w:type="dxa"/>
            <w:vAlign w:val="bottom"/>
          </w:tcPr>
          <w:p>
            <w:pPr>
              <w:spacing w:after="0"/>
              <w:rPr>
                <w:sz w:val="21"/>
                <w:szCs w:val="21"/>
                <w:color w:val="auto"/>
              </w:rPr>
            </w:pPr>
          </w:p>
        </w:tc>
        <w:tc>
          <w:tcPr>
            <w:tcW w:w="1700" w:type="dxa"/>
            <w:vAlign w:val="bottom"/>
            <w:vMerge w:val="continue"/>
          </w:tcPr>
          <w:p>
            <w:pPr>
              <w:spacing w:after="0"/>
              <w:rPr>
                <w:sz w:val="21"/>
                <w:szCs w:val="21"/>
                <w:color w:val="auto"/>
              </w:rPr>
            </w:pPr>
          </w:p>
        </w:tc>
        <w:tc>
          <w:tcPr>
            <w:tcW w:w="1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680" w:type="dxa"/>
            <w:vAlign w:val="bottom"/>
          </w:tcPr>
          <w:p>
            <w:pPr>
              <w:ind w:left="40"/>
              <w:spacing w:after="0"/>
              <w:rPr>
                <w:sz w:val="20"/>
                <w:szCs w:val="20"/>
                <w:color w:val="auto"/>
              </w:rPr>
            </w:pPr>
            <w:r>
              <w:rPr>
                <w:rFonts w:ascii="Arial" w:cs="Arial" w:eastAsia="Arial" w:hAnsi="Arial"/>
                <w:sz w:val="18"/>
                <w:szCs w:val="18"/>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bl>
    <w:p>
      <w:pPr>
        <w:spacing w:after="0" w:line="43" w:lineRule="exact"/>
        <w:rPr>
          <w:sz w:val="24"/>
          <w:szCs w:val="24"/>
          <w:color w:val="auto"/>
        </w:rPr>
      </w:pPr>
    </w:p>
    <w:p>
      <w:pPr>
        <w:ind w:left="3880"/>
        <w:spacing w:after="0"/>
        <w:rPr>
          <w:sz w:val="20"/>
          <w:szCs w:val="20"/>
          <w:color w:val="auto"/>
        </w:rPr>
      </w:pPr>
      <w:r>
        <w:rPr>
          <w:rFonts w:ascii="Arial" w:cs="Arial" w:eastAsia="Arial" w:hAnsi="Arial"/>
          <w:sz w:val="14"/>
          <w:szCs w:val="14"/>
          <w:color w:val="auto"/>
        </w:rPr>
        <w:t>Form filed by More than One</w:t>
      </w:r>
    </w:p>
    <w:p>
      <w:pPr>
        <w:ind w:left="3880"/>
        <w:spacing w:after="0"/>
        <w:rPr>
          <w:sz w:val="20"/>
          <w:szCs w:val="20"/>
          <w:color w:val="auto"/>
        </w:rPr>
      </w:pPr>
      <w:r>
        <w:rPr>
          <w:rFonts w:ascii="Arial" w:cs="Arial" w:eastAsia="Arial" w:hAnsi="Arial"/>
          <w:sz w:val="14"/>
          <w:szCs w:val="14"/>
          <w:color w:val="auto"/>
        </w:rPr>
        <w:t>Reporting Person</w:t>
      </w:r>
    </w:p>
    <w:p>
      <w:pPr>
        <w:spacing w:after="0" w:line="200" w:lineRule="exact"/>
        <w:rPr>
          <w:sz w:val="24"/>
          <w:szCs w:val="24"/>
          <w:color w:val="auto"/>
        </w:rPr>
      </w:pPr>
    </w:p>
    <w:p>
      <w:pPr>
        <w:sectPr>
          <w:pgSz w:w="11900" w:h="16838" w:orient="portrait"/>
          <w:cols w:equalWidth="0" w:num="2">
            <w:col w:w="4720" w:space="480"/>
            <w:col w:w="6220"/>
          </w:cols>
          <w:pgMar w:left="240" w:top="226" w:right="239" w:bottom="85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00" w:type="dxa"/>
            <w:vAlign w:val="bottom"/>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00" w:type="dxa"/>
            <w:vAlign w:val="bottom"/>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r>
      <w:tr>
        <w:trPr>
          <w:trHeight w:val="178"/>
        </w:trPr>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r>
      <w:tr>
        <w:trPr>
          <w:trHeight w:val="48"/>
        </w:trPr>
        <w:tc>
          <w:tcPr>
            <w:tcW w:w="3440" w:type="dxa"/>
            <w:vAlign w:val="bottom"/>
            <w:tcBorders>
              <w:bottom w:val="single" w:sz="8" w:color="2C2C2C"/>
            </w:tcBorders>
          </w:tcPr>
          <w:p>
            <w:pPr>
              <w:spacing w:after="0"/>
              <w:rPr>
                <w:sz w:val="4"/>
                <w:szCs w:val="4"/>
                <w:color w:val="auto"/>
              </w:rPr>
            </w:pPr>
          </w:p>
        </w:tc>
        <w:tc>
          <w:tcPr>
            <w:tcW w:w="36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tcPr>
          <w:p>
            <w:pPr>
              <w:spacing w:after="0"/>
              <w:rPr>
                <w:sz w:val="4"/>
                <w:szCs w:val="4"/>
                <w:color w:val="auto"/>
              </w:rPr>
            </w:pPr>
          </w:p>
        </w:tc>
        <w:tc>
          <w:tcPr>
            <w:tcW w:w="3000" w:type="dxa"/>
            <w:vAlign w:val="bottom"/>
            <w:tcBorders>
              <w:bottom w:val="single" w:sz="8" w:color="2C2C2C"/>
            </w:tcBorders>
          </w:tcPr>
          <w:p>
            <w:pPr>
              <w:spacing w:after="0"/>
              <w:rPr>
                <w:sz w:val="4"/>
                <w:szCs w:val="4"/>
                <w:color w:val="auto"/>
              </w:rPr>
            </w:pPr>
          </w:p>
        </w:tc>
      </w:tr>
    </w:tbl>
    <w:p>
      <w:pPr>
        <w:spacing w:after="0" w:line="46" w:lineRule="exact"/>
        <w:rPr>
          <w:sz w:val="24"/>
          <w:szCs w:val="24"/>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Common Shares</w:t>
            </w:r>
          </w:p>
        </w:tc>
        <w:tc>
          <w:tcPr>
            <w:tcW w:w="4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880" w:type="dxa"/>
            <w:vAlign w:val="bottom"/>
          </w:tcPr>
          <w:p>
            <w:pPr>
              <w:ind w:left="680"/>
              <w:spacing w:after="0"/>
              <w:rPr>
                <w:sz w:val="20"/>
                <w:szCs w:val="20"/>
                <w:color w:val="auto"/>
              </w:rPr>
            </w:pPr>
            <w:r>
              <w:rPr>
                <w:rFonts w:ascii="Arial" w:cs="Arial" w:eastAsia="Arial" w:hAnsi="Arial"/>
                <w:sz w:val="18"/>
                <w:szCs w:val="18"/>
                <w:color w:val="0000FF"/>
              </w:rPr>
              <w:t>7,573</w:t>
            </w:r>
          </w:p>
        </w:tc>
        <w:tc>
          <w:tcPr>
            <w:tcW w:w="900" w:type="dxa"/>
            <w:vAlign w:val="bottom"/>
          </w:tcPr>
          <w:p>
            <w:pPr>
              <w:ind w:left="640"/>
              <w:spacing w:after="0"/>
              <w:rPr>
                <w:sz w:val="20"/>
                <w:szCs w:val="20"/>
                <w:color w:val="auto"/>
              </w:rPr>
            </w:pPr>
            <w:r>
              <w:rPr>
                <w:rFonts w:ascii="Arial" w:cs="Arial" w:eastAsia="Arial" w:hAnsi="Arial"/>
                <w:sz w:val="18"/>
                <w:szCs w:val="18"/>
                <w:color w:val="0000FF"/>
              </w:rPr>
              <w:t>D</w:t>
            </w:r>
          </w:p>
        </w:tc>
        <w:tc>
          <w:tcPr>
            <w:tcW w:w="88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3140" w:type="dxa"/>
            <w:vAlign w:val="bottom"/>
            <w:tcBorders>
              <w:bottom w:val="single" w:sz="8" w:color="2C2C2C"/>
            </w:tcBorders>
          </w:tcPr>
          <w:p>
            <w:pPr>
              <w:spacing w:after="0"/>
              <w:rPr>
                <w:sz w:val="8"/>
                <w:szCs w:val="8"/>
                <w:color w:val="auto"/>
              </w:rPr>
            </w:pPr>
          </w:p>
        </w:tc>
        <w:tc>
          <w:tcPr>
            <w:tcW w:w="400" w:type="dxa"/>
            <w:vAlign w:val="bottom"/>
            <w:tcBorders>
              <w:bottom w:val="single" w:sz="8" w:color="2C2C2C"/>
            </w:tcBorders>
          </w:tcPr>
          <w:p>
            <w:pPr>
              <w:spacing w:after="0"/>
              <w:rPr>
                <w:sz w:val="8"/>
                <w:szCs w:val="8"/>
                <w:color w:val="auto"/>
              </w:rPr>
            </w:pPr>
          </w:p>
        </w:tc>
        <w:tc>
          <w:tcPr>
            <w:tcW w:w="4460" w:type="dxa"/>
            <w:vAlign w:val="bottom"/>
            <w:tcBorders>
              <w:bottom w:val="single" w:sz="8" w:color="2C2C2C"/>
            </w:tcBorders>
            <w:gridSpan w:val="4"/>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880" w:type="dxa"/>
            <w:vAlign w:val="bottom"/>
            <w:tcBorders>
              <w:bottom w:val="single" w:sz="8" w:color="2C2C2C"/>
            </w:tcBorders>
          </w:tcPr>
          <w:p>
            <w:pPr>
              <w:spacing w:after="0"/>
              <w:rPr>
                <w:sz w:val="8"/>
                <w:szCs w:val="8"/>
                <w:color w:val="auto"/>
              </w:rPr>
            </w:pPr>
          </w:p>
        </w:tc>
        <w:tc>
          <w:tcPr>
            <w:tcW w:w="16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3140" w:type="dxa"/>
            <w:vAlign w:val="bottom"/>
            <w:tcBorders>
              <w:top w:val="single" w:sz="8" w:color="2C2C2C"/>
            </w:tcBorders>
          </w:tcPr>
          <w:p>
            <w:pPr>
              <w:spacing w:after="0"/>
              <w:rPr>
                <w:sz w:val="19"/>
                <w:szCs w:val="19"/>
                <w:color w:val="auto"/>
              </w:rPr>
            </w:pPr>
          </w:p>
        </w:tc>
        <w:tc>
          <w:tcPr>
            <w:tcW w:w="400" w:type="dxa"/>
            <w:vAlign w:val="bottom"/>
            <w:tcBorders>
              <w:top w:val="single" w:sz="8" w:color="2C2C2C"/>
            </w:tcBorders>
          </w:tcPr>
          <w:p>
            <w:pPr>
              <w:spacing w:after="0"/>
              <w:rPr>
                <w:sz w:val="19"/>
                <w:szCs w:val="19"/>
                <w:color w:val="auto"/>
              </w:rPr>
            </w:pPr>
          </w:p>
        </w:tc>
        <w:tc>
          <w:tcPr>
            <w:tcW w:w="4460" w:type="dxa"/>
            <w:vAlign w:val="bottom"/>
            <w:tcBorders>
              <w:top w:val="single" w:sz="8" w:color="2C2C2C"/>
            </w:tcBorders>
            <w:gridSpan w:val="4"/>
          </w:tcPr>
          <w:p>
            <w:pPr>
              <w:ind w:left="80"/>
              <w:spacing w:after="0"/>
              <w:rPr>
                <w:sz w:val="20"/>
                <w:szCs w:val="20"/>
                <w:color w:val="auto"/>
              </w:rPr>
            </w:pPr>
            <w:r>
              <w:rPr>
                <w:rFonts w:ascii="Arial" w:cs="Arial" w:eastAsia="Arial" w:hAnsi="Arial"/>
                <w:sz w:val="18"/>
                <w:szCs w:val="18"/>
                <w:b w:val="1"/>
                <w:bCs w:val="1"/>
                <w:color w:val="auto"/>
              </w:rPr>
              <w:t>Table II - Derivative Securities Beneficially Owned</w:t>
            </w:r>
          </w:p>
        </w:tc>
        <w:tc>
          <w:tcPr>
            <w:tcW w:w="88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16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3140" w:type="dxa"/>
            <w:vAlign w:val="bottom"/>
          </w:tcPr>
          <w:p>
            <w:pPr>
              <w:spacing w:after="0"/>
              <w:rPr>
                <w:sz w:val="20"/>
                <w:szCs w:val="20"/>
                <w:color w:val="auto"/>
              </w:rPr>
            </w:pPr>
          </w:p>
        </w:tc>
        <w:tc>
          <w:tcPr>
            <w:tcW w:w="5740" w:type="dxa"/>
            <w:vAlign w:val="bottom"/>
            <w:gridSpan w:val="6"/>
          </w:tcPr>
          <w:p>
            <w:pPr>
              <w:ind w:left="1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88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31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278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3140" w:type="dxa"/>
            <w:vAlign w:val="bottom"/>
          </w:tcPr>
          <w:p>
            <w:pPr>
              <w:ind w:left="60"/>
              <w:spacing w:after="0"/>
              <w:rPr>
                <w:sz w:val="20"/>
                <w:szCs w:val="20"/>
                <w:color w:val="auto"/>
              </w:rPr>
            </w:pPr>
            <w:r>
              <w:rPr>
                <w:rFonts w:ascii="Arial" w:cs="Arial" w:eastAsia="Arial" w:hAnsi="Arial"/>
                <w:sz w:val="14"/>
                <w:szCs w:val="14"/>
                <w:b w:val="1"/>
                <w:bCs w:val="1"/>
                <w:color w:val="auto"/>
              </w:rPr>
              <w:t>1. Title of Derivative Security (Instr. 4)</w:t>
            </w:r>
          </w:p>
        </w:tc>
        <w:tc>
          <w:tcPr>
            <w:tcW w:w="400" w:type="dxa"/>
            <w:vAlign w:val="bottom"/>
          </w:tcPr>
          <w:p>
            <w:pPr>
              <w:spacing w:after="0"/>
              <w:rPr>
                <w:sz w:val="16"/>
                <w:szCs w:val="16"/>
                <w:color w:val="auto"/>
              </w:rPr>
            </w:pP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8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64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8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Underlying Derivative Security (Instr. 4)</w:t>
            </w: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64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88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64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3140" w:type="dxa"/>
            <w:vAlign w:val="bottom"/>
          </w:tcPr>
          <w:p>
            <w:pPr>
              <w:spacing w:after="0"/>
              <w:rPr>
                <w:sz w:val="6"/>
                <w:szCs w:val="6"/>
                <w:color w:val="auto"/>
              </w:rPr>
            </w:pPr>
          </w:p>
        </w:tc>
        <w:tc>
          <w:tcPr>
            <w:tcW w:w="4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88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80" w:type="dxa"/>
            <w:vAlign w:val="bottom"/>
            <w:vMerge w:val="restart"/>
          </w:tcPr>
          <w:p>
            <w:pPr>
              <w:ind w:left="6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62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3140" w:type="dxa"/>
            <w:vAlign w:val="bottom"/>
          </w:tcPr>
          <w:p>
            <w:pPr>
              <w:spacing w:after="0"/>
              <w:rPr>
                <w:sz w:val="4"/>
                <w:szCs w:val="4"/>
                <w:color w:val="auto"/>
              </w:rPr>
            </w:pPr>
          </w:p>
        </w:tc>
        <w:tc>
          <w:tcPr>
            <w:tcW w:w="4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880" w:type="dxa"/>
            <w:vAlign w:val="bottom"/>
          </w:tcPr>
          <w:p>
            <w:pPr>
              <w:spacing w:after="0"/>
              <w:rPr>
                <w:sz w:val="4"/>
                <w:szCs w:val="4"/>
                <w:color w:val="auto"/>
              </w:rPr>
            </w:pPr>
          </w:p>
        </w:tc>
        <w:tc>
          <w:tcPr>
            <w:tcW w:w="90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6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900" w:type="dxa"/>
            <w:vAlign w:val="bottom"/>
            <w:vMerge w:val="continue"/>
          </w:tcPr>
          <w:p>
            <w:pPr>
              <w:spacing w:after="0"/>
              <w:rPr>
                <w:sz w:val="12"/>
                <w:szCs w:val="12"/>
                <w:color w:val="auto"/>
              </w:rPr>
            </w:pPr>
          </w:p>
        </w:tc>
        <w:tc>
          <w:tcPr>
            <w:tcW w:w="880" w:type="dxa"/>
            <w:vAlign w:val="bottom"/>
          </w:tcPr>
          <w:p>
            <w:pPr>
              <w:ind w:left="6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90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900" w:type="dxa"/>
            <w:vAlign w:val="bottom"/>
          </w:tcPr>
          <w:p>
            <w:pPr>
              <w:ind w:left="26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1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Expiration</w:t>
            </w:r>
          </w:p>
        </w:tc>
        <w:tc>
          <w:tcPr>
            <w:tcW w:w="1880" w:type="dxa"/>
            <w:vAlign w:val="bottom"/>
          </w:tcPr>
          <w:p>
            <w:pPr>
              <w:spacing w:after="0"/>
              <w:rPr>
                <w:sz w:val="12"/>
                <w:szCs w:val="12"/>
                <w:color w:val="auto"/>
              </w:rPr>
            </w:pPr>
          </w:p>
        </w:tc>
        <w:tc>
          <w:tcPr>
            <w:tcW w:w="90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88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900" w:type="dxa"/>
            <w:vAlign w:val="bottom"/>
          </w:tcPr>
          <w:p>
            <w:pPr>
              <w:ind w:left="26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3140" w:type="dxa"/>
            <w:vAlign w:val="bottom"/>
            <w:tcBorders>
              <w:bottom w:val="single" w:sz="8" w:color="2C2C2C"/>
            </w:tcBorders>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right"/>
              <w:ind w:right="289"/>
              <w:spacing w:after="0"/>
              <w:rPr>
                <w:sz w:val="20"/>
                <w:szCs w:val="20"/>
                <w:color w:val="auto"/>
              </w:rPr>
            </w:pPr>
            <w:r>
              <w:rPr>
                <w:rFonts w:ascii="Arial" w:cs="Arial" w:eastAsia="Arial" w:hAnsi="Arial"/>
                <w:sz w:val="11"/>
                <w:szCs w:val="11"/>
                <w:color w:val="008000"/>
              </w:rPr>
              <w:t>(1)</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11/07/2018</w:t>
            </w:r>
          </w:p>
        </w:tc>
        <w:tc>
          <w:tcPr>
            <w:tcW w:w="1880" w:type="dxa"/>
            <w:vAlign w:val="bottom"/>
          </w:tcPr>
          <w:p>
            <w:pPr>
              <w:ind w:left="460"/>
              <w:spacing w:after="0"/>
              <w:rPr>
                <w:sz w:val="20"/>
                <w:szCs w:val="20"/>
                <w:color w:val="auto"/>
              </w:rPr>
            </w:pPr>
            <w:r>
              <w:rPr>
                <w:rFonts w:ascii="Arial" w:cs="Arial" w:eastAsia="Arial" w:hAnsi="Arial"/>
                <w:sz w:val="18"/>
                <w:szCs w:val="18"/>
                <w:color w:val="0000FF"/>
              </w:rPr>
              <w:t>Common Shares</w:t>
            </w:r>
          </w:p>
        </w:tc>
        <w:tc>
          <w:tcPr>
            <w:tcW w:w="900" w:type="dxa"/>
            <w:vAlign w:val="bottom"/>
          </w:tcPr>
          <w:p>
            <w:pPr>
              <w:jc w:val="center"/>
              <w:ind w:left="100"/>
              <w:spacing w:after="0"/>
              <w:rPr>
                <w:sz w:val="20"/>
                <w:szCs w:val="20"/>
                <w:color w:val="auto"/>
              </w:rPr>
            </w:pPr>
            <w:r>
              <w:rPr>
                <w:rFonts w:ascii="Arial" w:cs="Arial" w:eastAsia="Arial" w:hAnsi="Arial"/>
                <w:sz w:val="18"/>
                <w:szCs w:val="18"/>
                <w:color w:val="0000FF"/>
                <w:w w:val="87"/>
              </w:rPr>
              <w:t>55,000</w:t>
            </w:r>
          </w:p>
        </w:tc>
        <w:tc>
          <w:tcPr>
            <w:tcW w:w="880" w:type="dxa"/>
            <w:vAlign w:val="bottom"/>
          </w:tcPr>
          <w:p>
            <w:pPr>
              <w:jc w:val="center"/>
              <w:spacing w:after="0"/>
              <w:rPr>
                <w:sz w:val="20"/>
                <w:szCs w:val="20"/>
                <w:color w:val="auto"/>
              </w:rPr>
            </w:pPr>
            <w:r>
              <w:rPr>
                <w:rFonts w:ascii="Arial" w:cs="Arial" w:eastAsia="Arial" w:hAnsi="Arial"/>
                <w:sz w:val="18"/>
                <w:szCs w:val="18"/>
                <w:color w:val="0000FF"/>
                <w:w w:val="91"/>
              </w:rPr>
              <w:t>6.49</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right"/>
              <w:ind w:right="289"/>
              <w:spacing w:after="0"/>
              <w:rPr>
                <w:sz w:val="20"/>
                <w:szCs w:val="20"/>
                <w:color w:val="auto"/>
              </w:rPr>
            </w:pPr>
            <w:r>
              <w:rPr>
                <w:rFonts w:ascii="Arial" w:cs="Arial" w:eastAsia="Arial" w:hAnsi="Arial"/>
                <w:sz w:val="11"/>
                <w:szCs w:val="11"/>
                <w:color w:val="008000"/>
              </w:rPr>
              <w:t>(2)</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04/12/2020</w:t>
            </w:r>
          </w:p>
        </w:tc>
        <w:tc>
          <w:tcPr>
            <w:tcW w:w="1880" w:type="dxa"/>
            <w:vAlign w:val="bottom"/>
          </w:tcPr>
          <w:p>
            <w:pPr>
              <w:ind w:left="460"/>
              <w:spacing w:after="0"/>
              <w:rPr>
                <w:sz w:val="20"/>
                <w:szCs w:val="20"/>
                <w:color w:val="auto"/>
              </w:rPr>
            </w:pPr>
            <w:r>
              <w:rPr>
                <w:rFonts w:ascii="Arial" w:cs="Arial" w:eastAsia="Arial" w:hAnsi="Arial"/>
                <w:sz w:val="18"/>
                <w:szCs w:val="18"/>
                <w:color w:val="0000FF"/>
              </w:rPr>
              <w:t>Common Shares</w:t>
            </w:r>
          </w:p>
        </w:tc>
        <w:tc>
          <w:tcPr>
            <w:tcW w:w="900" w:type="dxa"/>
            <w:vAlign w:val="bottom"/>
          </w:tcPr>
          <w:p>
            <w:pPr>
              <w:jc w:val="center"/>
              <w:ind w:left="100"/>
              <w:spacing w:after="0"/>
              <w:rPr>
                <w:sz w:val="20"/>
                <w:szCs w:val="20"/>
                <w:color w:val="auto"/>
              </w:rPr>
            </w:pPr>
            <w:r>
              <w:rPr>
                <w:rFonts w:ascii="Arial" w:cs="Arial" w:eastAsia="Arial" w:hAnsi="Arial"/>
                <w:sz w:val="18"/>
                <w:szCs w:val="18"/>
                <w:color w:val="0000FF"/>
                <w:w w:val="87"/>
              </w:rPr>
              <w:t>15,000</w:t>
            </w:r>
          </w:p>
        </w:tc>
        <w:tc>
          <w:tcPr>
            <w:tcW w:w="880" w:type="dxa"/>
            <w:vAlign w:val="bottom"/>
          </w:tcPr>
          <w:p>
            <w:pPr>
              <w:jc w:val="center"/>
              <w:spacing w:after="0"/>
              <w:rPr>
                <w:sz w:val="20"/>
                <w:szCs w:val="20"/>
                <w:color w:val="auto"/>
              </w:rPr>
            </w:pPr>
            <w:r>
              <w:rPr>
                <w:rFonts w:ascii="Arial" w:cs="Arial" w:eastAsia="Arial" w:hAnsi="Arial"/>
                <w:sz w:val="18"/>
                <w:szCs w:val="18"/>
                <w:color w:val="0000FF"/>
                <w:w w:val="88"/>
              </w:rPr>
              <w:t>21.14</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w w:val="94"/>
              </w:rPr>
              <w:t>Restricted Stock Units (Right to Acquire)</w:t>
            </w:r>
          </w:p>
        </w:tc>
        <w:tc>
          <w:tcPr>
            <w:tcW w:w="1280" w:type="dxa"/>
            <w:vAlign w:val="bottom"/>
            <w:gridSpan w:val="2"/>
          </w:tcPr>
          <w:p>
            <w:pPr>
              <w:jc w:val="right"/>
              <w:ind w:right="289"/>
              <w:spacing w:after="0"/>
              <w:rPr>
                <w:sz w:val="20"/>
                <w:szCs w:val="20"/>
                <w:color w:val="auto"/>
              </w:rPr>
            </w:pPr>
            <w:r>
              <w:rPr>
                <w:rFonts w:ascii="Arial" w:cs="Arial" w:eastAsia="Arial" w:hAnsi="Arial"/>
                <w:sz w:val="11"/>
                <w:szCs w:val="11"/>
                <w:color w:val="008000"/>
              </w:rPr>
              <w:t>(4)</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04/12/2014</w:t>
            </w:r>
          </w:p>
        </w:tc>
        <w:tc>
          <w:tcPr>
            <w:tcW w:w="1880" w:type="dxa"/>
            <w:vAlign w:val="bottom"/>
          </w:tcPr>
          <w:p>
            <w:pPr>
              <w:ind w:left="460"/>
              <w:spacing w:after="0"/>
              <w:rPr>
                <w:sz w:val="20"/>
                <w:szCs w:val="20"/>
                <w:color w:val="auto"/>
              </w:rPr>
            </w:pPr>
            <w:r>
              <w:rPr>
                <w:rFonts w:ascii="Arial" w:cs="Arial" w:eastAsia="Arial" w:hAnsi="Arial"/>
                <w:sz w:val="18"/>
                <w:szCs w:val="18"/>
                <w:color w:val="0000FF"/>
              </w:rPr>
              <w:t>Common Shares</w:t>
            </w:r>
          </w:p>
        </w:tc>
        <w:tc>
          <w:tcPr>
            <w:tcW w:w="900" w:type="dxa"/>
            <w:vAlign w:val="bottom"/>
          </w:tcPr>
          <w:p>
            <w:pPr>
              <w:jc w:val="center"/>
              <w:ind w:left="100"/>
              <w:spacing w:after="0"/>
              <w:rPr>
                <w:sz w:val="20"/>
                <w:szCs w:val="20"/>
                <w:color w:val="auto"/>
              </w:rPr>
            </w:pPr>
            <w:r>
              <w:rPr>
                <w:rFonts w:ascii="Arial" w:cs="Arial" w:eastAsia="Arial" w:hAnsi="Arial"/>
                <w:sz w:val="18"/>
                <w:szCs w:val="18"/>
                <w:color w:val="0000FF"/>
                <w:w w:val="88"/>
              </w:rPr>
              <w:t>3,750</w:t>
            </w:r>
          </w:p>
        </w:tc>
        <w:tc>
          <w:tcPr>
            <w:tcW w:w="88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w w:val="94"/>
              </w:rPr>
              <w:t>Restricted Stock Units (Right to Acquire)</w:t>
            </w:r>
          </w:p>
        </w:tc>
        <w:tc>
          <w:tcPr>
            <w:tcW w:w="1280" w:type="dxa"/>
            <w:vAlign w:val="bottom"/>
            <w:gridSpan w:val="2"/>
          </w:tcPr>
          <w:p>
            <w:pPr>
              <w:jc w:val="right"/>
              <w:ind w:right="289"/>
              <w:spacing w:after="0"/>
              <w:rPr>
                <w:sz w:val="20"/>
                <w:szCs w:val="20"/>
                <w:color w:val="auto"/>
              </w:rPr>
            </w:pPr>
            <w:r>
              <w:rPr>
                <w:rFonts w:ascii="Arial" w:cs="Arial" w:eastAsia="Arial" w:hAnsi="Arial"/>
                <w:sz w:val="11"/>
                <w:szCs w:val="11"/>
                <w:color w:val="008000"/>
              </w:rPr>
              <w:t>(5)</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04/29/2015</w:t>
            </w:r>
          </w:p>
        </w:tc>
        <w:tc>
          <w:tcPr>
            <w:tcW w:w="1880" w:type="dxa"/>
            <w:vAlign w:val="bottom"/>
          </w:tcPr>
          <w:p>
            <w:pPr>
              <w:ind w:left="460"/>
              <w:spacing w:after="0"/>
              <w:rPr>
                <w:sz w:val="20"/>
                <w:szCs w:val="20"/>
                <w:color w:val="auto"/>
              </w:rPr>
            </w:pPr>
            <w:r>
              <w:rPr>
                <w:rFonts w:ascii="Arial" w:cs="Arial" w:eastAsia="Arial" w:hAnsi="Arial"/>
                <w:sz w:val="18"/>
                <w:szCs w:val="18"/>
                <w:color w:val="0000FF"/>
              </w:rPr>
              <w:t>Common Shares</w:t>
            </w:r>
          </w:p>
        </w:tc>
        <w:tc>
          <w:tcPr>
            <w:tcW w:w="900" w:type="dxa"/>
            <w:vAlign w:val="bottom"/>
          </w:tcPr>
          <w:p>
            <w:pPr>
              <w:jc w:val="center"/>
              <w:ind w:left="100"/>
              <w:spacing w:after="0"/>
              <w:rPr>
                <w:sz w:val="20"/>
                <w:szCs w:val="20"/>
                <w:color w:val="auto"/>
              </w:rPr>
            </w:pPr>
            <w:r>
              <w:rPr>
                <w:rFonts w:ascii="Arial" w:cs="Arial" w:eastAsia="Arial" w:hAnsi="Arial"/>
                <w:sz w:val="18"/>
                <w:szCs w:val="18"/>
                <w:color w:val="0000FF"/>
                <w:w w:val="88"/>
              </w:rPr>
              <w:t>6,000</w:t>
            </w:r>
          </w:p>
        </w:tc>
        <w:tc>
          <w:tcPr>
            <w:tcW w:w="880" w:type="dxa"/>
            <w:vAlign w:val="bottom"/>
          </w:tcPr>
          <w:p>
            <w:pPr>
              <w:jc w:val="center"/>
              <w:spacing w:after="0"/>
              <w:rPr>
                <w:sz w:val="20"/>
                <w:szCs w:val="20"/>
                <w:color w:val="auto"/>
              </w:rPr>
            </w:pPr>
            <w:r>
              <w:rPr>
                <w:rFonts w:ascii="Arial" w:cs="Arial" w:eastAsia="Arial" w:hAnsi="Arial"/>
                <w:sz w:val="11"/>
                <w:szCs w:val="11"/>
                <w:color w:val="008000"/>
                <w:w w:val="88"/>
              </w:rPr>
              <w:t>(3)</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right"/>
              <w:ind w:right="289"/>
              <w:spacing w:after="0"/>
              <w:rPr>
                <w:sz w:val="20"/>
                <w:szCs w:val="20"/>
                <w:color w:val="auto"/>
              </w:rPr>
            </w:pPr>
            <w:r>
              <w:rPr>
                <w:rFonts w:ascii="Arial" w:cs="Arial" w:eastAsia="Arial" w:hAnsi="Arial"/>
                <w:sz w:val="11"/>
                <w:szCs w:val="11"/>
                <w:color w:val="008000"/>
              </w:rPr>
              <w:t>(6)</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04/29/2021</w:t>
            </w:r>
          </w:p>
        </w:tc>
        <w:tc>
          <w:tcPr>
            <w:tcW w:w="1880" w:type="dxa"/>
            <w:vAlign w:val="bottom"/>
          </w:tcPr>
          <w:p>
            <w:pPr>
              <w:ind w:left="460"/>
              <w:spacing w:after="0"/>
              <w:rPr>
                <w:sz w:val="20"/>
                <w:szCs w:val="20"/>
                <w:color w:val="auto"/>
              </w:rPr>
            </w:pPr>
            <w:r>
              <w:rPr>
                <w:rFonts w:ascii="Arial" w:cs="Arial" w:eastAsia="Arial" w:hAnsi="Arial"/>
                <w:sz w:val="18"/>
                <w:szCs w:val="18"/>
                <w:color w:val="0000FF"/>
              </w:rPr>
              <w:t>Common Shares</w:t>
            </w:r>
          </w:p>
        </w:tc>
        <w:tc>
          <w:tcPr>
            <w:tcW w:w="900" w:type="dxa"/>
            <w:vAlign w:val="bottom"/>
          </w:tcPr>
          <w:p>
            <w:pPr>
              <w:jc w:val="center"/>
              <w:ind w:left="100"/>
              <w:spacing w:after="0"/>
              <w:rPr>
                <w:sz w:val="20"/>
                <w:szCs w:val="20"/>
                <w:color w:val="auto"/>
              </w:rPr>
            </w:pPr>
            <w:r>
              <w:rPr>
                <w:rFonts w:ascii="Arial" w:cs="Arial" w:eastAsia="Arial" w:hAnsi="Arial"/>
                <w:sz w:val="18"/>
                <w:szCs w:val="18"/>
                <w:color w:val="0000FF"/>
                <w:w w:val="88"/>
              </w:rPr>
              <w:t>5,000</w:t>
            </w:r>
          </w:p>
        </w:tc>
        <w:tc>
          <w:tcPr>
            <w:tcW w:w="880" w:type="dxa"/>
            <w:vAlign w:val="bottom"/>
          </w:tcPr>
          <w:p>
            <w:pPr>
              <w:jc w:val="center"/>
              <w:spacing w:after="0"/>
              <w:rPr>
                <w:sz w:val="20"/>
                <w:szCs w:val="20"/>
                <w:color w:val="auto"/>
              </w:rPr>
            </w:pPr>
            <w:r>
              <w:rPr>
                <w:rFonts w:ascii="Arial" w:cs="Arial" w:eastAsia="Arial" w:hAnsi="Arial"/>
                <w:sz w:val="18"/>
                <w:szCs w:val="18"/>
                <w:color w:val="0000FF"/>
                <w:w w:val="87"/>
              </w:rPr>
              <w:t>15.425</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right"/>
              <w:ind w:right="289"/>
              <w:spacing w:after="0"/>
              <w:rPr>
                <w:sz w:val="20"/>
                <w:szCs w:val="20"/>
                <w:color w:val="auto"/>
              </w:rPr>
            </w:pPr>
            <w:r>
              <w:rPr>
                <w:rFonts w:ascii="Arial" w:cs="Arial" w:eastAsia="Arial" w:hAnsi="Arial"/>
                <w:sz w:val="11"/>
                <w:szCs w:val="11"/>
                <w:color w:val="008000"/>
              </w:rPr>
              <w:t>(7)</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04/21/2022</w:t>
            </w:r>
          </w:p>
        </w:tc>
        <w:tc>
          <w:tcPr>
            <w:tcW w:w="1880" w:type="dxa"/>
            <w:vAlign w:val="bottom"/>
          </w:tcPr>
          <w:p>
            <w:pPr>
              <w:ind w:left="460"/>
              <w:spacing w:after="0"/>
              <w:rPr>
                <w:sz w:val="20"/>
                <w:szCs w:val="20"/>
                <w:color w:val="auto"/>
              </w:rPr>
            </w:pPr>
            <w:r>
              <w:rPr>
                <w:rFonts w:ascii="Arial" w:cs="Arial" w:eastAsia="Arial" w:hAnsi="Arial"/>
                <w:sz w:val="18"/>
                <w:szCs w:val="18"/>
                <w:color w:val="0000FF"/>
              </w:rPr>
              <w:t>Common Shares</w:t>
            </w:r>
          </w:p>
        </w:tc>
        <w:tc>
          <w:tcPr>
            <w:tcW w:w="900" w:type="dxa"/>
            <w:vAlign w:val="bottom"/>
          </w:tcPr>
          <w:p>
            <w:pPr>
              <w:jc w:val="center"/>
              <w:ind w:left="100"/>
              <w:spacing w:after="0"/>
              <w:rPr>
                <w:sz w:val="20"/>
                <w:szCs w:val="20"/>
                <w:color w:val="auto"/>
              </w:rPr>
            </w:pPr>
            <w:r>
              <w:rPr>
                <w:rFonts w:ascii="Arial" w:cs="Arial" w:eastAsia="Arial" w:hAnsi="Arial"/>
                <w:sz w:val="18"/>
                <w:szCs w:val="18"/>
                <w:color w:val="0000FF"/>
                <w:w w:val="86"/>
              </w:rPr>
              <w:t>112,500</w:t>
            </w:r>
          </w:p>
        </w:tc>
        <w:tc>
          <w:tcPr>
            <w:tcW w:w="880" w:type="dxa"/>
            <w:vAlign w:val="bottom"/>
          </w:tcPr>
          <w:p>
            <w:pPr>
              <w:jc w:val="center"/>
              <w:spacing w:after="0"/>
              <w:rPr>
                <w:sz w:val="20"/>
                <w:szCs w:val="20"/>
                <w:color w:val="auto"/>
              </w:rPr>
            </w:pPr>
            <w:r>
              <w:rPr>
                <w:rFonts w:ascii="Arial" w:cs="Arial" w:eastAsia="Arial" w:hAnsi="Arial"/>
                <w:sz w:val="18"/>
                <w:szCs w:val="18"/>
                <w:color w:val="0000FF"/>
                <w:w w:val="91"/>
              </w:rPr>
              <w:t>15.2</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128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3140" w:type="dxa"/>
            <w:vAlign w:val="bottom"/>
          </w:tcPr>
          <w:p>
            <w:pPr>
              <w:ind w:left="60"/>
              <w:spacing w:after="0"/>
              <w:rPr>
                <w:sz w:val="20"/>
                <w:szCs w:val="20"/>
                <w:color w:val="auto"/>
              </w:rPr>
            </w:pPr>
            <w:r>
              <w:rPr>
                <w:rFonts w:ascii="Arial" w:cs="Arial" w:eastAsia="Arial" w:hAnsi="Arial"/>
                <w:sz w:val="18"/>
                <w:szCs w:val="18"/>
                <w:color w:val="0000FF"/>
              </w:rPr>
              <w:t>Employee Stock Option (Right to Buy)</w:t>
            </w:r>
          </w:p>
        </w:tc>
        <w:tc>
          <w:tcPr>
            <w:tcW w:w="1280" w:type="dxa"/>
            <w:vAlign w:val="bottom"/>
            <w:gridSpan w:val="2"/>
          </w:tcPr>
          <w:p>
            <w:pPr>
              <w:jc w:val="right"/>
              <w:ind w:right="289"/>
              <w:spacing w:after="0"/>
              <w:rPr>
                <w:sz w:val="20"/>
                <w:szCs w:val="20"/>
                <w:color w:val="auto"/>
              </w:rPr>
            </w:pPr>
            <w:r>
              <w:rPr>
                <w:rFonts w:ascii="Arial" w:cs="Arial" w:eastAsia="Arial" w:hAnsi="Arial"/>
                <w:sz w:val="11"/>
                <w:szCs w:val="11"/>
                <w:color w:val="008000"/>
              </w:rPr>
              <w:t>(8)</w:t>
            </w:r>
          </w:p>
        </w:tc>
        <w:tc>
          <w:tcPr>
            <w:tcW w:w="800" w:type="dxa"/>
            <w:vAlign w:val="bottom"/>
          </w:tcPr>
          <w:p>
            <w:pPr>
              <w:jc w:val="center"/>
              <w:spacing w:after="0"/>
              <w:rPr>
                <w:sz w:val="20"/>
                <w:szCs w:val="20"/>
                <w:color w:val="auto"/>
              </w:rPr>
            </w:pPr>
            <w:r>
              <w:rPr>
                <w:rFonts w:ascii="Arial" w:cs="Arial" w:eastAsia="Arial" w:hAnsi="Arial"/>
                <w:sz w:val="14"/>
                <w:szCs w:val="14"/>
                <w:color w:val="0000FF"/>
                <w:w w:val="88"/>
              </w:rPr>
              <w:t>04/29/2021</w:t>
            </w:r>
          </w:p>
        </w:tc>
        <w:tc>
          <w:tcPr>
            <w:tcW w:w="1880" w:type="dxa"/>
            <w:vAlign w:val="bottom"/>
          </w:tcPr>
          <w:p>
            <w:pPr>
              <w:ind w:left="460"/>
              <w:spacing w:after="0"/>
              <w:rPr>
                <w:sz w:val="20"/>
                <w:szCs w:val="20"/>
                <w:color w:val="auto"/>
              </w:rPr>
            </w:pPr>
            <w:r>
              <w:rPr>
                <w:rFonts w:ascii="Arial" w:cs="Arial" w:eastAsia="Arial" w:hAnsi="Arial"/>
                <w:sz w:val="18"/>
                <w:szCs w:val="18"/>
                <w:color w:val="0000FF"/>
              </w:rPr>
              <w:t>Common Shares</w:t>
            </w:r>
          </w:p>
        </w:tc>
        <w:tc>
          <w:tcPr>
            <w:tcW w:w="900" w:type="dxa"/>
            <w:vAlign w:val="bottom"/>
          </w:tcPr>
          <w:p>
            <w:pPr>
              <w:jc w:val="center"/>
              <w:ind w:left="100"/>
              <w:spacing w:after="0"/>
              <w:rPr>
                <w:sz w:val="20"/>
                <w:szCs w:val="20"/>
                <w:color w:val="auto"/>
              </w:rPr>
            </w:pPr>
            <w:r>
              <w:rPr>
                <w:rFonts w:ascii="Arial" w:cs="Arial" w:eastAsia="Arial" w:hAnsi="Arial"/>
                <w:sz w:val="18"/>
                <w:szCs w:val="18"/>
                <w:color w:val="0000FF"/>
                <w:w w:val="87"/>
              </w:rPr>
              <w:t>50,000</w:t>
            </w:r>
          </w:p>
        </w:tc>
        <w:tc>
          <w:tcPr>
            <w:tcW w:w="880" w:type="dxa"/>
            <w:vAlign w:val="bottom"/>
          </w:tcPr>
          <w:p>
            <w:pPr>
              <w:jc w:val="center"/>
              <w:spacing w:after="0"/>
              <w:rPr>
                <w:sz w:val="20"/>
                <w:szCs w:val="20"/>
                <w:color w:val="auto"/>
              </w:rPr>
            </w:pPr>
            <w:r>
              <w:rPr>
                <w:rFonts w:ascii="Arial" w:cs="Arial" w:eastAsia="Arial" w:hAnsi="Arial"/>
                <w:sz w:val="18"/>
                <w:szCs w:val="18"/>
                <w:color w:val="0000FF"/>
                <w:w w:val="87"/>
              </w:rPr>
              <w:t>15.425</w:t>
            </w:r>
          </w:p>
        </w:tc>
        <w:tc>
          <w:tcPr>
            <w:tcW w:w="880" w:type="dxa"/>
            <w:vAlign w:val="bottom"/>
          </w:tcPr>
          <w:p>
            <w:pPr>
              <w:ind w:left="400"/>
              <w:spacing w:after="0"/>
              <w:rPr>
                <w:sz w:val="20"/>
                <w:szCs w:val="20"/>
                <w:color w:val="auto"/>
              </w:rPr>
            </w:pPr>
            <w:r>
              <w:rPr>
                <w:rFonts w:ascii="Arial" w:cs="Arial" w:eastAsia="Arial" w:hAnsi="Arial"/>
                <w:sz w:val="18"/>
                <w:szCs w:val="18"/>
                <w:color w:val="0000FF"/>
              </w:rPr>
              <w:t>D</w:t>
            </w:r>
          </w:p>
        </w:tc>
        <w:tc>
          <w:tcPr>
            <w:tcW w:w="16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Borders>
              <w:bottom w:val="single" w:sz="8" w:color="2C2C2C"/>
            </w:tcBorders>
          </w:tcPr>
          <w:p>
            <w:pPr>
              <w:spacing w:after="0"/>
              <w:rPr>
                <w:sz w:val="5"/>
                <w:szCs w:val="5"/>
                <w:color w:val="auto"/>
              </w:rPr>
            </w:pPr>
          </w:p>
        </w:tc>
        <w:tc>
          <w:tcPr>
            <w:tcW w:w="314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9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162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140" w:type="dxa"/>
            <w:vAlign w:val="bottom"/>
          </w:tcPr>
          <w:p>
            <w:pPr>
              <w:ind w:left="20"/>
              <w:spacing w:after="0"/>
              <w:rPr>
                <w:sz w:val="20"/>
                <w:szCs w:val="20"/>
                <w:color w:val="auto"/>
              </w:rPr>
            </w:pPr>
            <w:r>
              <w:rPr>
                <w:rFonts w:ascii="Arial" w:cs="Arial" w:eastAsia="Arial" w:hAnsi="Arial"/>
                <w:sz w:val="14"/>
                <w:szCs w:val="14"/>
                <w:b w:val="1"/>
                <w:bCs w:val="1"/>
                <w:color w:val="auto"/>
              </w:rPr>
              <w:t>Explanation of Responses:</w:t>
            </w:r>
          </w:p>
        </w:tc>
        <w:tc>
          <w:tcPr>
            <w:tcW w:w="4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88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30" w:lineRule="exact"/>
        <w:rPr>
          <w:sz w:val="24"/>
          <w:szCs w:val="24"/>
          <w:color w:val="auto"/>
        </w:rPr>
      </w:pPr>
    </w:p>
    <w:p>
      <w:pPr>
        <w:jc w:val="both"/>
        <w:ind w:left="40" w:right="42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Option vests at the rate of 1/5th of the shares on the first anniversary of September 29, 2008, the vesting commencement date, and 1/60th of the shares after the completion of each additional month of employment with Marvell Technology Group Ltd. ("Marvell") thereafter over the next four years. The option has become exercisable as to 44,000 shares of which Mr. Feller has already exercised 15,000 shares.</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Option vests in four equal annual installments beginning on the first anniversary of April 1, 2010, the vesting commencement date. The option has become exercisable as to 7,500 shares as of April 1, 2012.</w:t>
      </w:r>
    </w:p>
    <w:p>
      <w:pPr>
        <w:spacing w:after="0" w:line="64" w:lineRule="exact"/>
        <w:rPr>
          <w:rFonts w:ascii="Arial" w:cs="Arial" w:eastAsia="Arial" w:hAnsi="Arial"/>
          <w:sz w:val="12"/>
          <w:szCs w:val="12"/>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represents a contingent right to receive one Marvell common share.</w:t>
      </w:r>
    </w:p>
    <w:p>
      <w:pPr>
        <w:spacing w:after="0" w:line="41" w:lineRule="exact"/>
        <w:rPr>
          <w:rFonts w:ascii="Arial" w:cs="Arial" w:eastAsia="Arial" w:hAnsi="Arial"/>
          <w:sz w:val="14"/>
          <w:szCs w:val="14"/>
          <w:color w:val="008000"/>
        </w:rPr>
      </w:pPr>
    </w:p>
    <w:p>
      <w:pPr>
        <w:ind w:left="40" w:right="64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original grant was for 7,500 restricted stock units on April 12, 2010. Restricted stock units vest in four equal annual installments beginning on the first anniversary of April 1, 2010, the vesting commencement date.</w:t>
      </w:r>
    </w:p>
    <w:p>
      <w:pPr>
        <w:spacing w:after="0" w:line="30" w:lineRule="exact"/>
        <w:rPr>
          <w:rFonts w:ascii="Arial" w:cs="Arial" w:eastAsia="Arial" w:hAnsi="Arial"/>
          <w:sz w:val="14"/>
          <w:szCs w:val="14"/>
          <w:color w:val="008000"/>
        </w:rPr>
      </w:pPr>
    </w:p>
    <w:p>
      <w:pPr>
        <w:ind w:left="40" w:right="6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originat grant was for 8,000 restricted stock units on April 29, 2011. Restricted stock units vest in four equal annual installments beginning on the first anniversary of April 1, 2011, the vesting commencement date.</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Option vests in four equal annual installments beginning on the first anniversary of April 1, 2011, the vesting commencement date. The option has become exercisable as to 1,250 shares as of April 1, 2012.</w:t>
      </w:r>
    </w:p>
    <w:p>
      <w:pPr>
        <w:spacing w:after="0" w:line="64" w:lineRule="exact"/>
        <w:rPr>
          <w:rFonts w:ascii="Arial" w:cs="Arial" w:eastAsia="Arial" w:hAnsi="Arial"/>
          <w:sz w:val="12"/>
          <w:szCs w:val="12"/>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Option vests in four equal annual installments beginning on the first anniversary of April 1, 2012, the vesting commencement date.</w:t>
      </w:r>
    </w:p>
    <w:p>
      <w:pPr>
        <w:spacing w:after="0" w:line="41" w:lineRule="exact"/>
        <w:rPr>
          <w:rFonts w:ascii="Arial" w:cs="Arial" w:eastAsia="Arial" w:hAnsi="Arial"/>
          <w:sz w:val="14"/>
          <w:szCs w:val="14"/>
          <w:color w:val="008000"/>
        </w:rPr>
      </w:pPr>
    </w:p>
    <w:p>
      <w:pPr>
        <w:jc w:val="both"/>
        <w:ind w:left="40" w:right="120" w:firstLine="9"/>
        <w:spacing w:after="0" w:line="27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above listed stock option award was granted on April 29, 2011 and is subject to market-based vesting and will only vest if the Trigger Event (defined below) has occurred prior to the 5th anniversary of the date of grant; if the trigger event does not occur by such date, the stock option will immediately expire. If the closing price per common share of Marvell as reported by the NASDAQ Global Select Market equals or exceeds an average of $24.70 for a period of 200 trading days prior to the 5th anniversary of the date of grant (the "Trigger Event"), then 100% of the shares subject to the option will vest on the date of the Trigger Event, subject to continued service through both the date of the Trigger Event and April 1, 2013.</w:t>
      </w:r>
    </w:p>
    <w:p>
      <w:pPr>
        <w:spacing w:after="0" w:line="15"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1020" w:type="dxa"/>
            <w:vAlign w:val="bottom"/>
          </w:tcPr>
          <w:p>
            <w:pPr>
              <w:spacing w:after="0"/>
              <w:rPr>
                <w:sz w:val="20"/>
                <w:szCs w:val="20"/>
                <w:color w:val="auto"/>
              </w:rPr>
            </w:pPr>
            <w:r>
              <w:rPr>
                <w:rFonts w:ascii="Arial" w:cs="Arial" w:eastAsia="Arial" w:hAnsi="Arial"/>
                <w:sz w:val="18"/>
                <w:szCs w:val="18"/>
                <w:color w:val="0000FF"/>
                <w:w w:val="89"/>
              </w:rPr>
              <w:t>/s/ Brad Feller</w:t>
            </w:r>
          </w:p>
        </w:tc>
        <w:tc>
          <w:tcPr>
            <w:tcW w:w="1100" w:type="dxa"/>
            <w:vAlign w:val="bottom"/>
          </w:tcPr>
          <w:p>
            <w:pPr>
              <w:spacing w:after="0"/>
              <w:rPr>
                <w:sz w:val="18"/>
                <w:szCs w:val="18"/>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10/24/2012</w:t>
            </w:r>
          </w:p>
        </w:tc>
      </w:tr>
      <w:tr>
        <w:trPr>
          <w:trHeight w:val="20"/>
        </w:trPr>
        <w:tc>
          <w:tcPr>
            <w:tcW w:w="1020" w:type="dxa"/>
            <w:vAlign w:val="bottom"/>
            <w:shd w:val="clear" w:color="auto" w:fill="000000"/>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85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560734"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2019-12-18T03:12:02Z</dcterms:created>
  <dcterms:modified xsi:type="dcterms:W3CDTF">2019-12-18T03:12:02Z</dcterms:modified>
</cp:coreProperties>
</file>