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39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6" w:lineRule="exact"/>
        <w:rPr>
          <w:sz w:val="24"/>
          <w:szCs w:val="24"/>
          <w:color w:val="auto"/>
        </w:rPr>
      </w:pPr>
    </w:p>
    <w:p>
      <w:pPr>
        <w:jc w:val="center"/>
        <w:ind w:right="-399"/>
        <w:spacing w:after="0"/>
        <w:rPr>
          <w:sz w:val="20"/>
          <w:szCs w:val="20"/>
          <w:color w:val="auto"/>
        </w:rPr>
      </w:pPr>
      <w:r>
        <w:rPr>
          <w:rFonts w:ascii="Arial" w:cs="Arial" w:eastAsia="Arial" w:hAnsi="Arial"/>
          <w:sz w:val="24"/>
          <w:szCs w:val="24"/>
          <w:b w:val="1"/>
          <w:bCs w:val="1"/>
          <w:color w:val="auto"/>
        </w:rPr>
        <w:t>CURRENT REPORT</w:t>
      </w:r>
    </w:p>
    <w:p>
      <w:pPr>
        <w:spacing w:after="0" w:line="171" w:lineRule="exact"/>
        <w:rPr>
          <w:sz w:val="24"/>
          <w:szCs w:val="24"/>
          <w:color w:val="auto"/>
        </w:rPr>
      </w:pPr>
    </w:p>
    <w:p>
      <w:pPr>
        <w:jc w:val="center"/>
        <w:ind w:right="-39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152" w:lineRule="exact"/>
        <w:rPr>
          <w:sz w:val="24"/>
          <w:szCs w:val="24"/>
          <w:color w:val="auto"/>
        </w:rPr>
      </w:pPr>
    </w:p>
    <w:p>
      <w:pPr>
        <w:jc w:val="center"/>
        <w:ind w:right="-399"/>
        <w:spacing w:after="0"/>
        <w:rPr>
          <w:sz w:val="20"/>
          <w:szCs w:val="20"/>
          <w:color w:val="auto"/>
        </w:rPr>
      </w:pPr>
      <w:r>
        <w:rPr>
          <w:rFonts w:ascii="Arial" w:cs="Arial" w:eastAsia="Arial" w:hAnsi="Arial"/>
          <w:sz w:val="22"/>
          <w:szCs w:val="22"/>
          <w:b w:val="1"/>
          <w:bCs w:val="1"/>
          <w:color w:val="auto"/>
        </w:rPr>
        <w:t>Date of Report (Date of earliest event reported): December 14, 2012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114300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ind w:right="-39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ind w:left="378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020"/>
          </w:cols>
          <w:pgMar w:left="240" w:top="314" w:right="63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840"/>
          </w:cols>
          <w:pgMar w:left="240" w:top="314" w:right="63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 of</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1960"/>
          </w:cols>
          <w:pgMar w:left="240" w:top="314" w:right="639" w:bottom="1440" w:gutter="0" w:footer="0" w:header="0"/>
          <w:type w:val="continuous"/>
        </w:sectPr>
      </w:pPr>
    </w:p>
    <w:p>
      <w:pPr>
        <w:jc w:val="center"/>
        <w:ind w:right="-41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41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41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ind w:left="3920"/>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020"/>
          </w:cols>
          <w:pgMar w:left="240" w:top="314" w:right="639" w:bottom="1440" w:gutter="0" w:footer="0" w:header="0"/>
          <w:type w:val="continuous"/>
        </w:sectPr>
      </w:pPr>
    </w:p>
    <w:p>
      <w:pPr>
        <w:spacing w:after="0" w:line="261"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020"/>
          </w:cols>
          <w:pgMar w:left="240" w:top="314" w:right="63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w:t>
      </w:r>
      <w:r>
        <w:rPr>
          <w:sz w:val="20"/>
          <w:szCs w:val="20"/>
          <w:color w:val="auto"/>
        </w:rPr>
        <w:tab/>
      </w:r>
      <w:r>
        <w:rPr>
          <w:rFonts w:ascii="Arial" w:cs="Arial" w:eastAsia="Arial" w:hAnsi="Arial"/>
          <w:sz w:val="15"/>
          <w:szCs w:val="15"/>
          <w:b w:val="1"/>
          <w:bCs w:val="1"/>
          <w:color w:val="auto"/>
        </w:rPr>
        <w:t>Other Events.</w:t>
      </w:r>
    </w:p>
    <w:p>
      <w:pPr>
        <w:spacing w:after="0" w:line="96" w:lineRule="exact"/>
        <w:rPr>
          <w:sz w:val="20"/>
          <w:szCs w:val="20"/>
          <w:color w:val="auto"/>
        </w:rPr>
      </w:pPr>
    </w:p>
    <w:p>
      <w:pPr>
        <w:ind w:right="100" w:firstLine="456"/>
        <w:spacing w:after="0" w:line="306" w:lineRule="auto"/>
        <w:rPr>
          <w:sz w:val="20"/>
          <w:szCs w:val="20"/>
          <w:color w:val="auto"/>
        </w:rPr>
      </w:pPr>
      <w:r>
        <w:rPr>
          <w:rFonts w:ascii="Arial" w:cs="Arial" w:eastAsia="Arial" w:hAnsi="Arial"/>
          <w:sz w:val="16"/>
          <w:szCs w:val="16"/>
          <w:color w:val="auto"/>
        </w:rPr>
        <w:t>On December 14, 2012, the Board of Directors of Marvell Technology Group Ltd. (the “Marvell”) authorized Marvell to repurchase up to an additional $500 million under its share repurchase program. The cumulative total authorized for share repurchases by Marvell will amount to $3.0 billion. As of the end of Marvell’s third fiscal quarter of 2013 ended October 27, 2012, Marvell had made approximately $2.1 billion in share repurchases under the prior authorization.</w:t>
      </w:r>
    </w:p>
    <w:p>
      <w:pPr>
        <w:spacing w:after="0" w:line="10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Company intends to effect its repurchase program in accordance with the conditions of Rule 10b-18 under the Securities Exchange Act of 1934, as amended. The repurchase program will be subject to market conditions and other factors and does not obligate the Company to repurchase any dollar amount or number of its common shares. The program may be extended, modified, suspended or discontinued at any time. The repurchases are expected to be funded from the Company’s current cash and short-term investments position, which stood at approximately $2.0 billion as of October 27, 2012. A copy of the press release is filed as Exhibit 99.1 to this Form 8-K.</w:t>
      </w:r>
    </w:p>
    <w:p>
      <w:pPr>
        <w:spacing w:after="0" w:line="258"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12" w:lineRule="exact"/>
        <w:rPr>
          <w:sz w:val="20"/>
          <w:szCs w:val="20"/>
          <w:color w:val="auto"/>
        </w:rPr>
      </w:pPr>
    </w:p>
    <w:p>
      <w:pPr>
        <w:ind w:left="920"/>
        <w:spacing w:after="0"/>
        <w:tabs>
          <w:tab w:leader="none" w:pos="14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December 18, 2012</w:t>
      </w:r>
    </w:p>
    <w:p>
      <w:pPr>
        <w:spacing w:after="0" w:line="15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40"/>
          </w:cols>
          <w:pgMar w:left="240" w:top="274" w:right="31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December 18, 2012</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Brad Feller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Brad Feller</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4" w:right="259" w:bottom="1440" w:gutter="0" w:footer="0" w:header="0"/>
        </w:sectPr>
      </w:pPr>
    </w:p>
    <w:bookmarkStart w:id="3" w:name="page4"/>
    <w:bookmarkEnd w:id="3"/>
    <w:p>
      <w:pPr>
        <w:jc w:val="right"/>
        <w:ind w:right="38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1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80" w:type="dxa"/>
            <w:vAlign w:val="bottom"/>
            <w:tcBorders>
              <w:bottom w:val="single" w:sz="8" w:color="auto"/>
            </w:tcBorders>
          </w:tcPr>
          <w:p>
            <w:pPr>
              <w:ind w:left="40"/>
              <w:spacing w:after="0"/>
              <w:rPr>
                <w:sz w:val="20"/>
                <w:szCs w:val="20"/>
                <w:color w:val="auto"/>
              </w:rPr>
            </w:pPr>
            <w:r>
              <w:rPr>
                <w:rFonts w:ascii="Arial" w:cs="Arial" w:eastAsia="Arial" w:hAnsi="Arial"/>
                <w:sz w:val="14"/>
                <w:szCs w:val="14"/>
                <w:color w:val="auto"/>
                <w:w w:val="91"/>
              </w:rPr>
              <w:t>Exhibit No.</w:t>
            </w:r>
          </w:p>
        </w:tc>
        <w:tc>
          <w:tcPr>
            <w:tcW w:w="780" w:type="dxa"/>
            <w:vAlign w:val="bottom"/>
          </w:tcPr>
          <w:p>
            <w:pPr>
              <w:spacing w:after="0"/>
              <w:rPr>
                <w:sz w:val="14"/>
                <w:szCs w:val="14"/>
                <w:color w:val="auto"/>
              </w:rPr>
            </w:pPr>
          </w:p>
        </w:tc>
        <w:tc>
          <w:tcPr>
            <w:tcW w:w="660" w:type="dxa"/>
            <w:vAlign w:val="bottom"/>
            <w:tcBorders>
              <w:bottom w:val="single" w:sz="8" w:color="auto"/>
            </w:tcBorders>
          </w:tcPr>
          <w:p>
            <w:pPr>
              <w:spacing w:after="0"/>
              <w:rPr>
                <w:sz w:val="20"/>
                <w:szCs w:val="20"/>
                <w:color w:val="auto"/>
              </w:rPr>
            </w:pPr>
            <w:r>
              <w:rPr>
                <w:rFonts w:ascii="Arial" w:cs="Arial" w:eastAsia="Arial" w:hAnsi="Arial"/>
                <w:sz w:val="14"/>
                <w:szCs w:val="14"/>
                <w:color w:val="auto"/>
                <w:w w:val="91"/>
              </w:rPr>
              <w:t>Description</w:t>
            </w:r>
          </w:p>
        </w:tc>
        <w:tc>
          <w:tcPr>
            <w:tcW w:w="2140" w:type="dxa"/>
            <w:vAlign w:val="bottom"/>
          </w:tcPr>
          <w:p>
            <w:pPr>
              <w:spacing w:after="0"/>
              <w:rPr>
                <w:sz w:val="14"/>
                <w:szCs w:val="14"/>
                <w:color w:val="auto"/>
              </w:rPr>
            </w:pPr>
          </w:p>
        </w:tc>
      </w:tr>
      <w:tr>
        <w:trPr>
          <w:trHeight w:val="316"/>
        </w:trPr>
        <w:tc>
          <w:tcPr>
            <w:tcW w:w="680" w:type="dxa"/>
            <w:vAlign w:val="bottom"/>
          </w:tcPr>
          <w:p>
            <w:pPr>
              <w:spacing w:after="0"/>
              <w:rPr>
                <w:sz w:val="20"/>
                <w:szCs w:val="20"/>
                <w:color w:val="auto"/>
              </w:rPr>
            </w:pPr>
            <w:r>
              <w:rPr>
                <w:rFonts w:ascii="Arial" w:cs="Arial" w:eastAsia="Arial" w:hAnsi="Arial"/>
                <w:sz w:val="18"/>
                <w:szCs w:val="18"/>
                <w:color w:val="auto"/>
              </w:rPr>
              <w:t>99.1</w:t>
            </w:r>
          </w:p>
        </w:tc>
        <w:tc>
          <w:tcPr>
            <w:tcW w:w="780" w:type="dxa"/>
            <w:vAlign w:val="bottom"/>
          </w:tcPr>
          <w:p>
            <w:pPr>
              <w:spacing w:after="0"/>
              <w:rPr>
                <w:sz w:val="24"/>
                <w:szCs w:val="24"/>
                <w:color w:val="auto"/>
              </w:rPr>
            </w:pPr>
          </w:p>
        </w:tc>
        <w:tc>
          <w:tcPr>
            <w:tcW w:w="2800" w:type="dxa"/>
            <w:vAlign w:val="bottom"/>
            <w:gridSpan w:val="2"/>
          </w:tcPr>
          <w:p>
            <w:pPr>
              <w:spacing w:after="0"/>
              <w:rPr>
                <w:sz w:val="20"/>
                <w:szCs w:val="20"/>
                <w:color w:val="auto"/>
              </w:rPr>
            </w:pPr>
            <w:r>
              <w:rPr>
                <w:rFonts w:ascii="Arial" w:cs="Arial" w:eastAsia="Arial" w:hAnsi="Arial"/>
                <w:sz w:val="18"/>
                <w:szCs w:val="18"/>
                <w:color w:val="auto"/>
                <w:w w:val="84"/>
              </w:rPr>
              <w:t>Press Release dated December 18, 2012</w:t>
            </w:r>
          </w:p>
        </w:tc>
      </w:tr>
    </w:tbl>
    <w:p>
      <w:pPr>
        <w:sectPr>
          <w:pgSz w:w="11900" w:h="16838" w:orient="portrait"/>
          <w:cols w:equalWidth="0" w:num="1">
            <w:col w:w="10219"/>
          </w:cols>
          <w:pgMar w:left="240" w:top="274" w:right="1440"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5382260</wp:posOffset>
            </wp:positionH>
            <wp:positionV relativeFrom="paragraph">
              <wp:posOffset>246380</wp:posOffset>
            </wp:positionV>
            <wp:extent cx="1869440" cy="13716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869440"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ectPr>
          <w:pgSz w:w="11900" w:h="16838" w:orient="portrait"/>
          <w:cols w:equalWidth="0" w:num="1">
            <w:col w:w="11420"/>
          </w:cols>
          <w:pgMar w:left="240" w:top="125" w:right="239" w:bottom="1440" w:gutter="0" w:footer="0" w:header="0"/>
        </w:sectPr>
      </w:pPr>
    </w:p>
    <w:p>
      <w:pPr>
        <w:spacing w:after="0" w:line="218" w:lineRule="exact"/>
        <w:rPr>
          <w:sz w:val="20"/>
          <w:szCs w:val="20"/>
          <w:color w:val="auto"/>
        </w:rPr>
      </w:pPr>
    </w:p>
    <w:p>
      <w:pPr>
        <w:spacing w:after="0"/>
        <w:rPr>
          <w:sz w:val="20"/>
          <w:szCs w:val="20"/>
          <w:color w:val="auto"/>
        </w:rPr>
      </w:pPr>
      <w:r>
        <w:rPr>
          <w:rFonts w:ascii="Arial" w:cs="Arial" w:eastAsia="Arial" w:hAnsi="Arial"/>
          <w:sz w:val="16"/>
          <w:szCs w:val="16"/>
          <w:color w:val="auto"/>
        </w:rPr>
        <w:t>Investor Relations</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Sukhi Nagesh</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Tel: 408-222-8373</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sukhi@marvell.com</w:t>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color w:val="auto"/>
        </w:rPr>
        <w:t>Media Relations</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Daniel Yoo</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Tel: 408-222-2187</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yoo@marvell.com</w:t>
      </w:r>
    </w:p>
    <w:p>
      <w:pPr>
        <w:spacing w:after="0" w:line="200" w:lineRule="exact"/>
        <w:rPr>
          <w:sz w:val="20"/>
          <w:szCs w:val="20"/>
          <w:color w:val="auto"/>
        </w:rPr>
      </w:pPr>
    </w:p>
    <w:p>
      <w:pPr>
        <w:sectPr>
          <w:pgSz w:w="11900" w:h="16838" w:orient="portrait"/>
          <w:cols w:equalWidth="0" w:num="2">
            <w:col w:w="3400" w:space="720"/>
            <w:col w:w="7300"/>
          </w:cols>
          <w:pgMar w:left="240" w:top="125" w:right="239" w:bottom="1440" w:gutter="0" w:footer="0" w:header="0"/>
          <w:type w:val="continuous"/>
        </w:sectPr>
      </w:pPr>
    </w:p>
    <w:p>
      <w:pPr>
        <w:spacing w:after="0" w:line="7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Increases Share Repurchase Program by</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 additional $500 Million</w:t>
      </w:r>
    </w:p>
    <w:p>
      <w:pPr>
        <w:spacing w:after="0" w:line="159" w:lineRule="exact"/>
        <w:rPr>
          <w:sz w:val="20"/>
          <w:szCs w:val="20"/>
          <w:color w:val="auto"/>
        </w:rPr>
      </w:pPr>
    </w:p>
    <w:p>
      <w:pPr>
        <w:ind w:right="120"/>
        <w:spacing w:after="0" w:line="258" w:lineRule="auto"/>
        <w:rPr>
          <w:sz w:val="20"/>
          <w:szCs w:val="20"/>
          <w:color w:val="auto"/>
        </w:rPr>
      </w:pPr>
      <w:r>
        <w:rPr>
          <w:rFonts w:ascii="Arial" w:cs="Arial" w:eastAsia="Arial" w:hAnsi="Arial"/>
          <w:sz w:val="18"/>
          <w:szCs w:val="18"/>
          <w:b w:val="1"/>
          <w:bCs w:val="1"/>
          <w:color w:val="auto"/>
        </w:rPr>
        <w:t xml:space="preserve">Santa Clara, Calif. (December 18, 2012) </w:t>
      </w:r>
      <w:r>
        <w:rPr>
          <w:rFonts w:ascii="Arial" w:cs="Arial" w:eastAsia="Arial" w:hAnsi="Arial"/>
          <w:sz w:val="18"/>
          <w:szCs w:val="18"/>
          <w:color w:val="auto"/>
        </w:rPr>
        <w:t>— Marvell (NASDAQ: MRVL), a global leader in integrated silicon solutions, announced that the Board of Directors</w:t>
      </w:r>
      <w:r>
        <w:rPr>
          <w:rFonts w:ascii="Arial" w:cs="Arial" w:eastAsia="Arial" w:hAnsi="Arial"/>
          <w:sz w:val="18"/>
          <w:szCs w:val="18"/>
          <w:b w:val="1"/>
          <w:bCs w:val="1"/>
          <w:color w:val="auto"/>
        </w:rPr>
        <w:t xml:space="preserve"> </w:t>
      </w:r>
      <w:r>
        <w:rPr>
          <w:rFonts w:ascii="Arial" w:cs="Arial" w:eastAsia="Arial" w:hAnsi="Arial"/>
          <w:sz w:val="18"/>
          <w:szCs w:val="18"/>
          <w:color w:val="auto"/>
        </w:rPr>
        <w:t>has authorized Marvell to repurchase up to an additional $500 million under its share repurchase program. With this increase, the cumulative total share repurchase authorized will amount to $3.0 billion. As of the end of Marvell’s third fiscal quarter of 2013 ended October 27, 2012, Marvell had made approximately $2.1 billion in share repurchases under the prior authorization.</w:t>
      </w:r>
    </w:p>
    <w:p>
      <w:pPr>
        <w:spacing w:after="0" w:line="142" w:lineRule="exact"/>
        <w:rPr>
          <w:sz w:val="20"/>
          <w:szCs w:val="20"/>
          <w:color w:val="auto"/>
        </w:rPr>
      </w:pPr>
    </w:p>
    <w:p>
      <w:pPr>
        <w:ind w:right="140"/>
        <w:spacing w:after="0" w:line="306" w:lineRule="auto"/>
        <w:rPr>
          <w:sz w:val="20"/>
          <w:szCs w:val="20"/>
          <w:color w:val="auto"/>
        </w:rPr>
      </w:pPr>
      <w:r>
        <w:rPr>
          <w:rFonts w:ascii="Arial" w:cs="Arial" w:eastAsia="Arial" w:hAnsi="Arial"/>
          <w:sz w:val="16"/>
          <w:szCs w:val="16"/>
          <w:color w:val="auto"/>
        </w:rPr>
        <w:t>“We continue to believe a balanced approach to capital allocation to be in the best interest of the company and consistent with the feedback from our shareholders. Combined with our strong balance sheet, we believe this increase in the share repurchase authorization also indicates confidence in our underlying business and the ability to generate cash from our operations,” said Sehat Sutardja, Chairman, President and CEO of Marvell.</w:t>
      </w:r>
    </w:p>
    <w:p>
      <w:pPr>
        <w:spacing w:after="0" w:line="107" w:lineRule="exact"/>
        <w:rPr>
          <w:sz w:val="20"/>
          <w:szCs w:val="20"/>
          <w:color w:val="auto"/>
        </w:rPr>
      </w:pPr>
    </w:p>
    <w:p>
      <w:pPr>
        <w:ind w:right="100"/>
        <w:spacing w:after="0" w:line="298" w:lineRule="auto"/>
        <w:rPr>
          <w:sz w:val="20"/>
          <w:szCs w:val="20"/>
          <w:color w:val="auto"/>
        </w:rPr>
      </w:pPr>
      <w:r>
        <w:rPr>
          <w:rFonts w:ascii="Arial" w:cs="Arial" w:eastAsia="Arial" w:hAnsi="Arial"/>
          <w:sz w:val="16"/>
          <w:szCs w:val="16"/>
          <w:color w:val="auto"/>
        </w:rPr>
        <w:t>Marvell intends to effect the repurchase program in accordance with the conditions of Rule 10b-18 under the Exchange Act. The repurchase program will be subject to market conditions and other factors and does not obligate Marvell to repurchase any dollar amount or number of its common shares. The program may be extended, modified, suspended or discontinued at any time. The repurchases, which are expected to be funded from Marvell’s current cash and short-term investments position that stood at approximately $2.0 billion as of October 27, 2012, may occur in open market, privately negotiated or block transactions.</w:t>
      </w:r>
    </w:p>
    <w:p>
      <w:pPr>
        <w:sectPr>
          <w:pgSz w:w="11900" w:h="16838" w:orient="portrait"/>
          <w:cols w:equalWidth="0" w:num="1">
            <w:col w:w="11420"/>
          </w:cols>
          <w:pgMar w:left="240" w:top="125" w:right="239" w:bottom="1440" w:gutter="0" w:footer="0" w:header="0"/>
          <w:type w:val="continuous"/>
        </w:sectPr>
      </w:pPr>
    </w:p>
    <w:bookmarkStart w:id="5" w:name="page6"/>
    <w:bookmarkEnd w:id="5"/>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Marvell</w:t>
      </w:r>
    </w:p>
    <w:p>
      <w:pPr>
        <w:spacing w:after="0" w:line="96" w:lineRule="exact"/>
        <w:rPr>
          <w:sz w:val="20"/>
          <w:szCs w:val="20"/>
          <w:color w:val="auto"/>
        </w:rPr>
      </w:pPr>
    </w:p>
    <w:p>
      <w:pPr>
        <w:ind w:right="20"/>
        <w:spacing w:after="0" w:line="256" w:lineRule="auto"/>
        <w:rPr>
          <w:sz w:val="20"/>
          <w:szCs w:val="20"/>
          <w:color w:val="auto"/>
        </w:rPr>
      </w:pPr>
      <w:r>
        <w:rPr>
          <w:rFonts w:ascii="Arial" w:cs="Arial" w:eastAsia="Arial" w:hAnsi="Arial"/>
          <w:sz w:val="18"/>
          <w:szCs w:val="18"/>
          <w:color w:val="auto"/>
        </w:rPr>
        <w:t xml:space="preserve">Marvell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“Marvell” refers to Marvell Technology Group Ltd. and its subsidiaries. For more information please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of Marvell under the Private Securities Litigation Act of 1995:</w:t>
      </w:r>
    </w:p>
    <w:p>
      <w:pPr>
        <w:spacing w:after="0" w:line="96"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This press release contains forward-looking statements that involve risks and uncertainties, including statements regarding a balanced approach to capital allocation to be in the best interest of Marvell’s shareholders; Marvell’s confidence in its underlying business and ability to generate cash from its operations; Marvell’s ability to fund common share purchases out of its current cash position; and the types of transactions pursuant to which repurchases will be made under the share repurchase program. These statements are not guarantees of results and should not be considered as an indication of future performance. Actual events or results may differ materially from those described in this document due to a number of risks and uncertainties, including, among others, Marvell’s reliance on major customers and suppliers; market acceptance of new products; and other risks detailed in Marvell’s SEC filings. For other factors that could cause these forward-looking statements to vary from expectations, please see the risk factors identified in Marvell’s latest Quarterly Report on Form 10-Q for the quarter ended October 27, 2012 and Current Reports on Form 8-K as filed with the SEC, and other factors detailed from time to time in Marvell’s filings with the SEC. Marvell undertakes no obligation to revise or update publicly any forward-looking statements.</w:t>
      </w:r>
    </w:p>
    <w:p>
      <w:pPr>
        <w:spacing w:after="0" w:line="120"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Marvell and the M logo are registered trademarks of Marvell and/or its affiliates.</w:t>
      </w:r>
    </w:p>
    <w:sectPr>
      <w:pgSz w:w="11900" w:h="16838" w:orient="portrait"/>
      <w:cols w:equalWidth="0" w:num="1">
        <w:col w:w="11360"/>
      </w:cols>
      <w:pgMar w:left="240" w:top="274" w:right="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2019-12-09T12:36:11Z</dcterms:created>
  <dcterms:modified xsi:type="dcterms:W3CDTF">2019-12-09T12:36:11Z</dcterms:modified>
</cp:coreProperties>
</file>