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52"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October 18,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 of</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7.01 Regulation FD Disclosure.</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On October 18, 2012, Marvell Technology Group Ltd. issued a press release in which it revised its financial outlook for the third fiscal quarter ending October 27, 2012.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90"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October 18, 2012 (furnished pursuant to Item 7.01)</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74" w:right="29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October 18, 2012</w:t>
      </w:r>
    </w:p>
    <w:p>
      <w:pPr>
        <w:spacing w:after="0" w:line="90"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Sehat Sutardja</w:t>
      </w:r>
    </w:p>
    <w:p>
      <w:pPr>
        <w:spacing w:after="0" w:line="15" w:lineRule="exact"/>
        <w:rPr>
          <w:sz w:val="20"/>
          <w:szCs w:val="20"/>
          <w:color w:val="auto"/>
        </w:rPr>
      </w:pPr>
    </w:p>
    <w:p>
      <w:pPr>
        <w:ind w:left="62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ind w:left="50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640" w:space="660"/>
            <w:col w:w="891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October 18, 2012 (furnished pursuant to Item 7.01)</w:t>
      </w:r>
    </w:p>
    <w:p>
      <w:pPr>
        <w:sectPr>
          <w:pgSz w:w="11900" w:h="16838" w:orient="portrait"/>
          <w:cols w:equalWidth="0" w:num="2">
            <w:col w:w="580" w:space="720"/>
            <w:col w:w="8919"/>
          </w:cols>
          <w:pgMar w:left="240" w:top="274"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60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00" w:type="dxa"/>
            <w:vAlign w:val="bottom"/>
          </w:tcPr>
          <w:p>
            <w:pPr>
              <w:spacing w:after="0"/>
              <w:rPr>
                <w:sz w:val="19"/>
                <w:szCs w:val="19"/>
                <w:color w:val="auto"/>
              </w:rPr>
            </w:pP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1300" w:type="dxa"/>
            <w:vAlign w:val="bottom"/>
          </w:tcPr>
          <w:p>
            <w:pPr>
              <w:spacing w:after="0"/>
              <w:rPr>
                <w:sz w:val="20"/>
                <w:szCs w:val="20"/>
                <w:color w:val="auto"/>
              </w:rPr>
            </w:pPr>
            <w:r>
              <w:rPr>
                <w:rFonts w:ascii="Arial" w:cs="Arial" w:eastAsia="Arial" w:hAnsi="Arial"/>
                <w:sz w:val="18"/>
                <w:szCs w:val="18"/>
                <w:color w:val="auto"/>
              </w:rPr>
              <w:t>Daniel Yoo</w:t>
            </w: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300" w:type="dxa"/>
            <w:vAlign w:val="bottom"/>
          </w:tcPr>
          <w:p>
            <w:pPr>
              <w:spacing w:after="0"/>
              <w:rPr>
                <w:sz w:val="20"/>
                <w:szCs w:val="20"/>
                <w:color w:val="auto"/>
              </w:rPr>
            </w:pPr>
            <w:r>
              <w:rPr>
                <w:rFonts w:ascii="Arial" w:cs="Arial" w:eastAsia="Arial" w:hAnsi="Arial"/>
                <w:sz w:val="18"/>
                <w:szCs w:val="18"/>
                <w:color w:val="auto"/>
                <w:w w:val="99"/>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462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8"/>
                <w:szCs w:val="18"/>
                <w:color w:val="auto"/>
              </w:rPr>
              <w:t>408-222-2187</w:t>
            </w: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4620" w:type="dxa"/>
            <w:vAlign w:val="bottom"/>
          </w:tcPr>
          <w:p>
            <w:pPr>
              <w:spacing w:after="0"/>
              <w:rPr>
                <w:sz w:val="15"/>
                <w:szCs w:val="15"/>
                <w:color w:val="auto"/>
              </w:rPr>
            </w:pPr>
          </w:p>
        </w:tc>
        <w:tc>
          <w:tcPr>
            <w:tcW w:w="130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88"/>
              </w:rPr>
              <w:t>yoo@marvell.com</w:t>
            </w:r>
          </w:p>
        </w:tc>
      </w:tr>
    </w:tbl>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Provides Updated Outlook for the Fiscal Third Quarter</w:t>
      </w:r>
    </w:p>
    <w:p>
      <w:pPr>
        <w:spacing w:after="0" w:line="171" w:lineRule="exact"/>
        <w:rPr>
          <w:sz w:val="20"/>
          <w:szCs w:val="20"/>
          <w:color w:val="auto"/>
        </w:rPr>
      </w:pPr>
    </w:p>
    <w:p>
      <w:pPr>
        <w:ind w:right="160"/>
        <w:spacing w:after="0" w:line="275" w:lineRule="auto"/>
        <w:rPr>
          <w:sz w:val="20"/>
          <w:szCs w:val="20"/>
          <w:color w:val="auto"/>
        </w:rPr>
      </w:pPr>
      <w:r>
        <w:rPr>
          <w:rFonts w:ascii="Arial" w:cs="Arial" w:eastAsia="Arial" w:hAnsi="Arial"/>
          <w:sz w:val="18"/>
          <w:szCs w:val="18"/>
          <w:b w:val="1"/>
          <w:bCs w:val="1"/>
          <w:color w:val="auto"/>
        </w:rPr>
        <w:t xml:space="preserve">Santa Clara, California (October 18, 2012) </w:t>
      </w:r>
      <w:r>
        <w:rPr>
          <w:rFonts w:ascii="Arial" w:cs="Arial" w:eastAsia="Arial" w:hAnsi="Arial"/>
          <w:sz w:val="18"/>
          <w:szCs w:val="18"/>
          <w:color w:val="auto"/>
        </w:rPr>
        <w:t>— Marvell (NASDAQ: MRVL), a global leader in integrated silicon solutions, today updated its financial outlook</w:t>
      </w:r>
      <w:r>
        <w:rPr>
          <w:rFonts w:ascii="Arial" w:cs="Arial" w:eastAsia="Arial" w:hAnsi="Arial"/>
          <w:sz w:val="18"/>
          <w:szCs w:val="18"/>
          <w:b w:val="1"/>
          <w:bCs w:val="1"/>
          <w:color w:val="auto"/>
        </w:rPr>
        <w:t xml:space="preserve"> </w:t>
      </w:r>
      <w:r>
        <w:rPr>
          <w:rFonts w:ascii="Arial" w:cs="Arial" w:eastAsia="Arial" w:hAnsi="Arial"/>
          <w:sz w:val="18"/>
          <w:szCs w:val="18"/>
          <w:color w:val="auto"/>
        </w:rPr>
        <w:t>for the third quarter of fiscal 2013, ending October 27, 2012.</w:t>
      </w:r>
    </w:p>
    <w:p>
      <w:pPr>
        <w:spacing w:after="0" w:line="126"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Marvell now expects net revenue for the third quarter of fiscal 2013 will be in the range of $765 million to $785 million, compared with prior outlook of between $800 million to $850 million.</w:t>
      </w:r>
    </w:p>
    <w:p>
      <w:pPr>
        <w:spacing w:after="0" w:line="132" w:lineRule="exact"/>
        <w:rPr>
          <w:sz w:val="20"/>
          <w:szCs w:val="20"/>
          <w:color w:val="auto"/>
        </w:rPr>
      </w:pPr>
    </w:p>
    <w:p>
      <w:pPr>
        <w:ind w:right="100"/>
        <w:spacing w:after="0" w:line="256" w:lineRule="auto"/>
        <w:rPr>
          <w:sz w:val="20"/>
          <w:szCs w:val="20"/>
          <w:color w:val="auto"/>
        </w:rPr>
      </w:pPr>
      <w:r>
        <w:rPr>
          <w:rFonts w:ascii="Arial" w:cs="Arial" w:eastAsia="Arial" w:hAnsi="Arial"/>
          <w:sz w:val="18"/>
          <w:szCs w:val="18"/>
          <w:color w:val="auto"/>
        </w:rPr>
        <w:t>“The continued slowdown in the global economy during the third quarter is resulting in a weaker PC market than previously anticipated and thus lower demand from our storage HDD customers. Our SSD, networking, and mobile product revenues are tracking to be in line with prior expectations,” said Dr. Sehat Sutardja, Marvell’s Chairman and Chief Executive Officer. “In addition to the continued weak PC demand patterns, visibility in our other end markets remains low as we head into a seasonally softer fourth quarter.”</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color w:val="auto"/>
        </w:rPr>
        <w:t>No conference call will be held in conjunction with this business update.</w:t>
      </w:r>
    </w:p>
    <w:p>
      <w:pPr>
        <w:spacing w:after="0" w:line="171"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Marvell will conduct its regularly scheduled conference call following the release of its third quarter of fiscal 2013 financial results on Thursday, November 15, 2012 at 1:45 p.m. Pacific Time.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 Details</w:t>
      </w:r>
    </w:p>
    <w:p>
      <w:pPr>
        <w:spacing w:after="0" w:line="96"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Interested parties may join the conference call on November 15, 2012 by dialing 1-866-578-5771 or 1- 617-213-8055, pass-code 32388248. The call will be webcast by Thomson Reuters and can be accessed at the Marvell Investor Relations website at http://investor.marvell.com/ with a replay available following the call until December 14, 2012.</w:t>
      </w:r>
    </w:p>
    <w:p>
      <w:pPr>
        <w:sectPr>
          <w:pgSz w:w="11900" w:h="16838" w:orient="portrait"/>
          <w:cols w:equalWidth="0" w:num="1">
            <w:col w:w="11420"/>
          </w:cols>
          <w:pgMar w:left="240" w:top="125"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96"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This press release contains forward-looking statements, including statements concerning Marvell’s expectations with respect to net revenue for the third quarter ending October 27, 2012; and expectations about the SSD, networking, mobile and wireless end markets. These statements are not guarantees of results and should not be considered as an indication of future performance. Actual events or results may differ materially from those described in this document due to a number of risks and uncertainties, including, among others, Marvell’s reliance on a few customers for a significant portion of its revenue; Marvell’s ability to develop and introduce new and enhanced products in a timely and cost effective manner; future demand for storage HDD products; uncertainty in the worldwide economic environment; seasonality in sales of consumer devices in which our products are incorporated; Marvell’s ability to compete in an intensely competitive industry; Marvell’s ability to recruit and retain skilled personnel; and other risks detailed in Marvell’s SEC filings from time to time. For other factors that could cause Marvell’s results to vary from expectations, please see the risk factors identified in the Marvell’s latest Quarterly Report on Form 10-Q for the quarter ended July 28, 2012, as filed with the SEC and other factors detailed from time to time in Marvell’s filings with the SEC. Marvell undertakes no obligation to revise or update publicly any forward-looking statements.</w:t>
      </w:r>
    </w:p>
    <w:p>
      <w:pPr>
        <w:spacing w:after="0" w:line="12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sectPr>
      <w:pgSz w:w="11900" w:h="16838" w:orient="portrait"/>
      <w:cols w:equalWidth="0" w:num="1">
        <w:col w:w="11380"/>
      </w:cols>
      <w:pgMar w:left="240" w:top="274"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2019-12-09T13:59:55Z</dcterms:created>
  <dcterms:modified xsi:type="dcterms:W3CDTF">2019-12-09T13:59:55Z</dcterms:modified>
</cp:coreProperties>
</file>