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6" w:lineRule="exact"/>
        <w:rPr>
          <w:sz w:val="24"/>
          <w:szCs w:val="24"/>
          <w:color w:val="auto"/>
        </w:rPr>
      </w:pPr>
    </w:p>
    <w:p>
      <w:pPr>
        <w:jc w:val="center"/>
        <w:ind w:right="-33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339"/>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39"/>
        <w:spacing w:after="0"/>
        <w:rPr>
          <w:sz w:val="20"/>
          <w:szCs w:val="20"/>
          <w:color w:val="auto"/>
        </w:rPr>
      </w:pPr>
      <w:r>
        <w:rPr>
          <w:rFonts w:ascii="Arial" w:cs="Arial" w:eastAsia="Arial" w:hAnsi="Arial"/>
          <w:sz w:val="22"/>
          <w:szCs w:val="22"/>
          <w:b w:val="1"/>
          <w:bCs w:val="1"/>
          <w:color w:val="auto"/>
        </w:rPr>
        <w:t>Securities Exchange Act of 1934</w:t>
      </w:r>
    </w:p>
    <w:p>
      <w:pPr>
        <w:spacing w:after="0" w:line="128" w:lineRule="exact"/>
        <w:rPr>
          <w:sz w:val="24"/>
          <w:szCs w:val="24"/>
          <w:color w:val="auto"/>
        </w:rPr>
      </w:pPr>
    </w:p>
    <w:p>
      <w:pPr>
        <w:jc w:val="center"/>
        <w:ind w:right="-339"/>
        <w:spacing w:after="0"/>
        <w:rPr>
          <w:sz w:val="20"/>
          <w:szCs w:val="20"/>
          <w:color w:val="auto"/>
        </w:rPr>
      </w:pPr>
      <w:r>
        <w:rPr>
          <w:rFonts w:ascii="Arial" w:cs="Arial" w:eastAsia="Arial" w:hAnsi="Arial"/>
          <w:sz w:val="22"/>
          <w:szCs w:val="22"/>
          <w:b w:val="1"/>
          <w:bCs w:val="1"/>
          <w:color w:val="auto"/>
        </w:rPr>
        <w:t>Date of Report (Date of earliest event reported): November 15, 2012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33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66" w:lineRule="exact"/>
        <w:rPr>
          <w:sz w:val="24"/>
          <w:szCs w:val="24"/>
          <w:color w:val="auto"/>
        </w:rPr>
      </w:pPr>
    </w:p>
    <w:tbl>
      <w:tblPr>
        <w:tblLayout w:type="fixed"/>
        <w:tblInd w:w="1120" w:type="dxa"/>
        <w:tblCellMar>
          <w:top w:w="0" w:type="dxa"/>
          <w:left w:w="0" w:type="dxa"/>
          <w:bottom w:w="0" w:type="dxa"/>
          <w:right w:w="0" w:type="dxa"/>
        </w:tblCellMar>
      </w:tblPr>
      <w:tr>
        <w:trPr>
          <w:trHeight w:val="218"/>
        </w:trPr>
        <w:tc>
          <w:tcPr>
            <w:tcW w:w="2160" w:type="dxa"/>
            <w:vAlign w:val="bottom"/>
          </w:tcPr>
          <w:p>
            <w:pPr>
              <w:jc w:val="center"/>
              <w:ind w:right="546"/>
              <w:spacing w:after="0"/>
              <w:rPr>
                <w:sz w:val="20"/>
                <w:szCs w:val="20"/>
                <w:color w:val="auto"/>
              </w:rPr>
            </w:pPr>
            <w:r>
              <w:rPr>
                <w:rFonts w:ascii="Arial" w:cs="Arial" w:eastAsia="Arial" w:hAnsi="Arial"/>
                <w:sz w:val="18"/>
                <w:szCs w:val="18"/>
                <w:b w:val="1"/>
                <w:bCs w:val="1"/>
                <w:color w:val="auto"/>
                <w:w w:val="89"/>
              </w:rPr>
              <w:t>Bermuda</w:t>
            </w:r>
          </w:p>
        </w:tc>
        <w:tc>
          <w:tcPr>
            <w:tcW w:w="5020" w:type="dxa"/>
            <w:vAlign w:val="bottom"/>
          </w:tcPr>
          <w:p>
            <w:pPr>
              <w:ind w:left="2100"/>
              <w:spacing w:after="0"/>
              <w:rPr>
                <w:sz w:val="20"/>
                <w:szCs w:val="20"/>
                <w:color w:val="auto"/>
              </w:rPr>
            </w:pPr>
            <w:r>
              <w:rPr>
                <w:rFonts w:ascii="Arial" w:cs="Arial" w:eastAsia="Arial" w:hAnsi="Arial"/>
                <w:sz w:val="18"/>
                <w:szCs w:val="18"/>
                <w:b w:val="1"/>
                <w:bCs w:val="1"/>
                <w:color w:val="auto"/>
              </w:rPr>
              <w:t>000-30877</w:t>
            </w:r>
          </w:p>
        </w:tc>
        <w:tc>
          <w:tcPr>
            <w:tcW w:w="1820" w:type="dxa"/>
            <w:vAlign w:val="bottom"/>
          </w:tcPr>
          <w:p>
            <w:pPr>
              <w:jc w:val="center"/>
              <w:ind w:left="706"/>
              <w:spacing w:after="0"/>
              <w:rPr>
                <w:sz w:val="20"/>
                <w:szCs w:val="20"/>
                <w:color w:val="auto"/>
              </w:rPr>
            </w:pPr>
            <w:r>
              <w:rPr>
                <w:rFonts w:ascii="Arial" w:cs="Arial" w:eastAsia="Arial" w:hAnsi="Arial"/>
                <w:sz w:val="18"/>
                <w:szCs w:val="18"/>
                <w:b w:val="1"/>
                <w:bCs w:val="1"/>
                <w:color w:val="auto"/>
                <w:w w:val="87"/>
              </w:rPr>
              <w:t>77-0481679</w:t>
            </w:r>
          </w:p>
        </w:tc>
      </w:tr>
      <w:tr>
        <w:trPr>
          <w:trHeight w:val="149"/>
        </w:trPr>
        <w:tc>
          <w:tcPr>
            <w:tcW w:w="2160" w:type="dxa"/>
            <w:vAlign w:val="bottom"/>
          </w:tcPr>
          <w:p>
            <w:pPr>
              <w:jc w:val="center"/>
              <w:ind w:right="546"/>
              <w:spacing w:after="0" w:line="149" w:lineRule="exact"/>
              <w:rPr>
                <w:sz w:val="20"/>
                <w:szCs w:val="20"/>
                <w:color w:val="auto"/>
              </w:rPr>
            </w:pPr>
            <w:r>
              <w:rPr>
                <w:rFonts w:ascii="Arial" w:cs="Arial" w:eastAsia="Arial" w:hAnsi="Arial"/>
                <w:sz w:val="14"/>
                <w:szCs w:val="14"/>
                <w:b w:val="1"/>
                <w:bCs w:val="1"/>
                <w:color w:val="auto"/>
                <w:w w:val="87"/>
              </w:rPr>
              <w:t>(State or other jurisdiction</w:t>
            </w:r>
          </w:p>
        </w:tc>
        <w:tc>
          <w:tcPr>
            <w:tcW w:w="5020" w:type="dxa"/>
            <w:vAlign w:val="bottom"/>
          </w:tcPr>
          <w:p>
            <w:pPr>
              <w:ind w:left="2100"/>
              <w:spacing w:after="0" w:line="149" w:lineRule="exact"/>
              <w:rPr>
                <w:sz w:val="20"/>
                <w:szCs w:val="20"/>
                <w:color w:val="auto"/>
              </w:rPr>
            </w:pPr>
            <w:r>
              <w:rPr>
                <w:rFonts w:ascii="Arial" w:cs="Arial" w:eastAsia="Arial" w:hAnsi="Arial"/>
                <w:sz w:val="14"/>
                <w:szCs w:val="14"/>
                <w:b w:val="1"/>
                <w:bCs w:val="1"/>
                <w:color w:val="auto"/>
              </w:rPr>
              <w:t>(Commission</w:t>
            </w:r>
          </w:p>
        </w:tc>
        <w:tc>
          <w:tcPr>
            <w:tcW w:w="1820" w:type="dxa"/>
            <w:vAlign w:val="bottom"/>
          </w:tcPr>
          <w:p>
            <w:pPr>
              <w:jc w:val="center"/>
              <w:ind w:left="686"/>
              <w:spacing w:after="0" w:line="149" w:lineRule="exact"/>
              <w:rPr>
                <w:sz w:val="20"/>
                <w:szCs w:val="20"/>
                <w:color w:val="auto"/>
              </w:rPr>
            </w:pPr>
            <w:r>
              <w:rPr>
                <w:rFonts w:ascii="Arial" w:cs="Arial" w:eastAsia="Arial" w:hAnsi="Arial"/>
                <w:sz w:val="14"/>
                <w:szCs w:val="14"/>
                <w:b w:val="1"/>
                <w:bCs w:val="1"/>
                <w:color w:val="auto"/>
                <w:w w:val="91"/>
              </w:rPr>
              <w:t>(I.R.S. Employer</w:t>
            </w:r>
          </w:p>
        </w:tc>
      </w:tr>
      <w:tr>
        <w:trPr>
          <w:trHeight w:val="174"/>
        </w:trPr>
        <w:tc>
          <w:tcPr>
            <w:tcW w:w="2160" w:type="dxa"/>
            <w:vAlign w:val="bottom"/>
          </w:tcPr>
          <w:p>
            <w:pPr>
              <w:jc w:val="center"/>
              <w:ind w:right="546"/>
              <w:spacing w:after="0"/>
              <w:rPr>
                <w:sz w:val="20"/>
                <w:szCs w:val="20"/>
                <w:color w:val="auto"/>
              </w:rPr>
            </w:pPr>
            <w:r>
              <w:rPr>
                <w:rFonts w:ascii="Arial" w:cs="Arial" w:eastAsia="Arial" w:hAnsi="Arial"/>
                <w:sz w:val="14"/>
                <w:szCs w:val="14"/>
                <w:b w:val="1"/>
                <w:bCs w:val="1"/>
                <w:color w:val="auto"/>
                <w:w w:val="87"/>
              </w:rPr>
              <w:t>of incorporation)</w:t>
            </w:r>
          </w:p>
        </w:tc>
        <w:tc>
          <w:tcPr>
            <w:tcW w:w="5020" w:type="dxa"/>
            <w:vAlign w:val="bottom"/>
          </w:tcPr>
          <w:p>
            <w:pPr>
              <w:ind w:left="2100"/>
              <w:spacing w:after="0"/>
              <w:rPr>
                <w:sz w:val="20"/>
                <w:szCs w:val="20"/>
                <w:color w:val="auto"/>
              </w:rPr>
            </w:pPr>
            <w:r>
              <w:rPr>
                <w:rFonts w:ascii="Arial" w:cs="Arial" w:eastAsia="Arial" w:hAnsi="Arial"/>
                <w:sz w:val="14"/>
                <w:szCs w:val="14"/>
                <w:b w:val="1"/>
                <w:bCs w:val="1"/>
                <w:color w:val="auto"/>
              </w:rPr>
              <w:t>File Number)</w:t>
            </w:r>
          </w:p>
        </w:tc>
        <w:tc>
          <w:tcPr>
            <w:tcW w:w="1820" w:type="dxa"/>
            <w:vAlign w:val="bottom"/>
          </w:tcPr>
          <w:p>
            <w:pPr>
              <w:jc w:val="center"/>
              <w:ind w:left="686"/>
              <w:spacing w:after="0"/>
              <w:rPr>
                <w:sz w:val="20"/>
                <w:szCs w:val="20"/>
                <w:color w:val="auto"/>
              </w:rPr>
            </w:pPr>
            <w:r>
              <w:rPr>
                <w:rFonts w:ascii="Arial" w:cs="Arial" w:eastAsia="Arial" w:hAnsi="Arial"/>
                <w:sz w:val="14"/>
                <w:szCs w:val="14"/>
                <w:b w:val="1"/>
                <w:bCs w:val="1"/>
                <w:color w:val="auto"/>
                <w:w w:val="89"/>
              </w:rPr>
              <w:t>Identification No.)</w:t>
            </w:r>
          </w:p>
        </w:tc>
      </w:tr>
      <w:tr>
        <w:trPr>
          <w:trHeight w:val="364"/>
        </w:trPr>
        <w:tc>
          <w:tcPr>
            <w:tcW w:w="2160" w:type="dxa"/>
            <w:vAlign w:val="bottom"/>
          </w:tcPr>
          <w:p>
            <w:pPr>
              <w:spacing w:after="0"/>
              <w:rPr>
                <w:sz w:val="24"/>
                <w:szCs w:val="24"/>
                <w:color w:val="auto"/>
              </w:rPr>
            </w:pPr>
          </w:p>
        </w:tc>
        <w:tc>
          <w:tcPr>
            <w:tcW w:w="5020" w:type="dxa"/>
            <w:vAlign w:val="bottom"/>
          </w:tcPr>
          <w:p>
            <w:pPr>
              <w:jc w:val="center"/>
              <w:ind w:right="81"/>
              <w:spacing w:after="0"/>
              <w:rPr>
                <w:sz w:val="20"/>
                <w:szCs w:val="20"/>
                <w:color w:val="auto"/>
              </w:rPr>
            </w:pPr>
            <w:r>
              <w:rPr>
                <w:rFonts w:ascii="Arial" w:cs="Arial" w:eastAsia="Arial" w:hAnsi="Arial"/>
                <w:sz w:val="18"/>
                <w:szCs w:val="18"/>
                <w:b w:val="1"/>
                <w:bCs w:val="1"/>
                <w:color w:val="auto"/>
                <w:w w:val="88"/>
              </w:rPr>
              <w:t>Canon’s Court</w:t>
            </w:r>
          </w:p>
        </w:tc>
        <w:tc>
          <w:tcPr>
            <w:tcW w:w="1820" w:type="dxa"/>
            <w:vAlign w:val="bottom"/>
          </w:tcPr>
          <w:p>
            <w:pPr>
              <w:spacing w:after="0"/>
              <w:rPr>
                <w:sz w:val="24"/>
                <w:szCs w:val="24"/>
                <w:color w:val="auto"/>
              </w:rPr>
            </w:pPr>
          </w:p>
        </w:tc>
      </w:tr>
      <w:tr>
        <w:trPr>
          <w:trHeight w:val="216"/>
        </w:trPr>
        <w:tc>
          <w:tcPr>
            <w:tcW w:w="2160" w:type="dxa"/>
            <w:vAlign w:val="bottom"/>
          </w:tcPr>
          <w:p>
            <w:pPr>
              <w:spacing w:after="0"/>
              <w:rPr>
                <w:sz w:val="18"/>
                <w:szCs w:val="18"/>
                <w:color w:val="auto"/>
              </w:rPr>
            </w:pPr>
          </w:p>
        </w:tc>
        <w:tc>
          <w:tcPr>
            <w:tcW w:w="5020" w:type="dxa"/>
            <w:vAlign w:val="bottom"/>
          </w:tcPr>
          <w:p>
            <w:pPr>
              <w:jc w:val="center"/>
              <w:ind w:right="61"/>
              <w:spacing w:after="0"/>
              <w:rPr>
                <w:sz w:val="20"/>
                <w:szCs w:val="20"/>
                <w:color w:val="auto"/>
              </w:rPr>
            </w:pPr>
            <w:r>
              <w:rPr>
                <w:rFonts w:ascii="Arial" w:cs="Arial" w:eastAsia="Arial" w:hAnsi="Arial"/>
                <w:sz w:val="18"/>
                <w:szCs w:val="18"/>
                <w:b w:val="1"/>
                <w:bCs w:val="1"/>
                <w:color w:val="auto"/>
                <w:w w:val="89"/>
              </w:rPr>
              <w:t>22 Victoria Street</w:t>
            </w:r>
          </w:p>
        </w:tc>
        <w:tc>
          <w:tcPr>
            <w:tcW w:w="1820" w:type="dxa"/>
            <w:vAlign w:val="bottom"/>
          </w:tcPr>
          <w:p>
            <w:pPr>
              <w:spacing w:after="0"/>
              <w:rPr>
                <w:sz w:val="18"/>
                <w:szCs w:val="18"/>
                <w:color w:val="auto"/>
              </w:rPr>
            </w:pPr>
          </w:p>
        </w:tc>
      </w:tr>
      <w:tr>
        <w:trPr>
          <w:trHeight w:val="216"/>
        </w:trPr>
        <w:tc>
          <w:tcPr>
            <w:tcW w:w="2160" w:type="dxa"/>
            <w:vAlign w:val="bottom"/>
          </w:tcPr>
          <w:p>
            <w:pPr>
              <w:spacing w:after="0"/>
              <w:rPr>
                <w:sz w:val="18"/>
                <w:szCs w:val="18"/>
                <w:color w:val="auto"/>
              </w:rPr>
            </w:pPr>
          </w:p>
        </w:tc>
        <w:tc>
          <w:tcPr>
            <w:tcW w:w="5020" w:type="dxa"/>
            <w:vAlign w:val="bottom"/>
          </w:tcPr>
          <w:p>
            <w:pPr>
              <w:jc w:val="center"/>
              <w:ind w:right="61"/>
              <w:spacing w:after="0"/>
              <w:rPr>
                <w:sz w:val="20"/>
                <w:szCs w:val="20"/>
                <w:color w:val="auto"/>
              </w:rPr>
            </w:pPr>
            <w:r>
              <w:rPr>
                <w:rFonts w:ascii="Arial" w:cs="Arial" w:eastAsia="Arial" w:hAnsi="Arial"/>
                <w:sz w:val="18"/>
                <w:szCs w:val="18"/>
                <w:b w:val="1"/>
                <w:bCs w:val="1"/>
                <w:color w:val="auto"/>
                <w:w w:val="94"/>
              </w:rPr>
              <w:t>Hamilton HM 12</w:t>
            </w:r>
          </w:p>
        </w:tc>
        <w:tc>
          <w:tcPr>
            <w:tcW w:w="1820" w:type="dxa"/>
            <w:vAlign w:val="bottom"/>
          </w:tcPr>
          <w:p>
            <w:pPr>
              <w:spacing w:after="0"/>
              <w:rPr>
                <w:sz w:val="18"/>
                <w:szCs w:val="18"/>
                <w:color w:val="auto"/>
              </w:rPr>
            </w:pPr>
          </w:p>
        </w:tc>
      </w:tr>
      <w:tr>
        <w:trPr>
          <w:trHeight w:val="218"/>
        </w:trPr>
        <w:tc>
          <w:tcPr>
            <w:tcW w:w="2160" w:type="dxa"/>
            <w:vAlign w:val="bottom"/>
          </w:tcPr>
          <w:p>
            <w:pPr>
              <w:spacing w:after="0"/>
              <w:rPr>
                <w:sz w:val="18"/>
                <w:szCs w:val="18"/>
                <w:color w:val="auto"/>
              </w:rPr>
            </w:pPr>
          </w:p>
        </w:tc>
        <w:tc>
          <w:tcPr>
            <w:tcW w:w="5020" w:type="dxa"/>
            <w:vAlign w:val="bottom"/>
          </w:tcPr>
          <w:p>
            <w:pPr>
              <w:jc w:val="center"/>
              <w:ind w:right="81"/>
              <w:spacing w:after="0"/>
              <w:rPr>
                <w:sz w:val="20"/>
                <w:szCs w:val="20"/>
                <w:color w:val="auto"/>
              </w:rPr>
            </w:pPr>
            <w:r>
              <w:rPr>
                <w:rFonts w:ascii="Arial" w:cs="Arial" w:eastAsia="Arial" w:hAnsi="Arial"/>
                <w:sz w:val="18"/>
                <w:szCs w:val="18"/>
                <w:b w:val="1"/>
                <w:bCs w:val="1"/>
                <w:color w:val="auto"/>
                <w:w w:val="89"/>
              </w:rPr>
              <w:t>Bermuda</w:t>
            </w:r>
          </w:p>
        </w:tc>
        <w:tc>
          <w:tcPr>
            <w:tcW w:w="1820" w:type="dxa"/>
            <w:vAlign w:val="bottom"/>
          </w:tcPr>
          <w:p>
            <w:pPr>
              <w:spacing w:after="0"/>
              <w:rPr>
                <w:sz w:val="18"/>
                <w:szCs w:val="18"/>
                <w:color w:val="auto"/>
              </w:rPr>
            </w:pPr>
          </w:p>
        </w:tc>
      </w:tr>
      <w:tr>
        <w:trPr>
          <w:trHeight w:val="174"/>
        </w:trPr>
        <w:tc>
          <w:tcPr>
            <w:tcW w:w="2160" w:type="dxa"/>
            <w:vAlign w:val="bottom"/>
          </w:tcPr>
          <w:p>
            <w:pPr>
              <w:spacing w:after="0"/>
              <w:rPr>
                <w:sz w:val="15"/>
                <w:szCs w:val="15"/>
                <w:color w:val="auto"/>
              </w:rPr>
            </w:pPr>
          </w:p>
        </w:tc>
        <w:tc>
          <w:tcPr>
            <w:tcW w:w="5020" w:type="dxa"/>
            <w:vAlign w:val="bottom"/>
          </w:tcPr>
          <w:p>
            <w:pPr>
              <w:jc w:val="center"/>
              <w:ind w:right="61"/>
              <w:spacing w:after="0"/>
              <w:rPr>
                <w:sz w:val="20"/>
                <w:szCs w:val="20"/>
                <w:color w:val="auto"/>
              </w:rPr>
            </w:pPr>
            <w:r>
              <w:rPr>
                <w:rFonts w:ascii="Arial" w:cs="Arial" w:eastAsia="Arial" w:hAnsi="Arial"/>
                <w:sz w:val="14"/>
                <w:szCs w:val="14"/>
                <w:b w:val="1"/>
                <w:bCs w:val="1"/>
                <w:color w:val="auto"/>
                <w:w w:val="85"/>
              </w:rPr>
              <w:t>(Address of principal executive offices)</w:t>
            </w:r>
          </w:p>
        </w:tc>
        <w:tc>
          <w:tcPr>
            <w:tcW w:w="1820" w:type="dxa"/>
            <w:vAlign w:val="bottom"/>
          </w:tcPr>
          <w:p>
            <w:pPr>
              <w:spacing w:after="0"/>
              <w:rPr>
                <w:sz w:val="15"/>
                <w:szCs w:val="15"/>
                <w:color w:val="auto"/>
              </w:rPr>
            </w:pPr>
          </w:p>
        </w:tc>
      </w:tr>
      <w:tr>
        <w:trPr>
          <w:trHeight w:val="352"/>
        </w:trPr>
        <w:tc>
          <w:tcPr>
            <w:tcW w:w="2160" w:type="dxa"/>
            <w:vAlign w:val="bottom"/>
          </w:tcPr>
          <w:p>
            <w:pPr>
              <w:spacing w:after="0"/>
              <w:rPr>
                <w:sz w:val="24"/>
                <w:szCs w:val="24"/>
                <w:color w:val="auto"/>
              </w:rPr>
            </w:pPr>
          </w:p>
        </w:tc>
        <w:tc>
          <w:tcPr>
            <w:tcW w:w="5020" w:type="dxa"/>
            <w:vAlign w:val="bottom"/>
          </w:tcPr>
          <w:p>
            <w:pPr>
              <w:jc w:val="center"/>
              <w:ind w:right="81"/>
              <w:spacing w:after="0"/>
              <w:rPr>
                <w:sz w:val="20"/>
                <w:szCs w:val="20"/>
                <w:color w:val="auto"/>
              </w:rPr>
            </w:pPr>
            <w:r>
              <w:rPr>
                <w:rFonts w:ascii="Arial" w:cs="Arial" w:eastAsia="Arial" w:hAnsi="Arial"/>
                <w:sz w:val="18"/>
                <w:szCs w:val="18"/>
                <w:b w:val="1"/>
                <w:bCs w:val="1"/>
                <w:color w:val="auto"/>
                <w:w w:val="89"/>
              </w:rPr>
              <w:t>(441) 296-6395</w:t>
            </w:r>
          </w:p>
        </w:tc>
        <w:tc>
          <w:tcPr>
            <w:tcW w:w="1820" w:type="dxa"/>
            <w:vAlign w:val="bottom"/>
          </w:tcPr>
          <w:p>
            <w:pPr>
              <w:spacing w:after="0"/>
              <w:rPr>
                <w:sz w:val="24"/>
                <w:szCs w:val="24"/>
                <w:color w:val="auto"/>
              </w:rPr>
            </w:pPr>
          </w:p>
        </w:tc>
      </w:tr>
      <w:tr>
        <w:trPr>
          <w:trHeight w:val="174"/>
        </w:trPr>
        <w:tc>
          <w:tcPr>
            <w:tcW w:w="2160" w:type="dxa"/>
            <w:vAlign w:val="bottom"/>
          </w:tcPr>
          <w:p>
            <w:pPr>
              <w:spacing w:after="0"/>
              <w:rPr>
                <w:sz w:val="15"/>
                <w:szCs w:val="15"/>
                <w:color w:val="auto"/>
              </w:rPr>
            </w:pPr>
          </w:p>
        </w:tc>
        <w:tc>
          <w:tcPr>
            <w:tcW w:w="5020" w:type="dxa"/>
            <w:vAlign w:val="bottom"/>
          </w:tcPr>
          <w:p>
            <w:pPr>
              <w:jc w:val="center"/>
              <w:ind w:right="81"/>
              <w:spacing w:after="0"/>
              <w:rPr>
                <w:sz w:val="20"/>
                <w:szCs w:val="20"/>
                <w:color w:val="auto"/>
              </w:rPr>
            </w:pPr>
            <w:r>
              <w:rPr>
                <w:rFonts w:ascii="Arial" w:cs="Arial" w:eastAsia="Arial" w:hAnsi="Arial"/>
                <w:sz w:val="14"/>
                <w:szCs w:val="14"/>
                <w:b w:val="1"/>
                <w:bCs w:val="1"/>
                <w:color w:val="auto"/>
                <w:w w:val="86"/>
              </w:rPr>
              <w:t>(Registrant’s telephone number, including area code)</w:t>
            </w:r>
          </w:p>
        </w:tc>
        <w:tc>
          <w:tcPr>
            <w:tcW w:w="1820" w:type="dxa"/>
            <w:vAlign w:val="bottom"/>
          </w:tcPr>
          <w:p>
            <w:pPr>
              <w:spacing w:after="0"/>
              <w:rPr>
                <w:sz w:val="15"/>
                <w:szCs w:val="15"/>
                <w:color w:val="auto"/>
              </w:rPr>
            </w:pPr>
          </w:p>
        </w:tc>
      </w:tr>
      <w:tr>
        <w:trPr>
          <w:trHeight w:val="352"/>
        </w:trPr>
        <w:tc>
          <w:tcPr>
            <w:tcW w:w="2160" w:type="dxa"/>
            <w:vAlign w:val="bottom"/>
          </w:tcPr>
          <w:p>
            <w:pPr>
              <w:spacing w:after="0"/>
              <w:rPr>
                <w:sz w:val="24"/>
                <w:szCs w:val="24"/>
                <w:color w:val="auto"/>
              </w:rPr>
            </w:pPr>
          </w:p>
        </w:tc>
        <w:tc>
          <w:tcPr>
            <w:tcW w:w="5020" w:type="dxa"/>
            <w:vAlign w:val="bottom"/>
          </w:tcPr>
          <w:p>
            <w:pPr>
              <w:jc w:val="center"/>
              <w:ind w:right="81"/>
              <w:spacing w:after="0"/>
              <w:rPr>
                <w:sz w:val="20"/>
                <w:szCs w:val="20"/>
                <w:color w:val="auto"/>
              </w:rPr>
            </w:pPr>
            <w:r>
              <w:rPr>
                <w:rFonts w:ascii="Arial" w:cs="Arial" w:eastAsia="Arial" w:hAnsi="Arial"/>
                <w:sz w:val="18"/>
                <w:szCs w:val="18"/>
                <w:b w:val="1"/>
                <w:bCs w:val="1"/>
                <w:color w:val="auto"/>
                <w:w w:val="96"/>
              </w:rPr>
              <w:t>N/A</w:t>
            </w:r>
          </w:p>
        </w:tc>
        <w:tc>
          <w:tcPr>
            <w:tcW w:w="1820" w:type="dxa"/>
            <w:vAlign w:val="bottom"/>
          </w:tcPr>
          <w:p>
            <w:pPr>
              <w:spacing w:after="0"/>
              <w:rPr>
                <w:sz w:val="24"/>
                <w:szCs w:val="24"/>
                <w:color w:val="auto"/>
              </w:rPr>
            </w:pPr>
          </w:p>
        </w:tc>
      </w:tr>
      <w:tr>
        <w:trPr>
          <w:trHeight w:val="174"/>
        </w:trPr>
        <w:tc>
          <w:tcPr>
            <w:tcW w:w="2160" w:type="dxa"/>
            <w:vAlign w:val="bottom"/>
          </w:tcPr>
          <w:p>
            <w:pPr>
              <w:spacing w:after="0"/>
              <w:rPr>
                <w:sz w:val="15"/>
                <w:szCs w:val="15"/>
                <w:color w:val="auto"/>
              </w:rPr>
            </w:pPr>
          </w:p>
        </w:tc>
        <w:tc>
          <w:tcPr>
            <w:tcW w:w="5020" w:type="dxa"/>
            <w:vAlign w:val="bottom"/>
          </w:tcPr>
          <w:p>
            <w:pPr>
              <w:jc w:val="center"/>
              <w:ind w:right="61"/>
              <w:spacing w:after="0"/>
              <w:rPr>
                <w:sz w:val="20"/>
                <w:szCs w:val="20"/>
                <w:color w:val="auto"/>
              </w:rPr>
            </w:pPr>
            <w:r>
              <w:rPr>
                <w:rFonts w:ascii="Arial" w:cs="Arial" w:eastAsia="Arial" w:hAnsi="Arial"/>
                <w:sz w:val="14"/>
                <w:szCs w:val="14"/>
                <w:b w:val="1"/>
                <w:bCs w:val="1"/>
                <w:color w:val="auto"/>
                <w:w w:val="86"/>
              </w:rPr>
              <w:t>(Former name or former address, if changed since last report.)</w:t>
            </w:r>
          </w:p>
        </w:tc>
        <w:tc>
          <w:tcPr>
            <w:tcW w:w="1820" w:type="dxa"/>
            <w:vAlign w:val="bottom"/>
          </w:tcPr>
          <w:p>
            <w:pPr>
              <w:spacing w:after="0"/>
              <w:rPr>
                <w:sz w:val="15"/>
                <w:szCs w:val="15"/>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94615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5"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sectPr>
      </w:pPr>
    </w:p>
    <w:bookmarkStart w:id="1" w:name="page2"/>
    <w:bookmarkEnd w:id="1"/>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w:t>
      </w:r>
      <w:r>
        <w:rPr>
          <w:sz w:val="20"/>
          <w:szCs w:val="20"/>
          <w:color w:val="auto"/>
        </w:rPr>
        <w:tab/>
      </w:r>
      <w:r>
        <w:rPr>
          <w:rFonts w:ascii="Arial" w:cs="Arial" w:eastAsia="Arial" w:hAnsi="Arial"/>
          <w:sz w:val="15"/>
          <w:szCs w:val="15"/>
          <w:b w:val="1"/>
          <w:bCs w:val="1"/>
          <w:color w:val="auto"/>
        </w:rPr>
        <w:t>Results of Operations and Financial Condition.</w:t>
      </w:r>
    </w:p>
    <w:p>
      <w:pPr>
        <w:spacing w:after="0" w:line="96"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200" w:firstLine="456"/>
        <w:spacing w:after="0" w:line="332" w:lineRule="auto"/>
        <w:rPr>
          <w:sz w:val="20"/>
          <w:szCs w:val="20"/>
          <w:color w:val="auto"/>
        </w:rPr>
      </w:pPr>
      <w:r>
        <w:rPr>
          <w:rFonts w:ascii="Arial" w:cs="Arial" w:eastAsia="Arial" w:hAnsi="Arial"/>
          <w:sz w:val="16"/>
          <w:szCs w:val="16"/>
          <w:color w:val="auto"/>
        </w:rPr>
        <w:t>On November 15, 2012, Marvell Technology Group Ltd. (“Marvell”) issued a press release regarding its financial results for its third fiscal quarter ended October 27, 2012. A copy of the press release is furnished herewith as Exhibit 99.1 and is incorporated by reference herein.</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stock-based compensation, amortization of acquired intangible assets, acquisition-related costs, restructuring costs, and certain one-time expenses and benefits.</w:t>
      </w:r>
    </w:p>
    <w:p>
      <w:pPr>
        <w:spacing w:after="0" w:line="11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 important supplemental information to management and investors regarding financial and business trends relating to its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18" w:lineRule="exact"/>
        <w:rPr>
          <w:sz w:val="20"/>
          <w:szCs w:val="20"/>
          <w:color w:val="auto"/>
        </w:rPr>
      </w:pPr>
    </w:p>
    <w:p>
      <w:pPr>
        <w:ind w:right="600" w:firstLine="456"/>
        <w:spacing w:after="0" w:line="332"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4" w:lineRule="exact"/>
        <w:rPr>
          <w:sz w:val="20"/>
          <w:szCs w:val="20"/>
          <w:color w:val="auto"/>
        </w:rPr>
      </w:pPr>
    </w:p>
    <w:p>
      <w:pPr>
        <w:ind w:left="900" w:hanging="325"/>
        <w:spacing w:after="0" w:line="268"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90" w:lineRule="exact"/>
        <w:rPr>
          <w:sz w:val="20"/>
          <w:szCs w:val="20"/>
          <w:color w:val="auto"/>
        </w:rPr>
      </w:pPr>
    </w:p>
    <w:p>
      <w:pPr>
        <w:ind w:left="900" w:right="180" w:hanging="325"/>
        <w:spacing w:after="0" w:line="256"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Stock-based compensation</w:t>
      </w:r>
      <w:r>
        <w:rPr>
          <w:rFonts w:ascii="Arial" w:cs="Arial" w:eastAsia="Arial" w:hAnsi="Arial"/>
          <w:sz w:val="18"/>
          <w:szCs w:val="18"/>
          <w:color w:val="auto"/>
        </w:rPr>
        <w:t>. Stock-based compensation relates primarily to employee stock options, restricted stock units and the employee stock</w:t>
      </w:r>
      <w:r>
        <w:rPr>
          <w:rFonts w:ascii="Arial" w:cs="Arial" w:eastAsia="Arial" w:hAnsi="Arial"/>
          <w:sz w:val="18"/>
          <w:szCs w:val="18"/>
          <w:i w:val="1"/>
          <w:iCs w:val="1"/>
          <w:color w:val="auto"/>
        </w:rPr>
        <w:t xml:space="preserve"> </w:t>
      </w:r>
      <w:r>
        <w:rPr>
          <w:rFonts w:ascii="Arial" w:cs="Arial" w:eastAsia="Arial" w:hAnsi="Arial"/>
          <w:sz w:val="18"/>
          <w:szCs w:val="18"/>
          <w:color w:val="auto"/>
        </w:rPr>
        <w:t>purchase plan. Stock-based compensation expense is a non-cash expense that is difficult to predict as its valuation is affected by changes in market forces, such as the price of Marvell’s common shares, which is not within the control of management. Accordingly, management excludes this item from its internal operating forecasts and models.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4" w:right="239" w:bottom="1440" w:gutter="0" w:footer="0" w:header="0"/>
        </w:sectPr>
      </w:pPr>
    </w:p>
    <w:bookmarkStart w:id="2" w:name="page3"/>
    <w:bookmarkEnd w:id="2"/>
    <w:p>
      <w:pPr>
        <w:ind w:left="900" w:hanging="325"/>
        <w:spacing w:after="0" w:line="332"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Amortization of acquired intangible assets</w:t>
      </w:r>
      <w:r>
        <w:rPr>
          <w:rFonts w:ascii="Arial" w:cs="Arial" w:eastAsia="Arial" w:hAnsi="Arial"/>
          <w:sz w:val="16"/>
          <w:szCs w:val="16"/>
          <w:color w:val="auto"/>
        </w:rPr>
        <w:t>. Purchased intangible assets relate primarily to existing and core technology, and customer relationships of</w:t>
      </w:r>
      <w:r>
        <w:rPr>
          <w:rFonts w:ascii="Arial" w:cs="Arial" w:eastAsia="Arial" w:hAnsi="Arial"/>
          <w:sz w:val="16"/>
          <w:szCs w:val="16"/>
          <w:i w:val="1"/>
          <w:iCs w:val="1"/>
          <w:color w:val="auto"/>
        </w:rPr>
        <w:t xml:space="preserve"> </w:t>
      </w:r>
      <w:r>
        <w:rPr>
          <w:rFonts w:ascii="Arial" w:cs="Arial" w:eastAsia="Arial" w:hAnsi="Arial"/>
          <w:sz w:val="16"/>
          <w:szCs w:val="16"/>
          <w:color w:val="auto"/>
        </w:rPr>
        <w:t>acquired businesses. Management considers these charges non-cash in nature and unrelated to Marvell’s core operating performance.</w:t>
      </w:r>
    </w:p>
    <w:p>
      <w:pPr>
        <w:spacing w:after="0" w:line="4" w:lineRule="exact"/>
        <w:rPr>
          <w:rFonts w:ascii="Arial" w:cs="Arial" w:eastAsia="Arial" w:hAnsi="Arial"/>
          <w:sz w:val="16"/>
          <w:szCs w:val="16"/>
          <w:color w:val="auto"/>
        </w:rPr>
      </w:pPr>
    </w:p>
    <w:p>
      <w:pPr>
        <w:ind w:left="900" w:right="60" w:hanging="325"/>
        <w:spacing w:after="0" w:line="298"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Acquisition-related costs</w:t>
      </w:r>
      <w:r>
        <w:rPr>
          <w:rFonts w:ascii="Arial" w:cs="Arial" w:eastAsia="Arial" w:hAnsi="Arial"/>
          <w:sz w:val="16"/>
          <w:szCs w:val="16"/>
          <w:color w:val="auto"/>
        </w:rPr>
        <w:t>. Acquisition-related costs primarily include the step-up in fair value of acquired inventory that was sold during the period,</w:t>
      </w:r>
      <w:r>
        <w:rPr>
          <w:rFonts w:ascii="Arial" w:cs="Arial" w:eastAsia="Arial" w:hAnsi="Arial"/>
          <w:sz w:val="16"/>
          <w:szCs w:val="16"/>
          <w:i w:val="1"/>
          <w:iCs w:val="1"/>
          <w:color w:val="auto"/>
        </w:rPr>
        <w:t xml:space="preserve"> </w:t>
      </w:r>
      <w:r>
        <w:rPr>
          <w:rFonts w:ascii="Arial" w:cs="Arial" w:eastAsia="Arial" w:hAnsi="Arial"/>
          <w:sz w:val="16"/>
          <w:szCs w:val="16"/>
          <w:color w:val="auto"/>
        </w:rPr>
        <w:t>and the amortization of retention bonuses required by the terms of the acquisition. Management believes these charges are unrelated to the core operating activities for Marvell, and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31" w:lineRule="exact"/>
        <w:rPr>
          <w:rFonts w:ascii="Arial" w:cs="Arial" w:eastAsia="Arial" w:hAnsi="Arial"/>
          <w:sz w:val="16"/>
          <w:szCs w:val="16"/>
          <w:color w:val="auto"/>
        </w:rPr>
      </w:pPr>
    </w:p>
    <w:p>
      <w:pPr>
        <w:ind w:left="900" w:right="160" w:hanging="325"/>
        <w:spacing w:after="0" w:line="298"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Restructuring</w:t>
      </w:r>
      <w:r>
        <w:rPr>
          <w:rFonts w:ascii="Arial" w:cs="Arial" w:eastAsia="Arial" w:hAnsi="Arial"/>
          <w:sz w:val="16"/>
          <w:szCs w:val="16"/>
          <w:color w:val="auto"/>
        </w:rPr>
        <w:t>. Restructuring represents charges that are not directly related to Marvell’s ongoing or core business results. Management regularly</w:t>
      </w:r>
      <w:r>
        <w:rPr>
          <w:rFonts w:ascii="Arial" w:cs="Arial" w:eastAsia="Arial" w:hAnsi="Arial"/>
          <w:sz w:val="16"/>
          <w:szCs w:val="16"/>
          <w:i w:val="1"/>
          <w:iCs w:val="1"/>
          <w:color w:val="auto"/>
        </w:rPr>
        <w:t xml:space="preserve"> </w:t>
      </w:r>
      <w:r>
        <w:rPr>
          <w:rFonts w:ascii="Arial" w:cs="Arial" w:eastAsia="Arial" w:hAnsi="Arial"/>
          <w:sz w:val="16"/>
          <w:szCs w:val="16"/>
          <w:color w:val="auto"/>
        </w:rPr>
        <w:t>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31" w:lineRule="exact"/>
        <w:rPr>
          <w:rFonts w:ascii="Arial" w:cs="Arial" w:eastAsia="Arial" w:hAnsi="Arial"/>
          <w:sz w:val="16"/>
          <w:szCs w:val="16"/>
          <w:color w:val="auto"/>
        </w:rPr>
      </w:pPr>
    </w:p>
    <w:p>
      <w:pPr>
        <w:ind w:left="900" w:right="180" w:hanging="325"/>
        <w:spacing w:after="0" w:line="332"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Other</w:t>
      </w:r>
      <w:r>
        <w:rPr>
          <w:rFonts w:ascii="Arial" w:cs="Arial" w:eastAsia="Arial" w:hAnsi="Arial"/>
          <w:sz w:val="16"/>
          <w:szCs w:val="16"/>
          <w:color w:val="auto"/>
        </w:rPr>
        <w:t>. From time to time, Marvell has other costs/benefits that are not directly related to Marvell’s ongoing or core business results. Excluding this</w:t>
      </w:r>
      <w:r>
        <w:rPr>
          <w:rFonts w:ascii="Arial" w:cs="Arial" w:eastAsia="Arial" w:hAnsi="Arial"/>
          <w:sz w:val="16"/>
          <w:szCs w:val="16"/>
          <w:i w:val="1"/>
          <w:iCs w:val="1"/>
          <w:color w:val="auto"/>
        </w:rPr>
        <w:t xml:space="preserve"> </w:t>
      </w:r>
      <w:r>
        <w:rPr>
          <w:rFonts w:ascii="Arial" w:cs="Arial" w:eastAsia="Arial" w:hAnsi="Arial"/>
          <w:sz w:val="16"/>
          <w:szCs w:val="16"/>
          <w:color w:val="auto"/>
        </w:rPr>
        <w:t>data provides investors with a basis to compare Marvell’s performance against the performance of other companies without this variability.</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90" w:lineRule="exact"/>
        <w:rPr>
          <w:sz w:val="20"/>
          <w:szCs w:val="20"/>
          <w:color w:val="auto"/>
        </w:rPr>
      </w:pPr>
    </w:p>
    <w:p>
      <w:pPr>
        <w:ind w:left="900" w:right="40" w:hanging="325"/>
        <w:spacing w:after="0" w:line="291" w:lineRule="auto"/>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stock-based compensation expected to be incurred in future periods but not yet recognized in the financial statements. For GAAP purposes under the treasury stock method, this future stock-based compensation is treated as proceeds assumed to be used to repurchase shares. Since Marvell’s non-GAAP net income does not include stock-based compensation, management believes the stock-based compensation effect on diluted shares outstanding using the treasury stock method should similarly not be included in the calculation of non-GAAP diluted shares outstanding.</w:t>
      </w:r>
    </w:p>
    <w:p>
      <w:pPr>
        <w:spacing w:after="0" w:line="120" w:lineRule="exact"/>
        <w:rPr>
          <w:sz w:val="20"/>
          <w:szCs w:val="20"/>
          <w:color w:val="auto"/>
        </w:rPr>
      </w:pPr>
    </w:p>
    <w:p>
      <w:pPr>
        <w:ind w:right="360" w:firstLine="456"/>
        <w:spacing w:after="0" w:line="318" w:lineRule="auto"/>
        <w:rPr>
          <w:sz w:val="20"/>
          <w:szCs w:val="20"/>
          <w:color w:val="auto"/>
        </w:rPr>
      </w:pPr>
      <w:r>
        <w:rPr>
          <w:rFonts w:ascii="Arial" w:cs="Arial" w:eastAsia="Arial" w:hAnsi="Arial"/>
          <w:sz w:val="15"/>
          <w:szCs w:val="15"/>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215"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5"/>
          <w:szCs w:val="15"/>
          <w:b w:val="1"/>
          <w:bCs w:val="1"/>
          <w:color w:val="auto"/>
        </w:rPr>
        <w:t>Other Events.</w:t>
      </w:r>
    </w:p>
    <w:p>
      <w:pPr>
        <w:spacing w:after="0" w:line="9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Marvell today announced that it had declared the payment of its quarterly dividend of $0.06 per share to be paid on December 21, 2012 to all shareholders of record as of December 13, 2012. Marvell intends to pay a regular quarterly cash dividend on its common shares subject to, among other things, the best interests of its shareholders, its results of operations, cash balances and future cash requirements, financial condition, statutory requirements of Bermuda law, and other factors that the board of directors may deem relevant.</w:t>
      </w:r>
    </w:p>
    <w:p>
      <w:pPr>
        <w:spacing w:after="0" w:line="259"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198"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November 15, 2012</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80" w:right="23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November 15, 2012</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Brad Feller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Brad Feller</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1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74" w:right="259" w:bottom="1440" w:gutter="0" w:footer="0" w:header="0"/>
        </w:sectPr>
      </w:pPr>
    </w:p>
    <w:bookmarkStart w:id="4" w:name="page5"/>
    <w:bookmarkEnd w:id="4"/>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74" w:right="1440" w:bottom="1440" w:gutter="0" w:footer="0" w:header="0"/>
        </w:sectPr>
      </w:pPr>
    </w:p>
    <w:p>
      <w:pPr>
        <w:spacing w:after="0" w:line="215" w:lineRule="exact"/>
        <w:rPr>
          <w:sz w:val="20"/>
          <w:szCs w:val="20"/>
          <w:color w:val="auto"/>
        </w:rPr>
      </w:pPr>
    </w:p>
    <w:p>
      <w:pPr>
        <w:spacing w:after="0"/>
        <w:rPr>
          <w:sz w:val="20"/>
          <w:szCs w:val="20"/>
          <w:color w:val="auto"/>
        </w:rPr>
      </w:pPr>
      <w:r>
        <w:rPr>
          <w:rFonts w:ascii="Arial" w:cs="Arial" w:eastAsia="Arial" w:hAnsi="Arial"/>
          <w:sz w:val="12"/>
          <w:szCs w:val="12"/>
          <w:color w:val="auto"/>
        </w:rPr>
        <w:t>Exhibit No.</w:t>
      </w:r>
    </w:p>
    <w:p>
      <w:pPr>
        <w:spacing w:after="0" w:line="20" w:lineRule="exact"/>
        <w:rPr>
          <w:sz w:val="20"/>
          <w:szCs w:val="20"/>
          <w:color w:val="auto"/>
        </w:rPr>
      </w:pPr>
      <w:r>
        <w:rPr>
          <w:sz w:val="20"/>
          <w:szCs w:val="20"/>
          <w:color w:val="auto"/>
        </w:rPr>
        <w:br w:type="column"/>
      </w:r>
    </w:p>
    <w:p>
      <w:pPr>
        <w:spacing w:after="0" w:line="195" w:lineRule="exact"/>
        <w:rPr>
          <w:sz w:val="20"/>
          <w:szCs w:val="20"/>
          <w:color w:val="auto"/>
        </w:rPr>
      </w:pPr>
    </w:p>
    <w:p>
      <w:pPr>
        <w:spacing w:after="0"/>
        <w:rPr>
          <w:sz w:val="20"/>
          <w:szCs w:val="20"/>
          <w:color w:val="auto"/>
        </w:rPr>
      </w:pPr>
      <w:r>
        <w:rPr>
          <w:rFonts w:ascii="Arial" w:cs="Arial" w:eastAsia="Arial" w:hAnsi="Arial"/>
          <w:sz w:val="12"/>
          <w:szCs w:val="12"/>
          <w:color w:val="auto"/>
        </w:rPr>
        <w:t>Description</w:t>
      </w:r>
    </w:p>
    <w:p>
      <w:pPr>
        <w:spacing w:after="0" w:line="121" w:lineRule="exact"/>
        <w:rPr>
          <w:sz w:val="20"/>
          <w:szCs w:val="20"/>
          <w:color w:val="auto"/>
        </w:rPr>
      </w:pPr>
    </w:p>
    <w:p>
      <w:pPr>
        <w:sectPr>
          <w:pgSz w:w="11900" w:h="16838" w:orient="portrait"/>
          <w:cols w:equalWidth="0" w:num="2">
            <w:col w:w="700" w:space="720"/>
            <w:col w:w="8799"/>
          </w:cols>
          <w:pgMar w:left="240" w:top="274" w:right="1440" w:bottom="1440" w:gutter="0" w:footer="0" w:header="0"/>
          <w:type w:val="continuous"/>
        </w:sectPr>
      </w:pPr>
    </w:p>
    <w:p>
      <w:pPr>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Press Release dated November 15, 2012</w:t>
      </w:r>
    </w:p>
    <w:p>
      <w:pPr>
        <w:sectPr>
          <w:pgSz w:w="11900" w:h="16838" w:orient="portrait"/>
          <w:cols w:equalWidth="0" w:num="2">
            <w:col w:w="700" w:space="720"/>
            <w:col w:w="8799"/>
          </w:cols>
          <w:pgMar w:left="240" w:top="274" w:right="1440" w:bottom="1440" w:gutter="0" w:footer="0" w:header="0"/>
          <w:type w:val="continuous"/>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5013325</wp:posOffset>
            </wp:positionH>
            <wp:positionV relativeFrom="paragraph">
              <wp:posOffset>143510</wp:posOffset>
            </wp:positionV>
            <wp:extent cx="1912620" cy="1714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912620" cy="1714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520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2700" w:type="dxa"/>
            <w:vAlign w:val="bottom"/>
          </w:tcPr>
          <w:p>
            <w:pPr>
              <w:spacing w:after="0"/>
              <w:rPr>
                <w:sz w:val="19"/>
                <w:szCs w:val="19"/>
                <w:color w:val="auto"/>
              </w:rPr>
            </w:pPr>
          </w:p>
        </w:tc>
        <w:tc>
          <w:tcPr>
            <w:tcW w:w="1300" w:type="dxa"/>
            <w:vAlign w:val="bottom"/>
          </w:tcPr>
          <w:p>
            <w:pPr>
              <w:spacing w:after="0"/>
              <w:rPr>
                <w:sz w:val="19"/>
                <w:szCs w:val="19"/>
                <w:color w:val="auto"/>
              </w:rPr>
            </w:pPr>
          </w:p>
        </w:tc>
      </w:tr>
      <w:tr>
        <w:trPr>
          <w:trHeight w:val="216"/>
        </w:trPr>
        <w:tc>
          <w:tcPr>
            <w:tcW w:w="5200" w:type="dxa"/>
            <w:vAlign w:val="bottom"/>
            <w:gridSpan w:val="2"/>
          </w:tcPr>
          <w:p>
            <w:pPr>
              <w:spacing w:after="0"/>
              <w:rPr>
                <w:sz w:val="20"/>
                <w:szCs w:val="20"/>
                <w:color w:val="auto"/>
              </w:rPr>
            </w:pPr>
            <w:r>
              <w:rPr>
                <w:rFonts w:ascii="Arial" w:cs="Arial" w:eastAsia="Arial" w:hAnsi="Arial"/>
                <w:sz w:val="18"/>
                <w:szCs w:val="18"/>
                <w:color w:val="auto"/>
              </w:rPr>
              <w:t>Sukhi Nagesh</w:t>
            </w:r>
          </w:p>
        </w:tc>
        <w:tc>
          <w:tcPr>
            <w:tcW w:w="4000" w:type="dxa"/>
            <w:vAlign w:val="bottom"/>
            <w:gridSpan w:val="2"/>
          </w:tcPr>
          <w:p>
            <w:pPr>
              <w:ind w:left="2700"/>
              <w:spacing w:after="0"/>
              <w:rPr>
                <w:sz w:val="20"/>
                <w:szCs w:val="20"/>
                <w:color w:val="auto"/>
              </w:rPr>
            </w:pPr>
            <w:r>
              <w:rPr>
                <w:rFonts w:ascii="Arial" w:cs="Arial" w:eastAsia="Arial" w:hAnsi="Arial"/>
                <w:sz w:val="18"/>
                <w:szCs w:val="18"/>
                <w:color w:val="auto"/>
              </w:rPr>
              <w:t>Daniel Yoo</w:t>
            </w:r>
          </w:p>
        </w:tc>
      </w:tr>
      <w:tr>
        <w:trPr>
          <w:trHeight w:val="216"/>
        </w:trPr>
        <w:tc>
          <w:tcPr>
            <w:tcW w:w="520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4000" w:type="dxa"/>
            <w:vAlign w:val="bottom"/>
            <w:gridSpan w:val="2"/>
          </w:tcPr>
          <w:p>
            <w:pPr>
              <w:ind w:left="2700"/>
              <w:spacing w:after="0"/>
              <w:rPr>
                <w:sz w:val="20"/>
                <w:szCs w:val="20"/>
                <w:color w:val="auto"/>
              </w:rPr>
            </w:pPr>
            <w:r>
              <w:rPr>
                <w:rFonts w:ascii="Arial" w:cs="Arial" w:eastAsia="Arial" w:hAnsi="Arial"/>
                <w:sz w:val="18"/>
                <w:szCs w:val="18"/>
                <w:color w:val="auto"/>
                <w:w w:val="99"/>
              </w:rPr>
              <w:t>Media Relations</w:t>
            </w:r>
          </w:p>
        </w:tc>
      </w:tr>
      <w:tr>
        <w:trPr>
          <w:trHeight w:val="216"/>
        </w:trPr>
        <w:tc>
          <w:tcPr>
            <w:tcW w:w="1440" w:type="dxa"/>
            <w:vAlign w:val="bottom"/>
          </w:tcPr>
          <w:p>
            <w:pPr>
              <w:spacing w:after="0"/>
              <w:rPr>
                <w:sz w:val="20"/>
                <w:szCs w:val="20"/>
                <w:color w:val="auto"/>
              </w:rPr>
            </w:pPr>
            <w:r>
              <w:rPr>
                <w:rFonts w:ascii="Arial" w:cs="Arial" w:eastAsia="Arial" w:hAnsi="Arial"/>
                <w:sz w:val="18"/>
                <w:szCs w:val="18"/>
                <w:color w:val="auto"/>
              </w:rPr>
              <w:t>408-222-8373</w:t>
            </w:r>
          </w:p>
        </w:tc>
        <w:tc>
          <w:tcPr>
            <w:tcW w:w="3760" w:type="dxa"/>
            <w:vAlign w:val="bottom"/>
          </w:tcPr>
          <w:p>
            <w:pPr>
              <w:spacing w:after="0"/>
              <w:rPr>
                <w:sz w:val="18"/>
                <w:szCs w:val="18"/>
                <w:color w:val="auto"/>
              </w:rPr>
            </w:pPr>
          </w:p>
        </w:tc>
        <w:tc>
          <w:tcPr>
            <w:tcW w:w="4000" w:type="dxa"/>
            <w:vAlign w:val="bottom"/>
            <w:gridSpan w:val="2"/>
          </w:tcPr>
          <w:p>
            <w:pPr>
              <w:ind w:left="2700"/>
              <w:spacing w:after="0"/>
              <w:rPr>
                <w:sz w:val="20"/>
                <w:szCs w:val="20"/>
                <w:color w:val="auto"/>
              </w:rPr>
            </w:pPr>
            <w:r>
              <w:rPr>
                <w:rFonts w:ascii="Arial" w:cs="Arial" w:eastAsia="Arial" w:hAnsi="Arial"/>
                <w:sz w:val="18"/>
                <w:szCs w:val="18"/>
                <w:color w:val="auto"/>
              </w:rPr>
              <w:t>408-222-2187</w:t>
            </w:r>
          </w:p>
        </w:tc>
      </w:tr>
      <w:tr>
        <w:trPr>
          <w:trHeight w:val="184"/>
        </w:trPr>
        <w:tc>
          <w:tcPr>
            <w:tcW w:w="1440" w:type="dxa"/>
            <w:vAlign w:val="bottom"/>
          </w:tcPr>
          <w:p>
            <w:pPr>
              <w:spacing w:after="0" w:line="184" w:lineRule="exact"/>
              <w:rPr>
                <w:sz w:val="20"/>
                <w:szCs w:val="20"/>
                <w:color w:val="auto"/>
              </w:rPr>
            </w:pPr>
            <w:r>
              <w:rPr>
                <w:rFonts w:ascii="Arial" w:cs="Arial" w:eastAsia="Arial" w:hAnsi="Arial"/>
                <w:sz w:val="18"/>
                <w:szCs w:val="18"/>
                <w:color w:val="auto"/>
                <w:w w:val="90"/>
              </w:rPr>
              <w:t>sukhi@marvell.com</w:t>
            </w:r>
          </w:p>
        </w:tc>
        <w:tc>
          <w:tcPr>
            <w:tcW w:w="3760" w:type="dxa"/>
            <w:vAlign w:val="bottom"/>
          </w:tcPr>
          <w:p>
            <w:pPr>
              <w:spacing w:after="0"/>
              <w:rPr>
                <w:sz w:val="15"/>
                <w:szCs w:val="15"/>
                <w:color w:val="auto"/>
              </w:rPr>
            </w:pPr>
          </w:p>
        </w:tc>
        <w:tc>
          <w:tcPr>
            <w:tcW w:w="4000" w:type="dxa"/>
            <w:vAlign w:val="bottom"/>
            <w:gridSpan w:val="2"/>
          </w:tcPr>
          <w:p>
            <w:pPr>
              <w:ind w:left="2700"/>
              <w:spacing w:after="0" w:line="184" w:lineRule="exact"/>
              <w:rPr>
                <w:sz w:val="20"/>
                <w:szCs w:val="20"/>
                <w:color w:val="auto"/>
              </w:rPr>
            </w:pPr>
            <w:r>
              <w:rPr>
                <w:rFonts w:ascii="Arial" w:cs="Arial" w:eastAsia="Arial" w:hAnsi="Arial"/>
                <w:sz w:val="18"/>
                <w:szCs w:val="18"/>
                <w:color w:val="auto"/>
                <w:w w:val="88"/>
              </w:rPr>
              <w:t>yoo@marvell.com</w:t>
            </w:r>
          </w:p>
        </w:tc>
      </w:tr>
      <w:tr>
        <w:trPr>
          <w:trHeight w:val="20"/>
        </w:trPr>
        <w:tc>
          <w:tcPr>
            <w:tcW w:w="1440" w:type="dxa"/>
            <w:vAlign w:val="bottom"/>
            <w:shd w:val="clear" w:color="auto" w:fill="000000"/>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r>
    </w:tbl>
    <w:p>
      <w:pPr>
        <w:spacing w:after="0" w:line="256" w:lineRule="exact"/>
        <w:rPr>
          <w:sz w:val="20"/>
          <w:szCs w:val="20"/>
          <w:color w:val="auto"/>
        </w:rPr>
      </w:pPr>
    </w:p>
    <w:p>
      <w:pPr>
        <w:ind w:left="2520"/>
        <w:spacing w:after="0"/>
        <w:rPr>
          <w:sz w:val="20"/>
          <w:szCs w:val="20"/>
          <w:color w:val="auto"/>
        </w:rPr>
      </w:pPr>
      <w:r>
        <w:rPr>
          <w:rFonts w:ascii="Arial" w:cs="Arial" w:eastAsia="Arial" w:hAnsi="Arial"/>
          <w:sz w:val="18"/>
          <w:szCs w:val="18"/>
          <w:b w:val="1"/>
          <w:bCs w:val="1"/>
          <w:color w:val="auto"/>
        </w:rPr>
        <w:t>Marvell Technology Group Ltd. Reports Third Fiscal Quarter 2013 Financial Results</w:t>
      </w:r>
    </w:p>
    <w:p>
      <w:pPr>
        <w:spacing w:after="0" w:line="177" w:lineRule="exact"/>
        <w:rPr>
          <w:sz w:val="20"/>
          <w:szCs w:val="20"/>
          <w:color w:val="auto"/>
        </w:rPr>
      </w:pPr>
    </w:p>
    <w:p>
      <w:pPr>
        <w:ind w:left="3720"/>
        <w:spacing w:after="0"/>
        <w:rPr>
          <w:sz w:val="20"/>
          <w:szCs w:val="20"/>
          <w:color w:val="auto"/>
        </w:rPr>
      </w:pPr>
      <w:r>
        <w:rPr>
          <w:rFonts w:ascii="Arial" w:cs="Arial" w:eastAsia="Arial" w:hAnsi="Arial"/>
          <w:sz w:val="18"/>
          <w:szCs w:val="18"/>
          <w:b w:val="1"/>
          <w:bCs w:val="1"/>
          <w:i w:val="1"/>
          <w:iCs w:val="1"/>
          <w:color w:val="auto"/>
        </w:rPr>
        <w:t>Revenue: $781 Million, a 4 percent sequential decrease</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GAAP Net Income: $69 Million, EPS of $0.12</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Non-GAAP Net Income: $113 Million, EPS of $0.20</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Free Cash Flow: $113 Million, 14 Percent of Revenue</w:t>
      </w:r>
    </w:p>
    <w:p>
      <w:pPr>
        <w:spacing w:after="0" w:line="159" w:lineRule="exact"/>
        <w:rPr>
          <w:sz w:val="20"/>
          <w:szCs w:val="20"/>
          <w:color w:val="auto"/>
        </w:rPr>
      </w:pPr>
    </w:p>
    <w:p>
      <w:pPr>
        <w:ind w:right="80"/>
        <w:spacing w:after="0" w:line="275" w:lineRule="auto"/>
        <w:rPr>
          <w:sz w:val="20"/>
          <w:szCs w:val="20"/>
          <w:color w:val="auto"/>
        </w:rPr>
      </w:pPr>
      <w:r>
        <w:rPr>
          <w:rFonts w:ascii="Arial" w:cs="Arial" w:eastAsia="Arial" w:hAnsi="Arial"/>
          <w:sz w:val="18"/>
          <w:szCs w:val="18"/>
          <w:b w:val="1"/>
          <w:bCs w:val="1"/>
          <w:color w:val="auto"/>
        </w:rPr>
        <w:t xml:space="preserve">Santa Clara, Calif. (November 15, 2012) </w:t>
      </w:r>
      <w:r>
        <w:rPr>
          <w:rFonts w:ascii="Arial" w:cs="Arial" w:eastAsia="Arial" w:hAnsi="Arial"/>
          <w:sz w:val="18"/>
          <w:szCs w:val="18"/>
          <w:color w:val="auto"/>
        </w:rPr>
        <w:t>— Marvell Technology Group Ltd. (NASDAQ: MRVL), a global leader in integrated silicon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the third quarter of fiscal 2013, ended October 27, 2012.</w:t>
      </w:r>
    </w:p>
    <w:p>
      <w:pPr>
        <w:spacing w:after="0" w:line="126" w:lineRule="exact"/>
        <w:rPr>
          <w:sz w:val="20"/>
          <w:szCs w:val="20"/>
          <w:color w:val="auto"/>
        </w:rPr>
      </w:pPr>
    </w:p>
    <w:p>
      <w:pPr>
        <w:ind w:right="480"/>
        <w:spacing w:after="0" w:line="332" w:lineRule="auto"/>
        <w:rPr>
          <w:sz w:val="20"/>
          <w:szCs w:val="20"/>
          <w:color w:val="auto"/>
        </w:rPr>
      </w:pPr>
      <w:r>
        <w:rPr>
          <w:rFonts w:ascii="Arial" w:cs="Arial" w:eastAsia="Arial" w:hAnsi="Arial"/>
          <w:sz w:val="16"/>
          <w:szCs w:val="16"/>
          <w:color w:val="auto"/>
        </w:rPr>
        <w:t>Revenue for the third quarter of fiscal 2013 was $781 million, a 4 percent sequential decrease from $816 million in the second quarter of fiscal 2013, ended July 28, 2012, and a decrease of 18 percent from $950 million in the third quarter of fiscal 2012, ended October 29, 2011.</w:t>
      </w:r>
    </w:p>
    <w:p>
      <w:pPr>
        <w:spacing w:after="0" w:line="85" w:lineRule="exact"/>
        <w:rPr>
          <w:sz w:val="20"/>
          <w:szCs w:val="20"/>
          <w:color w:val="auto"/>
        </w:rPr>
      </w:pPr>
    </w:p>
    <w:p>
      <w:pPr>
        <w:ind w:right="40"/>
        <w:spacing w:after="0" w:line="332" w:lineRule="auto"/>
        <w:rPr>
          <w:sz w:val="20"/>
          <w:szCs w:val="20"/>
          <w:color w:val="auto"/>
        </w:rPr>
      </w:pPr>
      <w:r>
        <w:rPr>
          <w:rFonts w:ascii="Arial" w:cs="Arial" w:eastAsia="Arial" w:hAnsi="Arial"/>
          <w:sz w:val="16"/>
          <w:szCs w:val="16"/>
          <w:color w:val="auto"/>
        </w:rPr>
        <w:t>GAAP net income for the third quarter of fiscal 2013 was $69 million, or $0.12 per share (diluted), compared with GAAP net income of $93 million, or $0.16 per share (diluted), for the second quarter of fiscal 2013, and $195 million, or $0.32 per share (diluted), for the third quarter of fiscal 2012.</w:t>
      </w:r>
    </w:p>
    <w:p>
      <w:pPr>
        <w:spacing w:after="0" w:line="85" w:lineRule="exact"/>
        <w:rPr>
          <w:sz w:val="20"/>
          <w:szCs w:val="20"/>
          <w:color w:val="auto"/>
        </w:rPr>
      </w:pPr>
    </w:p>
    <w:p>
      <w:pPr>
        <w:ind w:right="40"/>
        <w:spacing w:after="0" w:line="332" w:lineRule="auto"/>
        <w:rPr>
          <w:sz w:val="20"/>
          <w:szCs w:val="20"/>
          <w:color w:val="auto"/>
        </w:rPr>
      </w:pPr>
      <w:r>
        <w:rPr>
          <w:rFonts w:ascii="Arial" w:cs="Arial" w:eastAsia="Arial" w:hAnsi="Arial"/>
          <w:sz w:val="16"/>
          <w:szCs w:val="16"/>
          <w:color w:val="auto"/>
        </w:rPr>
        <w:t>Non-GAAP net income was $113 million, or $0.20 per share (diluted), for the third quarter of fiscal 2013, compared with non-GAAP net income of $142 million, or $0.24 per share (diluted), for the third quarter of fiscal 2013 and $244 million, or $0.40 per share (diluted), for the third quarter of fiscal 2012.</w:t>
      </w:r>
    </w:p>
    <w:p>
      <w:pPr>
        <w:spacing w:after="0" w:line="85" w:lineRule="exact"/>
        <w:rPr>
          <w:sz w:val="20"/>
          <w:szCs w:val="20"/>
          <w:color w:val="auto"/>
        </w:rPr>
      </w:pPr>
    </w:p>
    <w:p>
      <w:pPr>
        <w:ind w:right="240"/>
        <w:spacing w:after="0" w:line="256" w:lineRule="auto"/>
        <w:rPr>
          <w:sz w:val="20"/>
          <w:szCs w:val="20"/>
          <w:color w:val="auto"/>
        </w:rPr>
      </w:pPr>
      <w:r>
        <w:rPr>
          <w:rFonts w:ascii="Arial" w:cs="Arial" w:eastAsia="Arial" w:hAnsi="Arial"/>
          <w:sz w:val="18"/>
          <w:szCs w:val="18"/>
          <w:color w:val="auto"/>
        </w:rPr>
        <w:t>“Our results in the third quarter were affected primarily by the slowdown in PC demand. Despite the near-term softness in PCs, we are focused on growing our overall storage business through share gains in HDDs and growth in SSDs,” said Dr. Sehat Sutardja, Marvell’s Chairman and Chief Executive Officer. “We remain confident in our investments and multiple long-term growth opportunities. We also remain committed to returning cash to our shareholders through our share repurchase and dividend programs.”</w:t>
      </w:r>
    </w:p>
    <w:p>
      <w:pPr>
        <w:sectPr>
          <w:pgSz w:w="11900" w:h="16838" w:orient="portrait"/>
          <w:cols w:equalWidth="0" w:num="1">
            <w:col w:w="11420"/>
          </w:cols>
          <w:pgMar w:left="240" w:top="125" w:right="239" w:bottom="1440" w:gutter="0" w:footer="0" w:header="0"/>
        </w:sectPr>
      </w:pPr>
    </w:p>
    <w:bookmarkStart w:id="6" w:name="page7"/>
    <w:bookmarkEnd w:id="6"/>
    <w:p>
      <w:pPr>
        <w:ind w:right="140"/>
        <w:spacing w:after="0" w:line="29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reports net income, basic and diluted net income per share, in accordance with U.S. generally accepted accounting principles (GAAP) and on a non-GAAP basis as outlined below. Reconciliations of GAAP net income to non-GAAP net income for the three months ended October 27, 2012, July 28, 2012 and October 29, 2011 appear in the financial statements below. Non-GAAP net income, where applicable, excludes the effect of stock-based compensation, amortization of acquired intangible assets, acquisition-related costs, restructuring costs, and certain one-time expenses and benefits.</w:t>
      </w:r>
    </w:p>
    <w:p>
      <w:pPr>
        <w:spacing w:after="0" w:line="113"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color w:val="auto"/>
        </w:rPr>
        <w:t>GAAP gross margin for the third quarter of fiscal 2013 was 52 percent, compared to 53.2 percent for the second quarter of fiscal 2013 and 56.6 percent for the third quarter of fiscal 2012.</w:t>
      </w:r>
    </w:p>
    <w:p>
      <w:pPr>
        <w:spacing w:after="0" w:line="132" w:lineRule="exact"/>
        <w:rPr>
          <w:sz w:val="20"/>
          <w:szCs w:val="20"/>
          <w:color w:val="auto"/>
        </w:rPr>
      </w:pPr>
    </w:p>
    <w:p>
      <w:pPr>
        <w:spacing w:after="0" w:line="268" w:lineRule="auto"/>
        <w:rPr>
          <w:sz w:val="20"/>
          <w:szCs w:val="20"/>
          <w:color w:val="auto"/>
        </w:rPr>
      </w:pPr>
      <w:r>
        <w:rPr>
          <w:rFonts w:ascii="Arial" w:cs="Arial" w:eastAsia="Arial" w:hAnsi="Arial"/>
          <w:sz w:val="18"/>
          <w:szCs w:val="18"/>
          <w:color w:val="auto"/>
        </w:rPr>
        <w:t>Non-GAAP gross margin for the third quarter of fiscal 2013 was 52.3 percent, compared to 53.6 percent for the second quarter of fiscal 2013 and 56.8 percent for the third quarter of fiscal 2012.</w:t>
      </w:r>
    </w:p>
    <w:p>
      <w:pPr>
        <w:spacing w:after="0" w:line="132" w:lineRule="exact"/>
        <w:rPr>
          <w:sz w:val="20"/>
          <w:szCs w:val="20"/>
          <w:color w:val="auto"/>
        </w:rPr>
      </w:pPr>
    </w:p>
    <w:p>
      <w:pPr>
        <w:ind w:right="80"/>
        <w:spacing w:after="0" w:line="256" w:lineRule="auto"/>
        <w:rPr>
          <w:sz w:val="20"/>
          <w:szCs w:val="20"/>
          <w:color w:val="auto"/>
        </w:rPr>
      </w:pPr>
      <w:r>
        <w:rPr>
          <w:rFonts w:ascii="Arial" w:cs="Arial" w:eastAsia="Arial" w:hAnsi="Arial"/>
          <w:sz w:val="18"/>
          <w:szCs w:val="18"/>
          <w:color w:val="auto"/>
        </w:rPr>
        <w:t>Shares used to compute GAAP net income per diluted share for the third quarter of fiscal 2013 were 559 million shares, compared with 570 million shares in the second quarter of fiscal 2013 and 613 million shares in the third quarter of fiscal 2012. Shares used to compute non-GAAP net income per diluted share for the third quarter of fiscal 2013 were 578 million shares, compared with 587 million shares for the second quarter of fiscal 2013 and 615 million shares for the third quarter of fiscal 2012.</w:t>
      </w:r>
    </w:p>
    <w:p>
      <w:pPr>
        <w:spacing w:after="0" w:line="143"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Cash flow from operations for the third quarter of fiscal 2013 was $137 million, compared to the $189 million reported in the second quarter of fiscal 2013 and the $262 million reported in the third quarter of fiscal 2012. Free cash flow for the third quarter of fiscal 2013 was $113 million, compared to the $174 million reported in the second quarter of fiscal 2013 and the $239 million reported in the third quarter of fiscal 2012. Free cash flow as presented above is defined as cash flow from operations, less capital expenditures and purchases of IP licenses.</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280" w:right="279" w:bottom="1440" w:gutter="0" w:footer="0" w:header="0"/>
        </w:sectPr>
      </w:pPr>
    </w:p>
    <w:bookmarkStart w:id="7" w:name="page8"/>
    <w:bookmarkEnd w:id="7"/>
    <w:p>
      <w:pPr>
        <w:ind w:right="40"/>
        <w:spacing w:after="0" w:line="33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Under the share repurchase program, Marvell repurchased approximately 23 million shares for a total of $203 million in the third quarter of fiscal 2013. Over the past nine quarters, Marvell has repurchased and retired approximately 150 million shares, or about 22 percent, of its outstanding shares.</w:t>
      </w:r>
    </w:p>
    <w:p>
      <w:pPr>
        <w:spacing w:after="0" w:line="85" w:lineRule="exact"/>
        <w:rPr>
          <w:sz w:val="20"/>
          <w:szCs w:val="20"/>
          <w:color w:val="auto"/>
        </w:rPr>
      </w:pPr>
    </w:p>
    <w:p>
      <w:pPr>
        <w:ind w:right="240"/>
        <w:spacing w:after="0" w:line="332" w:lineRule="auto"/>
        <w:rPr>
          <w:sz w:val="20"/>
          <w:szCs w:val="20"/>
          <w:color w:val="auto"/>
        </w:rPr>
      </w:pPr>
      <w:r>
        <w:rPr>
          <w:rFonts w:ascii="Arial" w:cs="Arial" w:eastAsia="Arial" w:hAnsi="Arial"/>
          <w:sz w:val="16"/>
          <w:szCs w:val="16"/>
          <w:color w:val="auto"/>
        </w:rPr>
        <w:t>Marvell also paid a quarterly dividend of $0.06 per share on October 4, 2012 to all shareholders of record as of September 13, 2012. Marvell intends to pay its next quarterly dividend of $0.06 per share on December 21, 2012 to all shareholders of record as of December 13, 2012.</w:t>
      </w:r>
    </w:p>
    <w:p>
      <w:pPr>
        <w:spacing w:after="0" w:line="85" w:lineRule="exact"/>
        <w:rPr>
          <w:sz w:val="20"/>
          <w:szCs w:val="20"/>
          <w:color w:val="auto"/>
        </w:rPr>
      </w:pPr>
    </w:p>
    <w:p>
      <w:pPr>
        <w:jc w:val="both"/>
        <w:ind w:right="160"/>
        <w:spacing w:after="0" w:line="259" w:lineRule="auto"/>
        <w:rPr>
          <w:sz w:val="20"/>
          <w:szCs w:val="20"/>
          <w:color w:val="auto"/>
        </w:rPr>
      </w:pPr>
      <w:r>
        <w:rPr>
          <w:rFonts w:ascii="Arial" w:cs="Arial" w:eastAsia="Arial" w:hAnsi="Arial"/>
          <w:sz w:val="18"/>
          <w:szCs w:val="18"/>
          <w:color w:val="auto"/>
        </w:rPr>
        <w:t>Marvell intends to pay a regular quarterly cash dividend on its common shares subject to, among other things, the best interests of its shareholders, its results of operations, cash balances and future cash requirements, financial condition, statutory requirements of Bermuda law, and other factors that the board of directors may deem relevant.</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96" w:lineRule="exact"/>
        <w:rPr>
          <w:sz w:val="20"/>
          <w:szCs w:val="20"/>
          <w:color w:val="auto"/>
        </w:rPr>
      </w:pPr>
    </w:p>
    <w:p>
      <w:pPr>
        <w:ind w:right="100"/>
        <w:spacing w:after="0" w:line="306" w:lineRule="auto"/>
        <w:rPr>
          <w:sz w:val="20"/>
          <w:szCs w:val="20"/>
          <w:color w:val="auto"/>
        </w:rPr>
      </w:pPr>
      <w:r>
        <w:rPr>
          <w:rFonts w:ascii="Arial" w:cs="Arial" w:eastAsia="Arial" w:hAnsi="Arial"/>
          <w:sz w:val="16"/>
          <w:szCs w:val="16"/>
          <w:color w:val="auto"/>
        </w:rPr>
        <w:t xml:space="preserve">Marvell will be conducting a conference call on November 15, 2012 at 1:45 p.m. Pacific Time to discuss results for the third quarter of fiscal 2013. Interested parties may join the conference call by dialing </w:t>
      </w:r>
      <w:r>
        <w:rPr>
          <w:rFonts w:ascii="Arial" w:cs="Arial" w:eastAsia="Arial" w:hAnsi="Arial"/>
          <w:sz w:val="16"/>
          <w:szCs w:val="16"/>
          <w:b w:val="1"/>
          <w:bCs w:val="1"/>
          <w:color w:val="auto"/>
        </w:rPr>
        <w:t>1- 866-578-5771</w:t>
      </w:r>
      <w:r>
        <w:rPr>
          <w:rFonts w:ascii="Arial" w:cs="Arial" w:eastAsia="Arial" w:hAnsi="Arial"/>
          <w:sz w:val="16"/>
          <w:szCs w:val="16"/>
          <w:color w:val="auto"/>
        </w:rPr>
        <w:t xml:space="preserve"> or </w:t>
      </w:r>
      <w:r>
        <w:rPr>
          <w:rFonts w:ascii="Arial" w:cs="Arial" w:eastAsia="Arial" w:hAnsi="Arial"/>
          <w:sz w:val="16"/>
          <w:szCs w:val="16"/>
          <w:b w:val="1"/>
          <w:bCs w:val="1"/>
          <w:color w:val="auto"/>
        </w:rPr>
        <w:t>1-617-213-8055</w:t>
      </w:r>
      <w:r>
        <w:rPr>
          <w:rFonts w:ascii="Arial" w:cs="Arial" w:eastAsia="Arial" w:hAnsi="Arial"/>
          <w:sz w:val="16"/>
          <w:szCs w:val="16"/>
          <w:color w:val="auto"/>
        </w:rPr>
        <w:t xml:space="preserve">, pass-code 32388248. The call will be webcast by Thomson Reuters and can be accessed at the Marvell Investor Relations website at </w:t>
      </w:r>
      <w:r>
        <w:rPr>
          <w:rFonts w:ascii="Arial" w:cs="Arial" w:eastAsia="Arial" w:hAnsi="Arial"/>
          <w:sz w:val="16"/>
          <w:szCs w:val="16"/>
          <w:u w:val="single" w:color="auto"/>
          <w:color w:val="auto"/>
        </w:rPr>
        <w:t>http://investor.marvell.com/</w:t>
      </w:r>
      <w:r>
        <w:rPr>
          <w:rFonts w:ascii="Arial" w:cs="Arial" w:eastAsia="Arial" w:hAnsi="Arial"/>
          <w:sz w:val="16"/>
          <w:szCs w:val="16"/>
          <w:color w:val="auto"/>
        </w:rPr>
        <w:t xml:space="preserve"> with a replay available following the call until December 14, 2012.</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Non-GAAP financial measures exclude the effect of stock-based compensation expense, amortization of acquired intangible assets, acquisition-related costs, restructuring costs, and certain one-time expenses and benefits that are driven primarily by discrete events that management does not consider to be directly related to Marvell’s core operating performance. Non-GAAP net income per share is calculated by dividing non-GAAP net income by non-GAAP weighted average shares outstanding (diluted). For purposes of calculating non-GAAP net income per share, the GAAP weighted average shares outstanding (diluted) is adjusted to exclude the potential benefits of stock-based compensation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 units.</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80"/>
          </w:cols>
          <w:pgMar w:left="240" w:top="280" w:right="279" w:bottom="1440" w:gutter="0" w:footer="0" w:header="0"/>
        </w:sectPr>
      </w:pPr>
    </w:p>
    <w:bookmarkStart w:id="8" w:name="page9"/>
    <w:bookmarkEnd w:id="8"/>
    <w:p>
      <w:pPr>
        <w:ind w:right="40"/>
        <w:spacing w:after="0" w:line="28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www.sec.gov as well as on the Marvell website in the Investor Relations section at www.marvell.com.</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9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 xml:space="preserve">Marvell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“Marvell” refers to Marvell Technology Group Ltd. and its subsidiaries. For more information please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3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80"/>
          </w:cols>
          <w:pgMar w:left="240" w:top="280" w:right="279" w:bottom="1440" w:gutter="0" w:footer="0" w:header="0"/>
        </w:sectPr>
      </w:pPr>
    </w:p>
    <w:bookmarkStart w:id="9" w:name="page10"/>
    <w:bookmarkEnd w:id="9"/>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Forward-Looking Statements under the Private Securities Litigation Reform Act of 1995</w:t>
      </w:r>
    </w:p>
    <w:p>
      <w:pPr>
        <w:spacing w:after="0" w:line="96"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statements regarding Marvell’s investments and long-term growth opportunities; share repurchase and dividend programs; relating to the declaration of, timing of, funding of and quarterly amount of dividends; and statements concerning Marvell’s use of non-GAAP net income and net income per share as important supplemental information. These statements are not guarantees of results and should not be considered as an indication of future activity or future performance. Actual events or results may differ materially from those described in this document due to a number of risks and uncertainties, including, among others, Marvell’s reliance on a few customers for a significant portion of its revenue; any costs relating to current and future litigation; Marvell’s ability to develop and introduce new and enhanced products in a timely and cost effective manner; uncertainty in the worldwide economic conditions; seasonality in sales of consumer devices in which our products are incorporated; Marvell’s ability to compete in products and prices in an intensely competitive industry; Marvell’s ability to recruit and retain skilled personnel; ability to generate cash flows; and other risks detailed in Marvell’s SEC filings from time to time. When Marvell files its Form 10-Q for the quarter ended October 27, 2012, the financial statements may differ from the results disclosed in this press release because judgments and estimates that management used in preparing the financial results reported in this press release may need to be updated to the date of the filing. For other factors that could cause Marvell’s results to vary from expectations, please see the risk factors identified in the Marvell’s latest Quarterly Report on Form 10-Q for the quarter ended July 28, 2012 as filed with the SEC, and other factors detailed from time to time in Marvell’s filings with the SEC. Marvell undertakes no obligation to revise or update publicly any forward-looking statements.</w:t>
      </w:r>
    </w:p>
    <w:p>
      <w:pPr>
        <w:spacing w:after="0" w:line="12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1"/>
          <w:szCs w:val="11"/>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280"/>
          </w:cols>
          <w:pgMar w:left="240" w:top="274" w:right="37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300" w:type="dxa"/>
            <w:vAlign w:val="bottom"/>
            <w:gridSpan w:val="4"/>
          </w:tcPr>
          <w:p>
            <w:pPr>
              <w:jc w:val="center"/>
              <w:spacing w:after="0"/>
              <w:rPr>
                <w:sz w:val="20"/>
                <w:szCs w:val="20"/>
                <w:color w:val="auto"/>
              </w:rPr>
            </w:pPr>
            <w:r>
              <w:rPr>
                <w:rFonts w:ascii="Arial" w:cs="Arial" w:eastAsia="Arial" w:hAnsi="Arial"/>
                <w:sz w:val="14"/>
                <w:szCs w:val="14"/>
                <w:b w:val="1"/>
                <w:bCs w:val="1"/>
                <w:color w:val="auto"/>
                <w:w w:val="88"/>
              </w:rPr>
              <w:t>Three Months Ended</w:t>
            </w: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00" w:type="dxa"/>
            <w:vAlign w:val="bottom"/>
            <w:gridSpan w:val="6"/>
          </w:tcPr>
          <w:p>
            <w:pPr>
              <w:ind w:left="2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660" w:type="dxa"/>
            <w:vAlign w:val="bottom"/>
          </w:tcPr>
          <w:p>
            <w:pPr>
              <w:spacing w:after="0"/>
              <w:rPr>
                <w:sz w:val="11"/>
                <w:szCs w:val="11"/>
                <w:color w:val="auto"/>
              </w:rPr>
            </w:pPr>
          </w:p>
        </w:tc>
        <w:tc>
          <w:tcPr>
            <w:tcW w:w="1780" w:type="dxa"/>
            <w:vAlign w:val="bottom"/>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27,</w:t>
            </w:r>
          </w:p>
        </w:tc>
        <w:tc>
          <w:tcPr>
            <w:tcW w:w="3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89"/>
              </w:rPr>
              <w:t>July 28,</w:t>
            </w: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29,</w:t>
            </w:r>
          </w:p>
        </w:tc>
        <w:tc>
          <w:tcPr>
            <w:tcW w:w="300" w:type="dxa"/>
            <w:vAlign w:val="bottom"/>
          </w:tcPr>
          <w:p>
            <w:pPr>
              <w:spacing w:after="0"/>
              <w:rPr>
                <w:sz w:val="11"/>
                <w:szCs w:val="11"/>
                <w:color w:val="auto"/>
              </w:rPr>
            </w:pPr>
          </w:p>
        </w:tc>
        <w:tc>
          <w:tcPr>
            <w:tcW w:w="960" w:type="dxa"/>
            <w:vAlign w:val="bottom"/>
            <w:tcBorders>
              <w:top w:val="single" w:sz="8" w:color="auto"/>
            </w:tcBorders>
            <w:gridSpan w:val="3"/>
          </w:tcPr>
          <w:p>
            <w:pPr>
              <w:ind w:left="60"/>
              <w:spacing w:after="0" w:line="129" w:lineRule="exact"/>
              <w:rPr>
                <w:sz w:val="20"/>
                <w:szCs w:val="20"/>
                <w:color w:val="auto"/>
              </w:rPr>
            </w:pPr>
            <w:r>
              <w:rPr>
                <w:rFonts w:ascii="Arial" w:cs="Arial" w:eastAsia="Arial" w:hAnsi="Arial"/>
                <w:sz w:val="14"/>
                <w:szCs w:val="14"/>
                <w:b w:val="1"/>
                <w:bCs w:val="1"/>
                <w:color w:val="auto"/>
              </w:rPr>
              <w:t>October 27,</w:t>
            </w:r>
          </w:p>
        </w:tc>
        <w:tc>
          <w:tcPr>
            <w:tcW w:w="14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October 29,</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660" w:type="dxa"/>
            <w:vAlign w:val="bottom"/>
            <w:tcBorders>
              <w:bottom w:val="single" w:sz="8" w:color="CCEEFF"/>
            </w:tcBorders>
          </w:tcPr>
          <w:p>
            <w:pPr>
              <w:spacing w:after="0"/>
              <w:rPr>
                <w:sz w:val="14"/>
                <w:szCs w:val="14"/>
                <w:color w:val="auto"/>
              </w:rPr>
            </w:pPr>
          </w:p>
        </w:tc>
        <w:tc>
          <w:tcPr>
            <w:tcW w:w="17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2012</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2012</w:t>
            </w: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2011</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2012</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6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780,881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816,104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950,417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2,393,336</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2,650,339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Cost of goods sold</w:t>
            </w:r>
          </w:p>
        </w:tc>
        <w:tc>
          <w:tcPr>
            <w:tcW w:w="17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374,503</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381,839</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412,100</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1,122,664</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1,124,692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406,378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434,265</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538,317</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1,270,672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1,525,647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Operating expenses:</w:t>
            </w:r>
          </w:p>
        </w:tc>
        <w:tc>
          <w:tcPr>
            <w:tcW w:w="1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Research and development</w:t>
            </w:r>
          </w:p>
        </w:tc>
        <w:tc>
          <w:tcPr>
            <w:tcW w:w="1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263,615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264,175</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266,255</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783,760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758,396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Selling and marketing</w:t>
            </w:r>
          </w:p>
        </w:tc>
        <w:tc>
          <w:tcPr>
            <w:tcW w:w="1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38,398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41,034</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40,500</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119,498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119,042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General and administrative</w:t>
            </w:r>
          </w:p>
        </w:tc>
        <w:tc>
          <w:tcPr>
            <w:tcW w:w="1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24,514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25,718</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29,021</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75,937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77,436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17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13,054</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13,023</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11,155</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40,432</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36,634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operating expenses</w:t>
            </w:r>
          </w:p>
        </w:tc>
        <w:tc>
          <w:tcPr>
            <w:tcW w:w="17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339,581</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343,950</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346,931</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1,019,627</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991,508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680" w:type="dxa"/>
            <w:vAlign w:val="bottom"/>
            <w:gridSpan w:val="2"/>
          </w:tcPr>
          <w:p>
            <w:pPr>
              <w:spacing w:after="0"/>
              <w:rPr>
                <w:sz w:val="20"/>
                <w:szCs w:val="20"/>
                <w:color w:val="auto"/>
              </w:rPr>
            </w:pPr>
            <w:r>
              <w:rPr>
                <w:rFonts w:ascii="Arial" w:cs="Arial" w:eastAsia="Arial" w:hAnsi="Arial"/>
                <w:sz w:val="18"/>
                <w:szCs w:val="18"/>
                <w:color w:val="auto"/>
              </w:rPr>
              <w:t>Operating income</w:t>
            </w:r>
          </w:p>
        </w:tc>
        <w:tc>
          <w:tcPr>
            <w:tcW w:w="17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66,797</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90,315</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191,386</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251,045</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534,139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7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2,387</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5,864</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7,729</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9,308</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9,575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68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17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69,184</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96,179</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199,115</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260,353</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543,714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7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368</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3,105</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3,994</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3,920</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9,340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680" w:type="dxa"/>
            <w:vAlign w:val="bottom"/>
            <w:gridSpan w:val="2"/>
          </w:tcPr>
          <w:p>
            <w:pPr>
              <w:spacing w:after="0"/>
              <w:rPr>
                <w:sz w:val="20"/>
                <w:szCs w:val="20"/>
                <w:color w:val="auto"/>
              </w:rPr>
            </w:pPr>
            <w:r>
              <w:rPr>
                <w:rFonts w:ascii="Arial" w:cs="Arial" w:eastAsia="Arial" w:hAnsi="Arial"/>
                <w:sz w:val="18"/>
                <w:szCs w:val="18"/>
                <w:color w:val="auto"/>
              </w:rPr>
              <w:t>Net income</w:t>
            </w:r>
          </w:p>
        </w:tc>
        <w:tc>
          <w:tcPr>
            <w:tcW w:w="1880" w:type="dxa"/>
            <w:vAlign w:val="bottom"/>
            <w:gridSpan w:val="2"/>
          </w:tcPr>
          <w:p>
            <w:pPr>
              <w:ind w:left="178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68,816</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93,074</w:t>
            </w:r>
          </w:p>
        </w:tc>
        <w:tc>
          <w:tcPr>
            <w:tcW w:w="32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195,121</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256,433</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534,374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7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0.17</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0.45</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8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per share</w:t>
            </w:r>
          </w:p>
        </w:tc>
        <w:tc>
          <w:tcPr>
            <w:tcW w:w="17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680" w:type="dxa"/>
            <w:vAlign w:val="bottom"/>
            <w:gridSpan w:val="2"/>
            <w:vMerge w:val="continue"/>
          </w:tcPr>
          <w:p>
            <w:pPr>
              <w:spacing w:after="0"/>
              <w:rPr>
                <w:sz w:val="18"/>
                <w:szCs w:val="18"/>
                <w:color w:val="auto"/>
              </w:rPr>
            </w:pPr>
          </w:p>
        </w:tc>
        <w:tc>
          <w:tcPr>
            <w:tcW w:w="1880" w:type="dxa"/>
            <w:vAlign w:val="bottom"/>
            <w:gridSpan w:val="2"/>
          </w:tcPr>
          <w:p>
            <w:pPr>
              <w:ind w:left="178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0.12</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0.16</w:t>
            </w:r>
          </w:p>
        </w:tc>
        <w:tc>
          <w:tcPr>
            <w:tcW w:w="32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0.32</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0.45</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0.85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per share</w:t>
            </w:r>
          </w:p>
        </w:tc>
        <w:tc>
          <w:tcPr>
            <w:tcW w:w="1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553,049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562,362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600,504</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565,145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615,987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Shares used in computing diluted earnings per share</w:t>
            </w:r>
          </w:p>
        </w:tc>
        <w:tc>
          <w:tcPr>
            <w:tcW w:w="17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559,348</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570,325</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613,499</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574,804</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631,257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20" w:type="dxa"/>
            <w:vAlign w:val="bottom"/>
          </w:tcPr>
          <w:p>
            <w:pPr>
              <w:spacing w:after="0"/>
              <w:rPr>
                <w:sz w:val="24"/>
                <w:szCs w:val="24"/>
                <w:color w:val="auto"/>
              </w:rPr>
            </w:pPr>
          </w:p>
        </w:tc>
        <w:tc>
          <w:tcPr>
            <w:tcW w:w="4660" w:type="dxa"/>
            <w:vAlign w:val="bottom"/>
          </w:tcPr>
          <w:p>
            <w:pPr>
              <w:spacing w:after="0"/>
              <w:rPr>
                <w:sz w:val="24"/>
                <w:szCs w:val="24"/>
                <w:color w:val="auto"/>
              </w:rPr>
            </w:pPr>
          </w:p>
        </w:tc>
        <w:tc>
          <w:tcPr>
            <w:tcW w:w="1780" w:type="dxa"/>
            <w:vAlign w:val="bottom"/>
          </w:tcPr>
          <w:p>
            <w:pPr>
              <w:jc w:val="right"/>
              <w:ind w:right="612"/>
              <w:spacing w:after="0"/>
              <w:rPr>
                <w:sz w:val="20"/>
                <w:szCs w:val="20"/>
                <w:color w:val="auto"/>
              </w:rPr>
            </w:pPr>
            <w:r>
              <w:rPr>
                <w:rFonts w:ascii="Arial" w:cs="Arial" w:eastAsia="Arial" w:hAnsi="Arial"/>
                <w:sz w:val="18"/>
                <w:szCs w:val="18"/>
                <w:color w:val="auto"/>
              </w:rPr>
              <w:t>6</w:t>
            </w: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2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40" w:type="dxa"/>
            <w:vAlign w:val="bottom"/>
            <w:gridSpan w:val="4"/>
          </w:tcPr>
          <w:p>
            <w:pPr>
              <w:jc w:val="center"/>
              <w:ind w:right="180"/>
              <w:spacing w:after="0"/>
              <w:rPr>
                <w:sz w:val="20"/>
                <w:szCs w:val="20"/>
                <w:color w:val="auto"/>
              </w:rPr>
            </w:pPr>
            <w:r>
              <w:rPr>
                <w:rFonts w:ascii="Arial" w:cs="Arial" w:eastAsia="Arial" w:hAnsi="Arial"/>
                <w:sz w:val="14"/>
                <w:szCs w:val="14"/>
                <w:b w:val="1"/>
                <w:bCs w:val="1"/>
                <w:color w:val="auto"/>
                <w:w w:val="88"/>
              </w:rPr>
              <w:t>Three Months Ended</w:t>
            </w: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180" w:type="dxa"/>
            <w:vAlign w:val="bottom"/>
            <w:gridSpan w:val="5"/>
          </w:tcPr>
          <w:p>
            <w:pPr>
              <w:jc w:val="right"/>
              <w:ind w:right="66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52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8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27,</w:t>
            </w:r>
          </w:p>
        </w:tc>
        <w:tc>
          <w:tcPr>
            <w:tcW w:w="3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gridSpan w:val="2"/>
          </w:tcPr>
          <w:p>
            <w:pPr>
              <w:jc w:val="center"/>
              <w:ind w:right="580"/>
              <w:spacing w:after="0" w:line="129" w:lineRule="exact"/>
              <w:rPr>
                <w:sz w:val="20"/>
                <w:szCs w:val="20"/>
                <w:color w:val="auto"/>
              </w:rPr>
            </w:pPr>
            <w:r>
              <w:rPr>
                <w:rFonts w:ascii="Arial" w:cs="Arial" w:eastAsia="Arial" w:hAnsi="Arial"/>
                <w:sz w:val="14"/>
                <w:szCs w:val="14"/>
                <w:b w:val="1"/>
                <w:bCs w:val="1"/>
                <w:color w:val="auto"/>
                <w:w w:val="89"/>
              </w:rPr>
              <w:t>July 28,</w:t>
            </w: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29,</w:t>
            </w:r>
          </w:p>
        </w:tc>
        <w:tc>
          <w:tcPr>
            <w:tcW w:w="3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60" w:type="dxa"/>
            <w:vAlign w:val="bottom"/>
            <w:tcBorders>
              <w:top w:val="single" w:sz="8" w:color="auto"/>
            </w:tcBorders>
            <w:gridSpan w:val="3"/>
          </w:tcPr>
          <w:p>
            <w:pPr>
              <w:jc w:val="right"/>
              <w:ind w:right="540"/>
              <w:spacing w:after="0" w:line="129" w:lineRule="exact"/>
              <w:rPr>
                <w:sz w:val="20"/>
                <w:szCs w:val="20"/>
                <w:color w:val="auto"/>
              </w:rPr>
            </w:pPr>
            <w:r>
              <w:rPr>
                <w:rFonts w:ascii="Arial" w:cs="Arial" w:eastAsia="Arial" w:hAnsi="Arial"/>
                <w:sz w:val="14"/>
                <w:szCs w:val="14"/>
                <w:b w:val="1"/>
                <w:bCs w:val="1"/>
                <w:color w:val="auto"/>
                <w:w w:val="90"/>
              </w:rPr>
              <w:t>October 27,</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October 29,</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520" w:type="dxa"/>
            <w:vAlign w:val="bottom"/>
            <w:tcBorders>
              <w:bottom w:val="single" w:sz="8" w:color="CCEEFF"/>
            </w:tcBorders>
          </w:tcPr>
          <w:p>
            <w:pPr>
              <w:spacing w:after="0"/>
              <w:rPr>
                <w:sz w:val="14"/>
                <w:szCs w:val="14"/>
                <w:color w:val="auto"/>
              </w:rPr>
            </w:pPr>
          </w:p>
        </w:tc>
        <w:tc>
          <w:tcPr>
            <w:tcW w:w="11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2012</w:t>
            </w:r>
          </w:p>
        </w:tc>
        <w:tc>
          <w:tcPr>
            <w:tcW w:w="18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33"/>
              <w:spacing w:after="0"/>
              <w:rPr>
                <w:sz w:val="20"/>
                <w:szCs w:val="20"/>
                <w:color w:val="auto"/>
              </w:rPr>
            </w:pPr>
            <w:r>
              <w:rPr>
                <w:rFonts w:ascii="Arial" w:cs="Arial" w:eastAsia="Arial" w:hAnsi="Arial"/>
                <w:sz w:val="14"/>
                <w:szCs w:val="14"/>
                <w:b w:val="1"/>
                <w:bCs w:val="1"/>
                <w:color w:val="auto"/>
                <w:w w:val="83"/>
              </w:rPr>
              <w:t>2012</w:t>
            </w:r>
          </w:p>
        </w:tc>
        <w:tc>
          <w:tcPr>
            <w:tcW w:w="4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2011</w:t>
            </w:r>
          </w:p>
        </w:tc>
        <w:tc>
          <w:tcPr>
            <w:tcW w:w="30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2012</w:t>
            </w:r>
          </w:p>
        </w:tc>
        <w:tc>
          <w:tcPr>
            <w:tcW w:w="4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2011</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5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GAAP net income</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68,816</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93,074</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195,121</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256,433</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534,374</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Stock-based compensation</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30,374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33,228</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30,611</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90,794</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88,446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13,054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13,023</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11,155</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40,432</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36,634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523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1,577</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4,556</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Restructuring</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129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859</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105</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1,103</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1,291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Legal/Tax related matters</w:t>
            </w:r>
          </w:p>
        </w:tc>
        <w:tc>
          <w:tcPr>
            <w:tcW w:w="11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250</w:t>
            </w: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7,459</w:t>
            </w: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250</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7,459</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Non-GAAP net income</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6"/>
              </w:rPr>
              <w:t>112,896</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142,011</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244,451</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393,568</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668,204</w:t>
            </w:r>
          </w:p>
        </w:tc>
        <w:tc>
          <w:tcPr>
            <w:tcW w:w="0" w:type="dxa"/>
            <w:vAlign w:val="bottom"/>
          </w:tcPr>
          <w:p>
            <w:pPr>
              <w:spacing w:after="0"/>
              <w:rPr>
                <w:sz w:val="1"/>
                <w:szCs w:val="1"/>
                <w:color w:val="auto"/>
              </w:rPr>
            </w:pPr>
          </w:p>
        </w:tc>
      </w:tr>
      <w:tr>
        <w:trPr>
          <w:trHeight w:val="20"/>
        </w:trPr>
        <w:tc>
          <w:tcPr>
            <w:tcW w:w="4540" w:type="dxa"/>
            <w:vAlign w:val="bottom"/>
            <w:gridSpan w:val="2"/>
            <w:vMerge w:val="restart"/>
          </w:tcPr>
          <w:p>
            <w:pPr>
              <w:spacing w:after="0"/>
              <w:rPr>
                <w:sz w:val="20"/>
                <w:szCs w:val="20"/>
                <w:color w:val="auto"/>
              </w:rPr>
            </w:pPr>
            <w:r>
              <w:rPr>
                <w:rFonts w:ascii="Arial" w:cs="Arial" w:eastAsia="Arial" w:hAnsi="Arial"/>
                <w:sz w:val="18"/>
                <w:szCs w:val="18"/>
                <w:color w:val="auto"/>
              </w:rPr>
              <w:t>GAAP weighted average shares - diluted</w:t>
            </w: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540" w:type="dxa"/>
            <w:vAlign w:val="bottom"/>
            <w:gridSpan w:val="2"/>
            <w:vMerge w:val="continue"/>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w w:val="86"/>
              </w:rPr>
              <w:t>559,348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570,325</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613,499</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574,804</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631,257</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Non-GAAP adjustment</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18,452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16,302</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1,558</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15,190</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2,983</w:t>
            </w:r>
          </w:p>
        </w:tc>
        <w:tc>
          <w:tcPr>
            <w:tcW w:w="0" w:type="dxa"/>
            <w:vAlign w:val="bottom"/>
          </w:tcPr>
          <w:p>
            <w:pPr>
              <w:spacing w:after="0"/>
              <w:rPr>
                <w:sz w:val="1"/>
                <w:szCs w:val="1"/>
                <w:color w:val="auto"/>
              </w:rPr>
            </w:pPr>
          </w:p>
        </w:tc>
      </w:tr>
      <w:tr>
        <w:trPr>
          <w:trHeight w:val="20"/>
        </w:trPr>
        <w:tc>
          <w:tcPr>
            <w:tcW w:w="4540" w:type="dxa"/>
            <w:vAlign w:val="bottom"/>
            <w:gridSpan w:val="2"/>
            <w:vMerge w:val="restart"/>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(b)</w:t>
            </w:r>
          </w:p>
        </w:tc>
        <w:tc>
          <w:tcPr>
            <w:tcW w:w="11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540" w:type="dxa"/>
            <w:vAlign w:val="bottom"/>
            <w:gridSpan w:val="2"/>
            <w:vMerge w:val="continue"/>
          </w:tcPr>
          <w:p>
            <w:pPr>
              <w:spacing w:after="0"/>
              <w:rPr>
                <w:sz w:val="19"/>
                <w:szCs w:val="19"/>
                <w:color w:val="auto"/>
              </w:rPr>
            </w:pP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w w:val="86"/>
              </w:rPr>
              <w:t>577,800</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586,627</w:t>
            </w:r>
          </w:p>
        </w:tc>
        <w:tc>
          <w:tcPr>
            <w:tcW w:w="4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615,057</w:t>
            </w: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589,994</w:t>
            </w:r>
          </w:p>
        </w:tc>
        <w:tc>
          <w:tcPr>
            <w:tcW w:w="4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634,240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GAAP diluted net income per share</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0.12</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0.32</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0.45</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0.85</w:t>
            </w:r>
          </w:p>
        </w:tc>
        <w:tc>
          <w:tcPr>
            <w:tcW w:w="0" w:type="dxa"/>
            <w:vAlign w:val="bottom"/>
          </w:tcPr>
          <w:p>
            <w:pPr>
              <w:spacing w:after="0"/>
              <w:rPr>
                <w:sz w:val="1"/>
                <w:szCs w:val="1"/>
                <w:color w:val="auto"/>
              </w:rPr>
            </w:pPr>
          </w:p>
        </w:tc>
      </w:tr>
      <w:tr>
        <w:trPr>
          <w:trHeight w:val="20"/>
        </w:trPr>
        <w:tc>
          <w:tcPr>
            <w:tcW w:w="4540" w:type="dxa"/>
            <w:vAlign w:val="bottom"/>
            <w:gridSpan w:val="2"/>
            <w:vMerge w:val="restart"/>
          </w:tcPr>
          <w:p>
            <w:pPr>
              <w:spacing w:after="0"/>
              <w:rPr>
                <w:sz w:val="20"/>
                <w:szCs w:val="20"/>
                <w:color w:val="auto"/>
              </w:rPr>
            </w:pPr>
            <w:r>
              <w:rPr>
                <w:rFonts w:ascii="Arial" w:cs="Arial" w:eastAsia="Arial" w:hAnsi="Arial"/>
                <w:sz w:val="18"/>
                <w:szCs w:val="18"/>
                <w:color w:val="auto"/>
              </w:rPr>
              <w:t>Non-GAAP diluted net income per share</w:t>
            </w: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540" w:type="dxa"/>
            <w:vAlign w:val="bottom"/>
            <w:gridSpan w:val="2"/>
            <w:vMerge w:val="continue"/>
          </w:tcPr>
          <w:p>
            <w:pPr>
              <w:spacing w:after="0"/>
              <w:rPr>
                <w:sz w:val="18"/>
                <w:szCs w:val="18"/>
                <w:color w:val="auto"/>
              </w:rPr>
            </w:pPr>
          </w:p>
        </w:tc>
        <w:tc>
          <w:tcPr>
            <w:tcW w:w="1260" w:type="dxa"/>
            <w:vAlign w:val="bottom"/>
            <w:gridSpan w:val="2"/>
          </w:tcPr>
          <w:p>
            <w:pPr>
              <w:ind w:left="1160"/>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0.20</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0.24</w:t>
            </w:r>
          </w:p>
        </w:tc>
        <w:tc>
          <w:tcPr>
            <w:tcW w:w="46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0.40</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0.67</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1.05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GAAP gross profit:</w:t>
            </w:r>
          </w:p>
        </w:tc>
        <w:tc>
          <w:tcPr>
            <w:tcW w:w="1260" w:type="dxa"/>
            <w:vAlign w:val="bottom"/>
            <w:gridSpan w:val="2"/>
            <w:shd w:val="clear" w:color="auto" w:fill="CCEEFF"/>
          </w:tcPr>
          <w:p>
            <w:pPr>
              <w:ind w:left="1160"/>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6"/>
              </w:rPr>
              <w:t>406,378</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434,265</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538,317</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1,270,672</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1,525,647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1,944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1,775</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1,940</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5,842</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5,551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1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1,054</w:t>
            </w:r>
          </w:p>
        </w:tc>
        <w:tc>
          <w:tcPr>
            <w:tcW w:w="4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2,983</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540" w:type="dxa"/>
            <w:vAlign w:val="bottom"/>
            <w:gridSpan w:val="2"/>
          </w:tcPr>
          <w:p>
            <w:pPr>
              <w:spacing w:after="0"/>
              <w:rPr>
                <w:sz w:val="20"/>
                <w:szCs w:val="20"/>
                <w:color w:val="auto"/>
              </w:rPr>
            </w:pPr>
            <w:r>
              <w:rPr>
                <w:rFonts w:ascii="Arial" w:cs="Arial" w:eastAsia="Arial" w:hAnsi="Arial"/>
                <w:sz w:val="18"/>
                <w:szCs w:val="18"/>
                <w:color w:val="auto"/>
              </w:rPr>
              <w:t>Non-GAAP gross profit</w:t>
            </w:r>
          </w:p>
        </w:tc>
        <w:tc>
          <w:tcPr>
            <w:tcW w:w="1260" w:type="dxa"/>
            <w:vAlign w:val="bottom"/>
            <w:gridSpan w:val="2"/>
          </w:tcPr>
          <w:p>
            <w:pPr>
              <w:ind w:left="1160"/>
              <w:spacing w:after="0"/>
              <w:rPr>
                <w:sz w:val="20"/>
                <w:szCs w:val="20"/>
                <w:color w:val="auto"/>
              </w:rPr>
            </w:pPr>
            <w:r>
              <w:rPr>
                <w:rFonts w:ascii="Arial" w:cs="Arial" w:eastAsia="Arial" w:hAnsi="Arial"/>
                <w:sz w:val="18"/>
                <w:szCs w:val="18"/>
                <w:u w:val="single" w:color="auto"/>
                <w:color w:val="auto"/>
                <w:w w:val="79"/>
              </w:rPr>
              <w:t>$</w:t>
            </w: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w w:val="86"/>
              </w:rPr>
              <w:t>408,322</w:t>
            </w:r>
          </w:p>
        </w:tc>
        <w:tc>
          <w:tcPr>
            <w:tcW w:w="4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437,094</w:t>
            </w:r>
          </w:p>
        </w:tc>
        <w:tc>
          <w:tcPr>
            <w:tcW w:w="46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540,257</w:t>
            </w:r>
          </w:p>
        </w:tc>
        <w:tc>
          <w:tcPr>
            <w:tcW w:w="2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1,279,497</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1,531,198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GAAP gross margin</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52.0%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53.2%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56.6%</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53.1%</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0.3%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0.2%</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320"/>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18"/>
                <w:szCs w:val="18"/>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4540" w:type="dxa"/>
            <w:vAlign w:val="bottom"/>
            <w:gridSpan w:val="2"/>
            <w:vMerge w:val="restart"/>
          </w:tcPr>
          <w:p>
            <w:pPr>
              <w:spacing w:after="0"/>
              <w:rPr>
                <w:sz w:val="20"/>
                <w:szCs w:val="20"/>
                <w:color w:val="auto"/>
              </w:rPr>
            </w:pPr>
            <w:r>
              <w:rPr>
                <w:rFonts w:ascii="Arial" w:cs="Arial" w:eastAsia="Arial" w:hAnsi="Arial"/>
                <w:sz w:val="18"/>
                <w:szCs w:val="18"/>
                <w:color w:val="auto"/>
              </w:rPr>
              <w:t>Non-GAAP gross margin</w:t>
            </w:r>
          </w:p>
        </w:tc>
        <w:tc>
          <w:tcPr>
            <w:tcW w:w="11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540" w:type="dxa"/>
            <w:vAlign w:val="bottom"/>
            <w:gridSpan w:val="2"/>
            <w:vMerge w:val="continue"/>
          </w:tcPr>
          <w:p>
            <w:pPr>
              <w:spacing w:after="0"/>
              <w:rPr>
                <w:sz w:val="19"/>
                <w:szCs w:val="19"/>
                <w:color w:val="auto"/>
              </w:rPr>
            </w:pP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52.3%</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53.6%</w:t>
            </w:r>
          </w:p>
        </w:tc>
        <w:tc>
          <w:tcPr>
            <w:tcW w:w="100" w:type="dxa"/>
            <w:vAlign w:val="bottom"/>
          </w:tcPr>
          <w:p>
            <w:pPr>
              <w:spacing w:after="0"/>
              <w:rPr>
                <w:sz w:val="19"/>
                <w:szCs w:val="19"/>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56.8%</w:t>
            </w: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180" w:type="dxa"/>
            <w:vAlign w:val="bottom"/>
            <w:gridSpan w:val="2"/>
          </w:tcPr>
          <w:p>
            <w:pPr>
              <w:jc w:val="right"/>
              <w:ind w:right="320"/>
              <w:spacing w:after="0"/>
              <w:rPr>
                <w:sz w:val="20"/>
                <w:szCs w:val="20"/>
                <w:color w:val="auto"/>
              </w:rPr>
            </w:pPr>
            <w:r>
              <w:rPr>
                <w:rFonts w:ascii="Arial" w:cs="Arial" w:eastAsia="Arial" w:hAnsi="Arial"/>
                <w:sz w:val="18"/>
                <w:szCs w:val="18"/>
                <w:color w:val="auto"/>
              </w:rPr>
              <w:t>53.5%</w:t>
            </w:r>
          </w:p>
        </w:tc>
        <w:tc>
          <w:tcPr>
            <w:tcW w:w="100" w:type="dxa"/>
            <w:vAlign w:val="bottom"/>
          </w:tcPr>
          <w:p>
            <w:pPr>
              <w:spacing w:after="0"/>
              <w:rPr>
                <w:sz w:val="19"/>
                <w:szCs w:val="19"/>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57.8%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GAAP research and development:</w:t>
            </w:r>
          </w:p>
        </w:tc>
        <w:tc>
          <w:tcPr>
            <w:tcW w:w="1260" w:type="dxa"/>
            <w:vAlign w:val="bottom"/>
            <w:gridSpan w:val="2"/>
            <w:shd w:val="clear" w:color="auto" w:fill="CCEEFF"/>
          </w:tcPr>
          <w:p>
            <w:pPr>
              <w:ind w:left="1160"/>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6"/>
              </w:rPr>
              <w:t>263,615</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264,175</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266,255</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783,760</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758,396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w w:val="92"/>
              </w:rPr>
              <w:t>(22,565)</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w w:val="89"/>
              </w:rPr>
              <w:t>(22,413)</w:t>
            </w:r>
          </w:p>
        </w:tc>
        <w:tc>
          <w:tcPr>
            <w:tcW w:w="10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w w:val="92"/>
              </w:rPr>
              <w:t>(21,905)</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(62,152)</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(63,626)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(458)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(466)</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(1,366)</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(2)</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rPr>
              <w:t>(42)</w:t>
            </w:r>
          </w:p>
        </w:tc>
        <w:tc>
          <w:tcPr>
            <w:tcW w:w="10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(1)</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(46)</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(308)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Legal/Tax related matters</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(3,137)</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(3,137)</w:t>
            </w:r>
          </w:p>
        </w:tc>
        <w:tc>
          <w:tcPr>
            <w:tcW w:w="0" w:type="dxa"/>
            <w:vAlign w:val="bottom"/>
          </w:tcPr>
          <w:p>
            <w:pPr>
              <w:spacing w:after="0"/>
              <w:rPr>
                <w:sz w:val="1"/>
                <w:szCs w:val="1"/>
                <w:color w:val="auto"/>
              </w:rPr>
            </w:pPr>
          </w:p>
        </w:tc>
      </w:tr>
      <w:tr>
        <w:trPr>
          <w:trHeight w:val="20"/>
        </w:trPr>
        <w:tc>
          <w:tcPr>
            <w:tcW w:w="4540" w:type="dxa"/>
            <w:vAlign w:val="bottom"/>
            <w:gridSpan w:val="2"/>
            <w:vMerge w:val="restart"/>
          </w:tcPr>
          <w:p>
            <w:pPr>
              <w:spacing w:after="0"/>
              <w:rPr>
                <w:sz w:val="20"/>
                <w:szCs w:val="20"/>
                <w:color w:val="auto"/>
              </w:rPr>
            </w:pPr>
            <w:r>
              <w:rPr>
                <w:rFonts w:ascii="Arial" w:cs="Arial" w:eastAsia="Arial" w:hAnsi="Arial"/>
                <w:sz w:val="18"/>
                <w:szCs w:val="18"/>
                <w:color w:val="auto"/>
              </w:rPr>
              <w:t>Non-GAAP research and development</w:t>
            </w:r>
          </w:p>
        </w:tc>
        <w:tc>
          <w:tcPr>
            <w:tcW w:w="11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540" w:type="dxa"/>
            <w:vAlign w:val="bottom"/>
            <w:gridSpan w:val="2"/>
            <w:vMerge w:val="continue"/>
          </w:tcPr>
          <w:p>
            <w:pPr>
              <w:spacing w:after="0"/>
              <w:rPr>
                <w:sz w:val="19"/>
                <w:szCs w:val="19"/>
                <w:color w:val="auto"/>
              </w:rPr>
            </w:pPr>
          </w:p>
        </w:tc>
        <w:tc>
          <w:tcPr>
            <w:tcW w:w="116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w w:val="86"/>
              </w:rPr>
              <w:t>240,590</w:t>
            </w:r>
          </w:p>
        </w:tc>
        <w:tc>
          <w:tcPr>
            <w:tcW w:w="4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241,254</w:t>
            </w:r>
          </w:p>
        </w:tc>
        <w:tc>
          <w:tcPr>
            <w:tcW w:w="46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241,212</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720,196</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691,325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GAAP selling and marketing:</w:t>
            </w:r>
          </w:p>
        </w:tc>
        <w:tc>
          <w:tcPr>
            <w:tcW w:w="1260" w:type="dxa"/>
            <w:vAlign w:val="bottom"/>
            <w:gridSpan w:val="2"/>
            <w:shd w:val="clear" w:color="auto" w:fill="CCEEFF"/>
          </w:tcPr>
          <w:p>
            <w:pPr>
              <w:ind w:left="1160"/>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38,398</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41,034</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40,500</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119,498</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119,042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(3,101)</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rPr>
              <w:t>(3,458)</w:t>
            </w:r>
          </w:p>
        </w:tc>
        <w:tc>
          <w:tcPr>
            <w:tcW w:w="10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(3,402)</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(9,595)</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(9,263)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(50)</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(153)</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rPr>
              <w:t>(7)</w:t>
            </w:r>
          </w:p>
        </w:tc>
        <w:tc>
          <w:tcPr>
            <w:tcW w:w="100" w:type="dxa"/>
            <w:vAlign w:val="bottom"/>
          </w:tcPr>
          <w:p>
            <w:pPr>
              <w:spacing w:after="0"/>
              <w:rPr>
                <w:sz w:val="18"/>
                <w:szCs w:val="18"/>
                <w:color w:val="auto"/>
              </w:rPr>
            </w:pPr>
          </w:p>
        </w:tc>
        <w:tc>
          <w:tcPr>
            <w:tcW w:w="88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5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Non-GAAP selling and marketing</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35,243</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37,519</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37,098</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109,753</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109,779</w:t>
            </w:r>
          </w:p>
        </w:tc>
        <w:tc>
          <w:tcPr>
            <w:tcW w:w="0" w:type="dxa"/>
            <w:vAlign w:val="bottom"/>
          </w:tcPr>
          <w:p>
            <w:pPr>
              <w:spacing w:after="0"/>
              <w:rPr>
                <w:sz w:val="1"/>
                <w:szCs w:val="1"/>
                <w:color w:val="auto"/>
              </w:rPr>
            </w:pPr>
          </w:p>
        </w:tc>
      </w:tr>
      <w:tr>
        <w:trPr>
          <w:trHeight w:val="20"/>
        </w:trPr>
        <w:tc>
          <w:tcPr>
            <w:tcW w:w="4540" w:type="dxa"/>
            <w:vAlign w:val="bottom"/>
            <w:gridSpan w:val="2"/>
            <w:vMerge w:val="restart"/>
          </w:tcPr>
          <w:p>
            <w:pPr>
              <w:spacing w:after="0"/>
              <w:rPr>
                <w:sz w:val="20"/>
                <w:szCs w:val="20"/>
                <w:color w:val="auto"/>
              </w:rPr>
            </w:pPr>
            <w:r>
              <w:rPr>
                <w:rFonts w:ascii="Arial" w:cs="Arial" w:eastAsia="Arial" w:hAnsi="Arial"/>
                <w:sz w:val="18"/>
                <w:szCs w:val="18"/>
                <w:color w:val="auto"/>
              </w:rPr>
              <w:t>GAAP general and administrative:</w:t>
            </w: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540" w:type="dxa"/>
            <w:vAlign w:val="bottom"/>
            <w:gridSpan w:val="2"/>
            <w:vMerge w:val="continue"/>
          </w:tcPr>
          <w:p>
            <w:pPr>
              <w:spacing w:after="0"/>
              <w:rPr>
                <w:sz w:val="18"/>
                <w:szCs w:val="18"/>
                <w:color w:val="auto"/>
              </w:rPr>
            </w:pPr>
          </w:p>
        </w:tc>
        <w:tc>
          <w:tcPr>
            <w:tcW w:w="1260" w:type="dxa"/>
            <w:vAlign w:val="bottom"/>
            <w:gridSpan w:val="2"/>
          </w:tcPr>
          <w:p>
            <w:pPr>
              <w:ind w:left="1160"/>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24,514</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25,718</w:t>
            </w:r>
          </w:p>
        </w:tc>
        <w:tc>
          <w:tcPr>
            <w:tcW w:w="46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29,021</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75,937</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77,436</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(2,764)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(5,582)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(3,364)</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(13,205)</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(10,006)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rPr>
              <w:t>(7)</w:t>
            </w:r>
          </w:p>
        </w:tc>
        <w:tc>
          <w:tcPr>
            <w:tcW w:w="100" w:type="dxa"/>
            <w:vAlign w:val="bottom"/>
          </w:tcPr>
          <w:p>
            <w:pPr>
              <w:spacing w:after="0"/>
              <w:rPr>
                <w:sz w:val="18"/>
                <w:szCs w:val="18"/>
                <w:color w:val="auto"/>
              </w:rPr>
            </w:pPr>
          </w:p>
        </w:tc>
        <w:tc>
          <w:tcPr>
            <w:tcW w:w="88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(54)</w:t>
            </w:r>
          </w:p>
        </w:tc>
        <w:tc>
          <w:tcPr>
            <w:tcW w:w="10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(130)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(810)</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(104)</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(1,060)</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(983)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Legal/Tax related matters</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rPr>
              <w:t>(250)</w:t>
            </w:r>
          </w:p>
        </w:tc>
        <w:tc>
          <w:tcPr>
            <w:tcW w:w="10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(4,322)</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(250)</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(4,322)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5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Non-GAAP general and administrative</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21,612</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19,069</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21,231</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61,368</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62,125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8" w:lineRule="exact"/>
        <w:rPr>
          <w:sz w:val="20"/>
          <w:szCs w:val="20"/>
          <w:color w:val="auto"/>
        </w:rPr>
      </w:pPr>
    </w:p>
    <w:p>
      <w:pPr>
        <w:ind w:left="460" w:right="180" w:hanging="452"/>
        <w:spacing w:after="0" w:line="253"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Acquisition-related costs include the step-up in fair value of acquired inventory that was sold during the period, and the amortization of retention bonuses required by the terms of the acquisition. Restructuring costs related to recently completed acquisitions are included within “Restructuring” in the table above.</w:t>
      </w:r>
    </w:p>
    <w:p>
      <w:pPr>
        <w:ind w:left="460" w:right="380" w:hanging="452"/>
        <w:spacing w:after="0" w:line="323" w:lineRule="auto"/>
        <w:tabs>
          <w:tab w:leader="none" w:pos="460"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For purposes of calculating non-GAAP diluted net income per share, the GAAP diluted weighted average shares outstanding is adjusted to exclude the potential benefits of stock-based compensation costs expected to be incurred in future periods but not yet recognized in the financial statements.</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274" w:right="2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960" w:type="dxa"/>
            <w:vAlign w:val="bottom"/>
            <w:gridSpan w:val="3"/>
          </w:tcPr>
          <w:p>
            <w:pPr>
              <w:ind w:left="60"/>
              <w:spacing w:after="0"/>
              <w:rPr>
                <w:sz w:val="20"/>
                <w:szCs w:val="20"/>
                <w:color w:val="auto"/>
              </w:rPr>
            </w:pPr>
            <w:r>
              <w:rPr>
                <w:rFonts w:ascii="Arial" w:cs="Arial" w:eastAsia="Arial" w:hAnsi="Arial"/>
                <w:sz w:val="14"/>
                <w:szCs w:val="14"/>
                <w:b w:val="1"/>
                <w:bCs w:val="1"/>
                <w:color w:val="auto"/>
              </w:rPr>
              <w:t>October 27,</w:t>
            </w:r>
          </w:p>
        </w:tc>
        <w:tc>
          <w:tcPr>
            <w:tcW w:w="140" w:type="dxa"/>
            <w:vAlign w:val="bottom"/>
          </w:tcPr>
          <w:p>
            <w:pPr>
              <w:spacing w:after="0"/>
              <w:rPr>
                <w:sz w:val="14"/>
                <w:szCs w:val="14"/>
                <w:color w:val="auto"/>
              </w:rPr>
            </w:pPr>
          </w:p>
        </w:tc>
        <w:tc>
          <w:tcPr>
            <w:tcW w:w="90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840" w:type="dxa"/>
            <w:vAlign w:val="bottom"/>
            <w:tcBorders>
              <w:bottom w:val="single" w:sz="8" w:color="CCEEFF"/>
            </w:tcBorders>
          </w:tcPr>
          <w:p>
            <w:pPr>
              <w:spacing w:after="0"/>
              <w:rPr>
                <w:sz w:val="14"/>
                <w:szCs w:val="14"/>
                <w:color w:val="auto"/>
              </w:rPr>
            </w:pPr>
          </w:p>
        </w:tc>
        <w:tc>
          <w:tcPr>
            <w:tcW w:w="45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2012</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8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45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assets:</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cash equivalents, and short-term investments</w:t>
            </w:r>
          </w:p>
        </w:tc>
        <w:tc>
          <w:tcPr>
            <w:tcW w:w="4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2,016,799</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2,246,498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Accounts receivable, net</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374,770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407,263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Inventories</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323,997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354,119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Prepaid expenses and other current assets</w:t>
            </w:r>
          </w:p>
        </w:tc>
        <w:tc>
          <w:tcPr>
            <w:tcW w:w="45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62,264</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71,081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current assets</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2,777,830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3,078,961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376,437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383,801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18,103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2,134,061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2,173,496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119,523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108,146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assets</w:t>
            </w:r>
          </w:p>
        </w:tc>
        <w:tc>
          <w:tcPr>
            <w:tcW w:w="46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5,425,954</w:t>
            </w:r>
          </w:p>
        </w:tc>
        <w:tc>
          <w:tcPr>
            <w:tcW w:w="2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5,767,619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5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liabilities:</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Accounts payable</w:t>
            </w:r>
          </w:p>
        </w:tc>
        <w:tc>
          <w:tcPr>
            <w:tcW w:w="4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291,366</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304,695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Accrued liabilities</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249,645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224,900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income</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59,458</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59,959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current liabilities</w:t>
            </w:r>
          </w:p>
        </w:tc>
        <w:tc>
          <w:tcPr>
            <w:tcW w:w="45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600,469</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589,554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149,191</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164,047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liabilities</w:t>
            </w:r>
          </w:p>
        </w:tc>
        <w:tc>
          <w:tcPr>
            <w:tcW w:w="45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749,660</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753,601</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45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Common stock</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1,073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1,167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Additional paid-in capital</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3,153,463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3,683,112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Accumulated other comprehensive income</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3,375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776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Retained earnings</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1,518,383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1,328,963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shareholders’ equity</w:t>
            </w:r>
          </w:p>
        </w:tc>
        <w:tc>
          <w:tcPr>
            <w:tcW w:w="456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4,676,294</w:t>
            </w:r>
          </w:p>
        </w:tc>
        <w:tc>
          <w:tcPr>
            <w:tcW w:w="1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5,014,018</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liabilities and shareholders’ equity</w:t>
            </w:r>
          </w:p>
        </w:tc>
        <w:tc>
          <w:tcPr>
            <w:tcW w:w="46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5,425,954</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5,767,619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560" w:type="dxa"/>
            <w:vAlign w:val="bottom"/>
            <w:vMerge w:val="restart"/>
          </w:tcPr>
          <w:p>
            <w:pPr>
              <w:jc w:val="right"/>
              <w:ind w:right="3572"/>
              <w:spacing w:after="0"/>
              <w:rPr>
                <w:sz w:val="20"/>
                <w:szCs w:val="20"/>
                <w:color w:val="auto"/>
              </w:rPr>
            </w:pPr>
            <w:r>
              <w:rPr>
                <w:rFonts w:ascii="Arial" w:cs="Arial" w:eastAsia="Arial" w:hAnsi="Arial"/>
                <w:sz w:val="18"/>
                <w:szCs w:val="18"/>
                <w:color w:val="auto"/>
              </w:rPr>
              <w:t>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840" w:type="dxa"/>
            <w:vAlign w:val="bottom"/>
          </w:tcPr>
          <w:p>
            <w:pPr>
              <w:spacing w:after="0"/>
              <w:rPr>
                <w:sz w:val="24"/>
                <w:szCs w:val="24"/>
                <w:color w:val="auto"/>
              </w:rPr>
            </w:pPr>
          </w:p>
        </w:tc>
        <w:tc>
          <w:tcPr>
            <w:tcW w:w="45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tbl>
      <w:tblPr>
        <w:tblLayout w:type="fixed"/>
        <w:tblInd w:w="0" w:type="dxa"/>
        <w:tblCellMar>
          <w:top w:w="0" w:type="dxa"/>
          <w:left w:w="0" w:type="dxa"/>
          <w:bottom w:w="0" w:type="dxa"/>
          <w:right w:w="0" w:type="dxa"/>
        </w:tblCellMar>
      </w:tblPr>
      <w:tr>
        <w:trPr>
          <w:trHeight w:val="160"/>
        </w:trPr>
        <w:tc>
          <w:tcPr>
            <w:tcW w:w="20" w:type="dxa"/>
            <w:vAlign w:val="bottom"/>
          </w:tcPr>
          <w:p>
            <w:pPr>
              <w:spacing w:after="0"/>
              <w:rPr>
                <w:sz w:val="13"/>
                <w:szCs w:val="13"/>
                <w:color w:val="auto"/>
              </w:rPr>
            </w:pPr>
          </w:p>
        </w:tc>
        <w:tc>
          <w:tcPr>
            <w:tcW w:w="68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180" w:type="dxa"/>
            <w:vAlign w:val="bottom"/>
            <w:gridSpan w:val="4"/>
          </w:tcPr>
          <w:p>
            <w:pPr>
              <w:jc w:val="right"/>
              <w:ind w:right="720"/>
              <w:spacing w:after="0" w:line="160" w:lineRule="exact"/>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3"/>
                <w:szCs w:val="13"/>
                <w:color w:val="auto"/>
              </w:rPr>
            </w:pPr>
          </w:p>
        </w:tc>
        <w:tc>
          <w:tcPr>
            <w:tcW w:w="2160" w:type="dxa"/>
            <w:vAlign w:val="bottom"/>
            <w:gridSpan w:val="5"/>
          </w:tcPr>
          <w:p>
            <w:pPr>
              <w:jc w:val="right"/>
              <w:ind w:right="600"/>
              <w:spacing w:after="0" w:line="160" w:lineRule="exact"/>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80" w:type="dxa"/>
            <w:vAlign w:val="bottom"/>
          </w:tcPr>
          <w:p>
            <w:pPr>
              <w:spacing w:after="0"/>
              <w:rPr>
                <w:sz w:val="11"/>
                <w:szCs w:val="11"/>
                <w:color w:val="auto"/>
              </w:rPr>
            </w:pPr>
          </w:p>
        </w:tc>
        <w:tc>
          <w:tcPr>
            <w:tcW w:w="1140" w:type="dxa"/>
            <w:vAlign w:val="bottom"/>
            <w:tcBorders>
              <w:top w:val="single" w:sz="8" w:color="auto"/>
            </w:tcBorders>
            <w:gridSpan w:val="3"/>
          </w:tcPr>
          <w:p>
            <w:pPr>
              <w:jc w:val="right"/>
              <w:ind w:right="440"/>
              <w:spacing w:after="0" w:line="129" w:lineRule="exact"/>
              <w:rPr>
                <w:sz w:val="20"/>
                <w:szCs w:val="20"/>
                <w:color w:val="auto"/>
              </w:rPr>
            </w:pPr>
            <w:r>
              <w:rPr>
                <w:rFonts w:ascii="Arial" w:cs="Arial" w:eastAsia="Arial" w:hAnsi="Arial"/>
                <w:sz w:val="14"/>
                <w:szCs w:val="14"/>
                <w:b w:val="1"/>
                <w:bCs w:val="1"/>
                <w:color w:val="auto"/>
                <w:w w:val="88"/>
              </w:rPr>
              <w:t>October 27,</w:t>
            </w:r>
          </w:p>
        </w:tc>
        <w:tc>
          <w:tcPr>
            <w:tcW w:w="7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8"/>
              </w:rPr>
              <w:t>October 29,</w:t>
            </w:r>
          </w:p>
        </w:tc>
        <w:tc>
          <w:tcPr>
            <w:tcW w:w="4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180" w:type="dxa"/>
            <w:vAlign w:val="bottom"/>
            <w:tcBorders>
              <w:top w:val="single" w:sz="8" w:color="auto"/>
            </w:tcBorders>
            <w:gridSpan w:val="2"/>
          </w:tcPr>
          <w:p>
            <w:pPr>
              <w:jc w:val="right"/>
              <w:ind w:right="500"/>
              <w:spacing w:after="0" w:line="129" w:lineRule="exact"/>
              <w:rPr>
                <w:sz w:val="20"/>
                <w:szCs w:val="20"/>
                <w:color w:val="auto"/>
              </w:rPr>
            </w:pPr>
            <w:r>
              <w:rPr>
                <w:rFonts w:ascii="Arial" w:cs="Arial" w:eastAsia="Arial" w:hAnsi="Arial"/>
                <w:sz w:val="14"/>
                <w:szCs w:val="14"/>
                <w:b w:val="1"/>
                <w:bCs w:val="1"/>
                <w:color w:val="auto"/>
                <w:w w:val="85"/>
              </w:rPr>
              <w:t>October 27,</w:t>
            </w:r>
          </w:p>
        </w:tc>
        <w:tc>
          <w:tcPr>
            <w:tcW w:w="10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tcPr>
          <w:p>
            <w:pPr>
              <w:jc w:val="right"/>
              <w:ind w:right="13"/>
              <w:spacing w:after="0" w:line="129" w:lineRule="exact"/>
              <w:rPr>
                <w:sz w:val="20"/>
                <w:szCs w:val="20"/>
                <w:color w:val="auto"/>
              </w:rPr>
            </w:pPr>
            <w:r>
              <w:rPr>
                <w:rFonts w:ascii="Arial" w:cs="Arial" w:eastAsia="Arial" w:hAnsi="Arial"/>
                <w:sz w:val="14"/>
                <w:szCs w:val="14"/>
                <w:b w:val="1"/>
                <w:bCs w:val="1"/>
                <w:color w:val="auto"/>
                <w:w w:val="85"/>
              </w:rPr>
              <w:t>October 29,</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8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2012</w:t>
            </w:r>
          </w:p>
        </w:tc>
        <w:tc>
          <w:tcPr>
            <w:tcW w:w="420" w:type="dxa"/>
            <w:vAlign w:val="bottom"/>
            <w:tcBorders>
              <w:bottom w:val="single" w:sz="8" w:color="CCEEFF"/>
            </w:tcBorders>
          </w:tcPr>
          <w:p>
            <w:pPr>
              <w:spacing w:after="0"/>
              <w:rPr>
                <w:sz w:val="14"/>
                <w:szCs w:val="14"/>
                <w:color w:val="auto"/>
              </w:rPr>
            </w:pPr>
          </w:p>
        </w:tc>
        <w:tc>
          <w:tcPr>
            <w:tcW w:w="72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2011</w:t>
            </w:r>
          </w:p>
        </w:tc>
        <w:tc>
          <w:tcPr>
            <w:tcW w:w="4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2012</w:t>
            </w:r>
          </w:p>
        </w:tc>
        <w:tc>
          <w:tcPr>
            <w:tcW w:w="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3"/>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88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Cash flows from operating activities:</w:t>
            </w:r>
          </w:p>
        </w:tc>
        <w:tc>
          <w:tcPr>
            <w:tcW w:w="8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tcPr>
          <w:p>
            <w:pPr>
              <w:spacing w:after="0"/>
              <w:rPr>
                <w:sz w:val="20"/>
                <w:szCs w:val="20"/>
                <w:color w:val="auto"/>
              </w:rPr>
            </w:pPr>
            <w:r>
              <w:rPr>
                <w:rFonts w:ascii="Arial" w:cs="Arial" w:eastAsia="Arial" w:hAnsi="Arial"/>
                <w:sz w:val="18"/>
                <w:szCs w:val="18"/>
                <w:color w:val="auto"/>
              </w:rPr>
              <w:t>Net income</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60" w:type="dxa"/>
            <w:vAlign w:val="bottom"/>
            <w:gridSpan w:val="2"/>
          </w:tcPr>
          <w:p>
            <w:pPr>
              <w:jc w:val="right"/>
              <w:ind w:right="420"/>
              <w:spacing w:after="0"/>
              <w:rPr>
                <w:sz w:val="20"/>
                <w:szCs w:val="20"/>
                <w:color w:val="auto"/>
              </w:rPr>
            </w:pPr>
            <w:r>
              <w:rPr>
                <w:rFonts w:ascii="Arial" w:cs="Arial" w:eastAsia="Arial" w:hAnsi="Arial"/>
                <w:sz w:val="18"/>
                <w:szCs w:val="18"/>
                <w:color w:val="auto"/>
              </w:rPr>
              <w:t>68,816</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$ 195,121</w:t>
            </w:r>
          </w:p>
        </w:tc>
        <w:tc>
          <w:tcPr>
            <w:tcW w:w="40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256,433</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534,374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80" w:type="dxa"/>
            <w:vAlign w:val="bottom"/>
          </w:tcPr>
          <w:p>
            <w:pPr>
              <w:spacing w:after="0"/>
              <w:rPr>
                <w:sz w:val="18"/>
                <w:szCs w:val="18"/>
                <w:color w:val="auto"/>
              </w:rPr>
            </w:pPr>
          </w:p>
        </w:tc>
        <w:tc>
          <w:tcPr>
            <w:tcW w:w="1060" w:type="dxa"/>
            <w:vAlign w:val="bottom"/>
            <w:gridSpan w:val="2"/>
          </w:tcPr>
          <w:p>
            <w:pPr>
              <w:jc w:val="right"/>
              <w:ind w:right="420"/>
              <w:spacing w:after="0"/>
              <w:rPr>
                <w:sz w:val="20"/>
                <w:szCs w:val="20"/>
                <w:color w:val="auto"/>
              </w:rPr>
            </w:pPr>
            <w:r>
              <w:rPr>
                <w:rFonts w:ascii="Arial" w:cs="Arial" w:eastAsia="Arial" w:hAnsi="Arial"/>
                <w:sz w:val="18"/>
                <w:szCs w:val="18"/>
                <w:color w:val="auto"/>
              </w:rPr>
              <w:t>22,317</w:t>
            </w:r>
          </w:p>
        </w:tc>
        <w:tc>
          <w:tcPr>
            <w:tcW w:w="720" w:type="dxa"/>
            <w:vAlign w:val="bottom"/>
          </w:tcPr>
          <w:p>
            <w:pPr>
              <w:jc w:val="right"/>
              <w:spacing w:after="0"/>
              <w:rPr>
                <w:sz w:val="20"/>
                <w:szCs w:val="20"/>
                <w:color w:val="auto"/>
              </w:rPr>
            </w:pPr>
            <w:r>
              <w:rPr>
                <w:rFonts w:ascii="Arial" w:cs="Arial" w:eastAsia="Arial" w:hAnsi="Arial"/>
                <w:sz w:val="18"/>
                <w:szCs w:val="18"/>
                <w:color w:val="auto"/>
              </w:rPr>
              <w:t>20,179</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64,801</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66,653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30,374</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30,611</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90,794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88,446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80" w:type="dxa"/>
            <w:vAlign w:val="bottom"/>
          </w:tcPr>
          <w:p>
            <w:pPr>
              <w:spacing w:after="0"/>
              <w:rPr>
                <w:sz w:val="18"/>
                <w:szCs w:val="18"/>
                <w:color w:val="auto"/>
              </w:rPr>
            </w:pPr>
          </w:p>
        </w:tc>
        <w:tc>
          <w:tcPr>
            <w:tcW w:w="1060" w:type="dxa"/>
            <w:vAlign w:val="bottom"/>
            <w:gridSpan w:val="2"/>
          </w:tcPr>
          <w:p>
            <w:pPr>
              <w:jc w:val="right"/>
              <w:ind w:right="420"/>
              <w:spacing w:after="0"/>
              <w:rPr>
                <w:sz w:val="20"/>
                <w:szCs w:val="20"/>
                <w:color w:val="auto"/>
              </w:rPr>
            </w:pPr>
            <w:r>
              <w:rPr>
                <w:rFonts w:ascii="Arial" w:cs="Arial" w:eastAsia="Arial" w:hAnsi="Arial"/>
                <w:sz w:val="18"/>
                <w:szCs w:val="18"/>
                <w:color w:val="auto"/>
              </w:rPr>
              <w:t>13,054</w:t>
            </w:r>
          </w:p>
        </w:tc>
        <w:tc>
          <w:tcPr>
            <w:tcW w:w="720" w:type="dxa"/>
            <w:vAlign w:val="bottom"/>
          </w:tcPr>
          <w:p>
            <w:pPr>
              <w:jc w:val="right"/>
              <w:spacing w:after="0"/>
              <w:rPr>
                <w:sz w:val="20"/>
                <w:szCs w:val="20"/>
                <w:color w:val="auto"/>
              </w:rPr>
            </w:pPr>
            <w:r>
              <w:rPr>
                <w:rFonts w:ascii="Arial" w:cs="Arial" w:eastAsia="Arial" w:hAnsi="Arial"/>
                <w:sz w:val="18"/>
                <w:szCs w:val="18"/>
                <w:color w:val="auto"/>
              </w:rPr>
              <w:t>11,155</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40,432</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36,634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Other expense, net</w:t>
            </w: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1,260</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4,266</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6,435</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11,411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(5)</w:t>
            </w:r>
          </w:p>
        </w:tc>
        <w:tc>
          <w:tcPr>
            <w:tcW w:w="1120" w:type="dxa"/>
            <w:vAlign w:val="bottom"/>
            <w:gridSpan w:val="2"/>
          </w:tcPr>
          <w:p>
            <w:pPr>
              <w:jc w:val="right"/>
              <w:ind w:right="340"/>
              <w:spacing w:after="0"/>
              <w:rPr>
                <w:sz w:val="20"/>
                <w:szCs w:val="20"/>
                <w:color w:val="auto"/>
              </w:rPr>
            </w:pPr>
            <w:r>
              <w:rPr>
                <w:rFonts w:ascii="Arial" w:cs="Arial" w:eastAsia="Arial" w:hAnsi="Arial"/>
                <w:sz w:val="18"/>
                <w:szCs w:val="18"/>
                <w:color w:val="auto"/>
              </w:rPr>
              <w:t>(85)</w:t>
            </w:r>
          </w:p>
        </w:tc>
        <w:tc>
          <w:tcPr>
            <w:tcW w:w="100" w:type="dxa"/>
            <w:vAlign w:val="bottom"/>
          </w:tcPr>
          <w:p>
            <w:pPr>
              <w:spacing w:after="0"/>
              <w:rPr>
                <w:sz w:val="18"/>
                <w:szCs w:val="18"/>
                <w:color w:val="auto"/>
              </w:rPr>
            </w:pPr>
          </w:p>
        </w:tc>
        <w:tc>
          <w:tcPr>
            <w:tcW w:w="1180" w:type="dxa"/>
            <w:vAlign w:val="bottom"/>
            <w:gridSpan w:val="2"/>
          </w:tcPr>
          <w:p>
            <w:pPr>
              <w:jc w:val="right"/>
              <w:ind w:right="360"/>
              <w:spacing w:after="0"/>
              <w:rPr>
                <w:sz w:val="20"/>
                <w:szCs w:val="20"/>
                <w:color w:val="auto"/>
              </w:rPr>
            </w:pPr>
            <w:r>
              <w:rPr>
                <w:rFonts w:ascii="Arial" w:cs="Arial" w:eastAsia="Arial" w:hAnsi="Arial"/>
                <w:sz w:val="18"/>
                <w:szCs w:val="18"/>
                <w:color w:val="auto"/>
              </w:rPr>
              <w:t>(49)</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Changes in assets and liabilities:</w:t>
            </w:r>
          </w:p>
        </w:tc>
        <w:tc>
          <w:tcPr>
            <w:tcW w:w="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tcPr>
          <w:p>
            <w:pPr>
              <w:ind w:left="860"/>
              <w:spacing w:after="0"/>
              <w:rPr>
                <w:sz w:val="20"/>
                <w:szCs w:val="20"/>
                <w:color w:val="auto"/>
              </w:rPr>
            </w:pPr>
            <w:r>
              <w:rPr>
                <w:rFonts w:ascii="Arial" w:cs="Arial" w:eastAsia="Arial" w:hAnsi="Arial"/>
                <w:sz w:val="18"/>
                <w:szCs w:val="18"/>
                <w:color w:val="auto"/>
              </w:rPr>
              <w:t>Accounts receivable</w:t>
            </w:r>
          </w:p>
        </w:tc>
        <w:tc>
          <w:tcPr>
            <w:tcW w:w="80" w:type="dxa"/>
            <w:vAlign w:val="bottom"/>
          </w:tcPr>
          <w:p>
            <w:pPr>
              <w:spacing w:after="0"/>
              <w:rPr>
                <w:sz w:val="18"/>
                <w:szCs w:val="18"/>
                <w:color w:val="auto"/>
              </w:rPr>
            </w:pPr>
          </w:p>
        </w:tc>
        <w:tc>
          <w:tcPr>
            <w:tcW w:w="1060" w:type="dxa"/>
            <w:vAlign w:val="bottom"/>
            <w:gridSpan w:val="2"/>
          </w:tcPr>
          <w:p>
            <w:pPr>
              <w:jc w:val="right"/>
              <w:ind w:right="420"/>
              <w:spacing w:after="0"/>
              <w:rPr>
                <w:sz w:val="20"/>
                <w:szCs w:val="20"/>
                <w:color w:val="auto"/>
              </w:rPr>
            </w:pPr>
            <w:r>
              <w:rPr>
                <w:rFonts w:ascii="Arial" w:cs="Arial" w:eastAsia="Arial" w:hAnsi="Arial"/>
                <w:sz w:val="18"/>
                <w:szCs w:val="18"/>
                <w:color w:val="auto"/>
              </w:rPr>
              <w:t>16,002</w:t>
            </w:r>
          </w:p>
        </w:tc>
        <w:tc>
          <w:tcPr>
            <w:tcW w:w="1120" w:type="dxa"/>
            <w:vAlign w:val="bottom"/>
            <w:gridSpan w:val="2"/>
          </w:tcPr>
          <w:p>
            <w:pPr>
              <w:jc w:val="right"/>
              <w:ind w:right="340"/>
              <w:spacing w:after="0"/>
              <w:rPr>
                <w:sz w:val="20"/>
                <w:szCs w:val="20"/>
                <w:color w:val="auto"/>
              </w:rPr>
            </w:pPr>
            <w:r>
              <w:rPr>
                <w:rFonts w:ascii="Arial" w:cs="Arial" w:eastAsia="Arial" w:hAnsi="Arial"/>
                <w:sz w:val="18"/>
                <w:szCs w:val="18"/>
                <w:color w:val="auto"/>
              </w:rPr>
              <w:t>(45,351)</w:t>
            </w:r>
          </w:p>
        </w:tc>
        <w:tc>
          <w:tcPr>
            <w:tcW w:w="10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32,493</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8,298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Inventories</w:t>
            </w: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21,601</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12,037</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29,634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(63,967)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tcPr>
          <w:p>
            <w:pPr>
              <w:ind w:left="860"/>
              <w:spacing w:after="0"/>
              <w:rPr>
                <w:sz w:val="20"/>
                <w:szCs w:val="20"/>
                <w:color w:val="auto"/>
              </w:rPr>
            </w:pPr>
            <w:r>
              <w:rPr>
                <w:rFonts w:ascii="Arial" w:cs="Arial" w:eastAsia="Arial" w:hAnsi="Arial"/>
                <w:sz w:val="18"/>
                <w:szCs w:val="18"/>
                <w:color w:val="auto"/>
              </w:rPr>
              <w:t>Prepaid expenses and other assets</w:t>
            </w:r>
          </w:p>
        </w:tc>
        <w:tc>
          <w:tcPr>
            <w:tcW w:w="80" w:type="dxa"/>
            <w:vAlign w:val="bottom"/>
          </w:tcPr>
          <w:p>
            <w:pPr>
              <w:spacing w:after="0"/>
              <w:rPr>
                <w:sz w:val="18"/>
                <w:szCs w:val="18"/>
                <w:color w:val="auto"/>
              </w:rPr>
            </w:pPr>
          </w:p>
        </w:tc>
        <w:tc>
          <w:tcPr>
            <w:tcW w:w="1060" w:type="dxa"/>
            <w:vAlign w:val="bottom"/>
            <w:gridSpan w:val="2"/>
          </w:tcPr>
          <w:p>
            <w:pPr>
              <w:jc w:val="right"/>
              <w:ind w:right="420"/>
              <w:spacing w:after="0"/>
              <w:rPr>
                <w:sz w:val="20"/>
                <w:szCs w:val="20"/>
                <w:color w:val="auto"/>
              </w:rPr>
            </w:pPr>
            <w:r>
              <w:rPr>
                <w:rFonts w:ascii="Arial" w:cs="Arial" w:eastAsia="Arial" w:hAnsi="Arial"/>
                <w:sz w:val="18"/>
                <w:szCs w:val="18"/>
                <w:color w:val="auto"/>
              </w:rPr>
              <w:t>358</w:t>
            </w:r>
          </w:p>
        </w:tc>
        <w:tc>
          <w:tcPr>
            <w:tcW w:w="720" w:type="dxa"/>
            <w:vAlign w:val="bottom"/>
          </w:tcPr>
          <w:p>
            <w:pPr>
              <w:jc w:val="right"/>
              <w:spacing w:after="0"/>
              <w:rPr>
                <w:sz w:val="20"/>
                <w:szCs w:val="20"/>
                <w:color w:val="auto"/>
              </w:rPr>
            </w:pPr>
            <w:r>
              <w:rPr>
                <w:rFonts w:ascii="Arial" w:cs="Arial" w:eastAsia="Arial" w:hAnsi="Arial"/>
                <w:sz w:val="18"/>
                <w:szCs w:val="18"/>
                <w:color w:val="auto"/>
              </w:rPr>
              <w:t>16,791</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15,993</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34,229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payable</w:t>
            </w: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(54,674)</w:t>
            </w:r>
          </w:p>
        </w:tc>
        <w:tc>
          <w:tcPr>
            <w:tcW w:w="11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(2,806)</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(27,137)</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4,193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tcPr>
          <w:p>
            <w:pPr>
              <w:ind w:left="860"/>
              <w:spacing w:after="0"/>
              <w:rPr>
                <w:sz w:val="20"/>
                <w:szCs w:val="20"/>
                <w:color w:val="auto"/>
              </w:rPr>
            </w:pPr>
            <w:r>
              <w:rPr>
                <w:rFonts w:ascii="Arial" w:cs="Arial" w:eastAsia="Arial" w:hAnsi="Arial"/>
                <w:sz w:val="18"/>
                <w:szCs w:val="18"/>
                <w:color w:val="auto"/>
              </w:rPr>
              <w:t>Accrued liabilities and other</w:t>
            </w:r>
          </w:p>
        </w:tc>
        <w:tc>
          <w:tcPr>
            <w:tcW w:w="8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(3,653)</w:t>
            </w:r>
          </w:p>
        </w:tc>
        <w:tc>
          <w:tcPr>
            <w:tcW w:w="1120" w:type="dxa"/>
            <w:vAlign w:val="bottom"/>
            <w:gridSpan w:val="2"/>
          </w:tcPr>
          <w:p>
            <w:pPr>
              <w:jc w:val="right"/>
              <w:ind w:right="340"/>
              <w:spacing w:after="0"/>
              <w:rPr>
                <w:sz w:val="20"/>
                <w:szCs w:val="20"/>
                <w:color w:val="auto"/>
              </w:rPr>
            </w:pPr>
            <w:r>
              <w:rPr>
                <w:rFonts w:ascii="Arial" w:cs="Arial" w:eastAsia="Arial" w:hAnsi="Arial"/>
                <w:sz w:val="18"/>
                <w:szCs w:val="18"/>
                <w:color w:val="auto"/>
              </w:rPr>
              <w:t>(17,939)</w:t>
            </w:r>
          </w:p>
        </w:tc>
        <w:tc>
          <w:tcPr>
            <w:tcW w:w="10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10,286</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(18,030)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employee compensation</w:t>
            </w: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29,509</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36,191</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4,828</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6,924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tcPr>
          <w:p>
            <w:pPr>
              <w:ind w:left="860"/>
              <w:spacing w:after="0"/>
              <w:rPr>
                <w:sz w:val="20"/>
                <w:szCs w:val="20"/>
                <w:color w:val="auto"/>
              </w:rPr>
            </w:pPr>
            <w:r>
              <w:rPr>
                <w:rFonts w:ascii="Arial" w:cs="Arial" w:eastAsia="Arial" w:hAnsi="Arial"/>
                <w:sz w:val="18"/>
                <w:szCs w:val="18"/>
                <w:color w:val="auto"/>
              </w:rPr>
              <w:t>Deferred income</w:t>
            </w:r>
          </w:p>
        </w:tc>
        <w:tc>
          <w:tcPr>
            <w:tcW w:w="8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(8,382)</w:t>
            </w:r>
          </w:p>
        </w:tc>
        <w:tc>
          <w:tcPr>
            <w:tcW w:w="720" w:type="dxa"/>
            <w:vAlign w:val="bottom"/>
          </w:tcPr>
          <w:p>
            <w:pPr>
              <w:jc w:val="right"/>
              <w:spacing w:after="0"/>
              <w:rPr>
                <w:sz w:val="20"/>
                <w:szCs w:val="20"/>
                <w:color w:val="auto"/>
              </w:rPr>
            </w:pPr>
            <w:r>
              <w:rPr>
                <w:rFonts w:ascii="Arial" w:cs="Arial" w:eastAsia="Arial" w:hAnsi="Arial"/>
                <w:sz w:val="18"/>
                <w:szCs w:val="18"/>
                <w:color w:val="auto"/>
              </w:rPr>
              <w:t>1,417</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360"/>
              <w:spacing w:after="0"/>
              <w:rPr>
                <w:sz w:val="20"/>
                <w:szCs w:val="20"/>
                <w:color w:val="auto"/>
              </w:rPr>
            </w:pPr>
            <w:r>
              <w:rPr>
                <w:rFonts w:ascii="Arial" w:cs="Arial" w:eastAsia="Arial" w:hAnsi="Arial"/>
                <w:sz w:val="18"/>
                <w:szCs w:val="18"/>
                <w:color w:val="auto"/>
              </w:rPr>
              <w:t>(501)</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(6,917)</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68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95"/>
              </w:rPr>
              <w:t>136,577</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261,587</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524,442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702,149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marketable securities</w:t>
            </w: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8"/>
              </w:rPr>
              <w:t>(558,457)</w:t>
            </w:r>
          </w:p>
        </w:tc>
        <w:tc>
          <w:tcPr>
            <w:tcW w:w="11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8"/>
              </w:rPr>
              <w:t>(443,008)</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6"/>
              </w:rPr>
              <w:t>(1,205,364)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9"/>
              </w:rPr>
              <w:t>(1,582,892)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tcPr>
          <w:p>
            <w:pPr>
              <w:ind w:left="420"/>
              <w:spacing w:after="0"/>
              <w:rPr>
                <w:sz w:val="20"/>
                <w:szCs w:val="20"/>
                <w:color w:val="auto"/>
              </w:rPr>
            </w:pPr>
            <w:r>
              <w:rPr>
                <w:rFonts w:ascii="Arial" w:cs="Arial" w:eastAsia="Arial" w:hAnsi="Arial"/>
                <w:sz w:val="18"/>
                <w:szCs w:val="18"/>
                <w:color w:val="auto"/>
              </w:rPr>
              <w:t>Purchases of strategic investments</w:t>
            </w:r>
          </w:p>
        </w:tc>
        <w:tc>
          <w:tcPr>
            <w:tcW w:w="80" w:type="dxa"/>
            <w:vAlign w:val="bottom"/>
          </w:tcPr>
          <w:p>
            <w:pPr>
              <w:spacing w:after="0"/>
              <w:rPr>
                <w:sz w:val="18"/>
                <w:szCs w:val="18"/>
                <w:color w:val="auto"/>
              </w:rPr>
            </w:pPr>
          </w:p>
        </w:tc>
        <w:tc>
          <w:tcPr>
            <w:tcW w:w="106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340"/>
              <w:spacing w:after="0"/>
              <w:rPr>
                <w:sz w:val="20"/>
                <w:szCs w:val="20"/>
                <w:color w:val="auto"/>
              </w:rPr>
            </w:pPr>
            <w:r>
              <w:rPr>
                <w:rFonts w:ascii="Arial" w:cs="Arial" w:eastAsia="Arial" w:hAnsi="Arial"/>
                <w:sz w:val="18"/>
                <w:szCs w:val="18"/>
                <w:color w:val="auto"/>
              </w:rPr>
              <w:t>(1,250)</w:t>
            </w:r>
          </w:p>
        </w:tc>
        <w:tc>
          <w:tcPr>
            <w:tcW w:w="100" w:type="dxa"/>
            <w:vAlign w:val="bottom"/>
          </w:tcPr>
          <w:p>
            <w:pPr>
              <w:spacing w:after="0"/>
              <w:rPr>
                <w:sz w:val="18"/>
                <w:szCs w:val="18"/>
                <w:color w:val="auto"/>
              </w:rPr>
            </w:pPr>
          </w:p>
        </w:tc>
        <w:tc>
          <w:tcPr>
            <w:tcW w:w="1180" w:type="dxa"/>
            <w:vAlign w:val="bottom"/>
            <w:gridSpan w:val="2"/>
          </w:tcPr>
          <w:p>
            <w:pPr>
              <w:jc w:val="right"/>
              <w:ind w:right="360"/>
              <w:spacing w:after="0"/>
              <w:rPr>
                <w:sz w:val="20"/>
                <w:szCs w:val="20"/>
                <w:color w:val="auto"/>
              </w:rPr>
            </w:pPr>
            <w:r>
              <w:rPr>
                <w:rFonts w:ascii="Arial" w:cs="Arial" w:eastAsia="Arial" w:hAnsi="Arial"/>
                <w:sz w:val="18"/>
                <w:szCs w:val="18"/>
                <w:color w:val="auto"/>
              </w:rPr>
              <w:t>(5,750)</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(3,503)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Sales and maturities of investments</w:t>
            </w: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95"/>
              </w:rPr>
              <w:t>436,435</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402,145</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92"/>
              </w:rPr>
              <w:t>1,317,744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4"/>
              </w:rPr>
              <w:t>1,083,214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tcPr>
          <w:p>
            <w:pPr>
              <w:ind w:left="420"/>
              <w:spacing w:after="0"/>
              <w:rPr>
                <w:sz w:val="20"/>
                <w:szCs w:val="20"/>
                <w:color w:val="auto"/>
              </w:rPr>
            </w:pPr>
            <w:r>
              <w:rPr>
                <w:rFonts w:ascii="Arial" w:cs="Arial" w:eastAsia="Arial" w:hAnsi="Arial"/>
                <w:sz w:val="18"/>
                <w:szCs w:val="18"/>
                <w:color w:val="auto"/>
              </w:rPr>
              <w:t>Cash paid for acquisitions, net</w:t>
            </w:r>
          </w:p>
        </w:tc>
        <w:tc>
          <w:tcPr>
            <w:tcW w:w="8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(1,000)</w:t>
            </w:r>
          </w:p>
        </w:tc>
        <w:tc>
          <w:tcPr>
            <w:tcW w:w="1120" w:type="dxa"/>
            <w:vAlign w:val="bottom"/>
            <w:gridSpan w:val="2"/>
          </w:tcPr>
          <w:p>
            <w:pPr>
              <w:jc w:val="right"/>
              <w:ind w:right="340"/>
              <w:spacing w:after="0"/>
              <w:rPr>
                <w:sz w:val="20"/>
                <w:szCs w:val="20"/>
                <w:color w:val="auto"/>
              </w:rPr>
            </w:pPr>
            <w:r>
              <w:rPr>
                <w:rFonts w:ascii="Arial" w:cs="Arial" w:eastAsia="Arial" w:hAnsi="Arial"/>
                <w:sz w:val="18"/>
                <w:szCs w:val="18"/>
                <w:color w:val="auto"/>
              </w:rPr>
              <w:t>(2,000)</w:t>
            </w:r>
          </w:p>
        </w:tc>
        <w:tc>
          <w:tcPr>
            <w:tcW w:w="100" w:type="dxa"/>
            <w:vAlign w:val="bottom"/>
          </w:tcPr>
          <w:p>
            <w:pPr>
              <w:spacing w:after="0"/>
              <w:rPr>
                <w:sz w:val="18"/>
                <w:szCs w:val="18"/>
                <w:color w:val="auto"/>
              </w:rPr>
            </w:pPr>
          </w:p>
        </w:tc>
        <w:tc>
          <w:tcPr>
            <w:tcW w:w="1180" w:type="dxa"/>
            <w:vAlign w:val="bottom"/>
            <w:gridSpan w:val="2"/>
          </w:tcPr>
          <w:p>
            <w:pPr>
              <w:jc w:val="right"/>
              <w:ind w:right="360"/>
              <w:spacing w:after="0"/>
              <w:rPr>
                <w:sz w:val="20"/>
                <w:szCs w:val="20"/>
                <w:color w:val="auto"/>
              </w:rPr>
            </w:pPr>
            <w:r>
              <w:rPr>
                <w:rFonts w:ascii="Arial" w:cs="Arial" w:eastAsia="Arial" w:hAnsi="Arial"/>
                <w:sz w:val="18"/>
                <w:szCs w:val="18"/>
                <w:color w:val="auto"/>
              </w:rPr>
              <w:t>(1,000)</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(18,760)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technology licenses</w:t>
            </w: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(4,235)</w:t>
            </w:r>
          </w:p>
        </w:tc>
        <w:tc>
          <w:tcPr>
            <w:tcW w:w="11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(2,978)</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(10,687)</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(9,593)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tcPr>
          <w:p>
            <w:pPr>
              <w:ind w:left="420"/>
              <w:spacing w:after="0"/>
              <w:rPr>
                <w:sz w:val="20"/>
                <w:szCs w:val="20"/>
                <w:color w:val="auto"/>
              </w:rPr>
            </w:pPr>
            <w:r>
              <w:rPr>
                <w:rFonts w:ascii="Arial" w:cs="Arial" w:eastAsia="Arial" w:hAnsi="Arial"/>
                <w:sz w:val="18"/>
                <w:szCs w:val="18"/>
                <w:color w:val="auto"/>
              </w:rPr>
              <w:t>Purchases of property and equipment</w:t>
            </w:r>
          </w:p>
        </w:tc>
        <w:tc>
          <w:tcPr>
            <w:tcW w:w="8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(19,356)</w:t>
            </w:r>
          </w:p>
        </w:tc>
        <w:tc>
          <w:tcPr>
            <w:tcW w:w="1120" w:type="dxa"/>
            <w:vAlign w:val="bottom"/>
            <w:gridSpan w:val="2"/>
          </w:tcPr>
          <w:p>
            <w:pPr>
              <w:jc w:val="right"/>
              <w:ind w:right="340"/>
              <w:spacing w:after="0"/>
              <w:rPr>
                <w:sz w:val="20"/>
                <w:szCs w:val="20"/>
                <w:color w:val="auto"/>
              </w:rPr>
            </w:pPr>
            <w:r>
              <w:rPr>
                <w:rFonts w:ascii="Arial" w:cs="Arial" w:eastAsia="Arial" w:hAnsi="Arial"/>
                <w:sz w:val="18"/>
                <w:szCs w:val="18"/>
                <w:color w:val="auto"/>
              </w:rPr>
              <w:t>(20,085)</w:t>
            </w:r>
          </w:p>
        </w:tc>
        <w:tc>
          <w:tcPr>
            <w:tcW w:w="100" w:type="dxa"/>
            <w:vAlign w:val="bottom"/>
          </w:tcPr>
          <w:p>
            <w:pPr>
              <w:spacing w:after="0"/>
              <w:rPr>
                <w:sz w:val="18"/>
                <w:szCs w:val="18"/>
                <w:color w:val="auto"/>
              </w:rPr>
            </w:pPr>
          </w:p>
        </w:tc>
        <w:tc>
          <w:tcPr>
            <w:tcW w:w="1180" w:type="dxa"/>
            <w:vAlign w:val="bottom"/>
            <w:gridSpan w:val="2"/>
          </w:tcPr>
          <w:p>
            <w:pPr>
              <w:jc w:val="right"/>
              <w:ind w:right="360"/>
              <w:spacing w:after="0"/>
              <w:rPr>
                <w:sz w:val="20"/>
                <w:szCs w:val="20"/>
                <w:color w:val="auto"/>
              </w:rPr>
            </w:pPr>
            <w:r>
              <w:rPr>
                <w:rFonts w:ascii="Arial" w:cs="Arial" w:eastAsia="Arial" w:hAnsi="Arial"/>
                <w:sz w:val="18"/>
                <w:szCs w:val="18"/>
                <w:color w:val="auto"/>
              </w:rPr>
              <w:t>(49,090)</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(62,330)</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68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(used in) investing activities</w:t>
            </w: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8"/>
              </w:rPr>
              <w:t>(146,613)</w:t>
            </w:r>
          </w:p>
        </w:tc>
        <w:tc>
          <w:tcPr>
            <w:tcW w:w="11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(67,176)</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45,853</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(593,864)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Repurchase of common stock</w:t>
            </w: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8"/>
              </w:rPr>
              <w:t>(202,987)</w:t>
            </w:r>
          </w:p>
        </w:tc>
        <w:tc>
          <w:tcPr>
            <w:tcW w:w="11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8"/>
              </w:rPr>
              <w:t>(215,155)</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(676,471)</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9"/>
              </w:rPr>
              <w:t>(1,154,396)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tcPr>
          <w:p>
            <w:pPr>
              <w:ind w:left="420"/>
              <w:spacing w:after="0"/>
              <w:rPr>
                <w:sz w:val="20"/>
                <w:szCs w:val="20"/>
                <w:color w:val="auto"/>
              </w:rPr>
            </w:pPr>
            <w:r>
              <w:rPr>
                <w:rFonts w:ascii="Arial" w:cs="Arial" w:eastAsia="Arial" w:hAnsi="Arial"/>
                <w:sz w:val="18"/>
                <w:szCs w:val="18"/>
                <w:color w:val="auto"/>
              </w:rPr>
              <w:t>Proceeds from employee stock plans</w:t>
            </w:r>
          </w:p>
        </w:tc>
        <w:tc>
          <w:tcPr>
            <w:tcW w:w="80" w:type="dxa"/>
            <w:vAlign w:val="bottom"/>
          </w:tcPr>
          <w:p>
            <w:pPr>
              <w:spacing w:after="0"/>
              <w:rPr>
                <w:sz w:val="18"/>
                <w:szCs w:val="18"/>
                <w:color w:val="auto"/>
              </w:rPr>
            </w:pPr>
          </w:p>
        </w:tc>
        <w:tc>
          <w:tcPr>
            <w:tcW w:w="1060" w:type="dxa"/>
            <w:vAlign w:val="bottom"/>
            <w:gridSpan w:val="2"/>
          </w:tcPr>
          <w:p>
            <w:pPr>
              <w:jc w:val="right"/>
              <w:ind w:right="420"/>
              <w:spacing w:after="0"/>
              <w:rPr>
                <w:sz w:val="20"/>
                <w:szCs w:val="20"/>
                <w:color w:val="auto"/>
              </w:rPr>
            </w:pPr>
            <w:r>
              <w:rPr>
                <w:rFonts w:ascii="Arial" w:cs="Arial" w:eastAsia="Arial" w:hAnsi="Arial"/>
                <w:sz w:val="18"/>
                <w:szCs w:val="18"/>
                <w:color w:val="auto"/>
              </w:rPr>
              <w:t>8,915</w:t>
            </w:r>
          </w:p>
        </w:tc>
        <w:tc>
          <w:tcPr>
            <w:tcW w:w="720" w:type="dxa"/>
            <w:vAlign w:val="bottom"/>
          </w:tcPr>
          <w:p>
            <w:pPr>
              <w:jc w:val="right"/>
              <w:spacing w:after="0"/>
              <w:rPr>
                <w:sz w:val="20"/>
                <w:szCs w:val="20"/>
                <w:color w:val="auto"/>
              </w:rPr>
            </w:pPr>
            <w:r>
              <w:rPr>
                <w:rFonts w:ascii="Arial" w:cs="Arial" w:eastAsia="Arial" w:hAnsi="Arial"/>
                <w:sz w:val="18"/>
                <w:szCs w:val="18"/>
                <w:color w:val="auto"/>
              </w:rPr>
              <w:t>8,942</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66,244</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55,565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(345)</w:t>
            </w:r>
          </w:p>
        </w:tc>
        <w:tc>
          <w:tcPr>
            <w:tcW w:w="11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(304)</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(9,822)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(5,172)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tcPr>
          <w:p>
            <w:pPr>
              <w:ind w:left="420"/>
              <w:spacing w:after="0"/>
              <w:rPr>
                <w:sz w:val="20"/>
                <w:szCs w:val="20"/>
                <w:color w:val="auto"/>
              </w:rPr>
            </w:pPr>
            <w:r>
              <w:rPr>
                <w:rFonts w:ascii="Arial" w:cs="Arial" w:eastAsia="Arial" w:hAnsi="Arial"/>
                <w:sz w:val="18"/>
                <w:szCs w:val="18"/>
                <w:color w:val="auto"/>
              </w:rPr>
              <w:t>Dividend payment to shareholders</w:t>
            </w:r>
          </w:p>
        </w:tc>
        <w:tc>
          <w:tcPr>
            <w:tcW w:w="8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(33,476)</w:t>
            </w:r>
          </w:p>
        </w:tc>
        <w:tc>
          <w:tcPr>
            <w:tcW w:w="112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180" w:type="dxa"/>
            <w:vAlign w:val="bottom"/>
            <w:gridSpan w:val="2"/>
          </w:tcPr>
          <w:p>
            <w:pPr>
              <w:jc w:val="right"/>
              <w:ind w:right="360"/>
              <w:spacing w:after="0"/>
              <w:rPr>
                <w:sz w:val="20"/>
                <w:szCs w:val="20"/>
                <w:color w:val="auto"/>
              </w:rPr>
            </w:pPr>
            <w:r>
              <w:rPr>
                <w:rFonts w:ascii="Arial" w:cs="Arial" w:eastAsia="Arial" w:hAnsi="Arial"/>
                <w:sz w:val="18"/>
                <w:szCs w:val="18"/>
                <w:color w:val="auto"/>
              </w:rPr>
              <w:t>(67,013)</w:t>
            </w:r>
          </w:p>
        </w:tc>
        <w:tc>
          <w:tcPr>
            <w:tcW w:w="100" w:type="dxa"/>
            <w:vAlign w:val="bottom"/>
          </w:tcPr>
          <w:p>
            <w:pPr>
              <w:spacing w:after="0"/>
              <w:rPr>
                <w:sz w:val="18"/>
                <w:szCs w:val="18"/>
                <w:color w:val="auto"/>
              </w:rPr>
            </w:pP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Principal payments on capital lease obligations</w:t>
            </w: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Pr>
          <w:p>
            <w:pPr>
              <w:spacing w:after="0"/>
              <w:rPr>
                <w:sz w:val="18"/>
                <w:szCs w:val="18"/>
                <w:color w:val="auto"/>
              </w:rPr>
            </w:pPr>
          </w:p>
        </w:tc>
        <w:tc>
          <w:tcPr>
            <w:tcW w:w="1060" w:type="dxa"/>
            <w:vAlign w:val="bottom"/>
            <w:gridSpan w:val="2"/>
          </w:tcPr>
          <w:p>
            <w:pPr>
              <w:jc w:val="right"/>
              <w:ind w:right="420"/>
              <w:spacing w:after="0"/>
              <w:rPr>
                <w:sz w:val="20"/>
                <w:szCs w:val="20"/>
                <w:color w:val="auto"/>
              </w:rPr>
            </w:pPr>
            <w:r>
              <w:rPr>
                <w:rFonts w:ascii="Arial" w:cs="Arial" w:eastAsia="Arial" w:hAnsi="Arial"/>
                <w:sz w:val="18"/>
                <w:szCs w:val="18"/>
                <w:color w:val="auto"/>
              </w:rPr>
              <w:t>5</w:t>
            </w:r>
          </w:p>
        </w:tc>
        <w:tc>
          <w:tcPr>
            <w:tcW w:w="720" w:type="dxa"/>
            <w:vAlign w:val="bottom"/>
          </w:tcPr>
          <w:p>
            <w:pPr>
              <w:jc w:val="right"/>
              <w:spacing w:after="0"/>
              <w:rPr>
                <w:sz w:val="20"/>
                <w:szCs w:val="20"/>
                <w:color w:val="auto"/>
              </w:rPr>
            </w:pPr>
            <w:r>
              <w:rPr>
                <w:rFonts w:ascii="Arial" w:cs="Arial" w:eastAsia="Arial" w:hAnsi="Arial"/>
                <w:sz w:val="18"/>
                <w:szCs w:val="18"/>
                <w:color w:val="auto"/>
              </w:rPr>
              <w:t>85</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49</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99</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68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used in financing activities</w:t>
            </w: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8"/>
              </w:rPr>
              <w:t>(227,888)</w:t>
            </w:r>
          </w:p>
        </w:tc>
        <w:tc>
          <w:tcPr>
            <w:tcW w:w="11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98"/>
              </w:rPr>
              <w:t>(206,432)</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(687,013)</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9"/>
              </w:rPr>
              <w:t>(1,104,415)</w:t>
            </w:r>
          </w:p>
        </w:tc>
        <w:tc>
          <w:tcPr>
            <w:tcW w:w="0" w:type="dxa"/>
            <w:vAlign w:val="bottom"/>
          </w:tcPr>
          <w:p>
            <w:pPr>
              <w:spacing w:after="0"/>
              <w:rPr>
                <w:sz w:val="1"/>
                <w:szCs w:val="1"/>
                <w:color w:val="auto"/>
              </w:rPr>
            </w:pPr>
          </w:p>
        </w:tc>
      </w:tr>
      <w:tr>
        <w:trPr>
          <w:trHeight w:val="20"/>
        </w:trPr>
        <w:tc>
          <w:tcPr>
            <w:tcW w:w="6900" w:type="dxa"/>
            <w:vAlign w:val="bottom"/>
            <w:gridSpan w:val="2"/>
            <w:vMerge w:val="restart"/>
          </w:tcPr>
          <w:p>
            <w:pPr>
              <w:spacing w:after="0"/>
              <w:rPr>
                <w:sz w:val="20"/>
                <w:szCs w:val="20"/>
                <w:color w:val="auto"/>
              </w:rPr>
            </w:pPr>
            <w:r>
              <w:rPr>
                <w:rFonts w:ascii="Arial" w:cs="Arial" w:eastAsia="Arial" w:hAnsi="Arial"/>
                <w:sz w:val="18"/>
                <w:szCs w:val="18"/>
                <w:color w:val="auto"/>
              </w:rPr>
              <w:t>Net decrease in cash and cash equivalents</w:t>
            </w:r>
          </w:p>
        </w:tc>
        <w:tc>
          <w:tcPr>
            <w:tcW w:w="8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900" w:type="dxa"/>
            <w:vAlign w:val="bottom"/>
            <w:gridSpan w:val="2"/>
            <w:vMerge w:val="continue"/>
          </w:tcPr>
          <w:p>
            <w:pPr>
              <w:spacing w:after="0"/>
              <w:rPr>
                <w:sz w:val="19"/>
                <w:szCs w:val="19"/>
                <w:color w:val="auto"/>
              </w:rPr>
            </w:pPr>
          </w:p>
        </w:tc>
        <w:tc>
          <w:tcPr>
            <w:tcW w:w="80" w:type="dxa"/>
            <w:vAlign w:val="bottom"/>
          </w:tcPr>
          <w:p>
            <w:pPr>
              <w:spacing w:after="0"/>
              <w:rPr>
                <w:sz w:val="19"/>
                <w:szCs w:val="19"/>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w w:val="88"/>
              </w:rPr>
              <w:t>(237,924)</w:t>
            </w:r>
          </w:p>
        </w:tc>
        <w:tc>
          <w:tcPr>
            <w:tcW w:w="1120" w:type="dxa"/>
            <w:vAlign w:val="bottom"/>
            <w:gridSpan w:val="2"/>
          </w:tcPr>
          <w:p>
            <w:pPr>
              <w:jc w:val="right"/>
              <w:ind w:right="340"/>
              <w:spacing w:after="0"/>
              <w:rPr>
                <w:sz w:val="20"/>
                <w:szCs w:val="20"/>
                <w:color w:val="auto"/>
              </w:rPr>
            </w:pPr>
            <w:r>
              <w:rPr>
                <w:rFonts w:ascii="Arial" w:cs="Arial" w:eastAsia="Arial" w:hAnsi="Arial"/>
                <w:sz w:val="18"/>
                <w:szCs w:val="18"/>
                <w:color w:val="auto"/>
              </w:rPr>
              <w:t>(12,021)</w:t>
            </w:r>
          </w:p>
        </w:tc>
        <w:tc>
          <w:tcPr>
            <w:tcW w:w="100" w:type="dxa"/>
            <w:vAlign w:val="bottom"/>
          </w:tcPr>
          <w:p>
            <w:pPr>
              <w:spacing w:after="0"/>
              <w:rPr>
                <w:sz w:val="19"/>
                <w:szCs w:val="19"/>
                <w:color w:val="auto"/>
              </w:rPr>
            </w:pPr>
          </w:p>
        </w:tc>
        <w:tc>
          <w:tcPr>
            <w:tcW w:w="1180" w:type="dxa"/>
            <w:vAlign w:val="bottom"/>
            <w:gridSpan w:val="2"/>
          </w:tcPr>
          <w:p>
            <w:pPr>
              <w:jc w:val="right"/>
              <w:ind w:right="360"/>
              <w:spacing w:after="0"/>
              <w:rPr>
                <w:sz w:val="20"/>
                <w:szCs w:val="20"/>
                <w:color w:val="auto"/>
              </w:rPr>
            </w:pPr>
            <w:r>
              <w:rPr>
                <w:rFonts w:ascii="Arial" w:cs="Arial" w:eastAsia="Arial" w:hAnsi="Arial"/>
                <w:sz w:val="18"/>
                <w:szCs w:val="18"/>
                <w:color w:val="auto"/>
              </w:rPr>
              <w:t>(116,718)</w:t>
            </w:r>
          </w:p>
        </w:tc>
        <w:tc>
          <w:tcPr>
            <w:tcW w:w="100" w:type="dxa"/>
            <w:vAlign w:val="bottom"/>
          </w:tcPr>
          <w:p>
            <w:pPr>
              <w:spacing w:after="0"/>
              <w:rPr>
                <w:sz w:val="19"/>
                <w:szCs w:val="19"/>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(996,130)</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68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88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95"/>
              </w:rPr>
              <w:t>906,108</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862,965</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784,902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4"/>
              </w:rPr>
              <w:t>1,847,074</w:t>
            </w:r>
          </w:p>
        </w:tc>
        <w:tc>
          <w:tcPr>
            <w:tcW w:w="0" w:type="dxa"/>
            <w:vAlign w:val="bottom"/>
          </w:tcPr>
          <w:p>
            <w:pPr>
              <w:spacing w:after="0"/>
              <w:rPr>
                <w:sz w:val="1"/>
                <w:szCs w:val="1"/>
                <w:color w:val="auto"/>
              </w:rPr>
            </w:pPr>
          </w:p>
        </w:tc>
      </w:tr>
      <w:tr>
        <w:trPr>
          <w:trHeight w:val="20"/>
        </w:trPr>
        <w:tc>
          <w:tcPr>
            <w:tcW w:w="6900" w:type="dxa"/>
            <w:vAlign w:val="bottom"/>
            <w:gridSpan w:val="2"/>
            <w:vMerge w:val="restart"/>
          </w:tcPr>
          <w:p>
            <w:pPr>
              <w:spacing w:after="0"/>
              <w:rPr>
                <w:sz w:val="20"/>
                <w:szCs w:val="20"/>
                <w:color w:val="auto"/>
              </w:rPr>
            </w:pPr>
            <w:r>
              <w:rPr>
                <w:rFonts w:ascii="Arial" w:cs="Arial" w:eastAsia="Arial" w:hAnsi="Arial"/>
                <w:sz w:val="18"/>
                <w:szCs w:val="18"/>
                <w:color w:val="auto"/>
              </w:rPr>
              <w:t>Cash and cash equivalents at end of period</w:t>
            </w:r>
          </w:p>
        </w:tc>
        <w:tc>
          <w:tcPr>
            <w:tcW w:w="8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6900" w:type="dxa"/>
            <w:vAlign w:val="bottom"/>
            <w:gridSpan w:val="2"/>
            <w:vMerge w:val="continue"/>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60" w:type="dxa"/>
            <w:vAlign w:val="bottom"/>
            <w:gridSpan w:val="2"/>
          </w:tcPr>
          <w:p>
            <w:pPr>
              <w:jc w:val="right"/>
              <w:ind w:right="420"/>
              <w:spacing w:after="0"/>
              <w:rPr>
                <w:sz w:val="20"/>
                <w:szCs w:val="20"/>
                <w:color w:val="auto"/>
              </w:rPr>
            </w:pPr>
            <w:r>
              <w:rPr>
                <w:rFonts w:ascii="Arial" w:cs="Arial" w:eastAsia="Arial" w:hAnsi="Arial"/>
                <w:sz w:val="18"/>
                <w:szCs w:val="18"/>
                <w:color w:val="auto"/>
                <w:w w:val="95"/>
              </w:rPr>
              <w:t>668,184</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$ 850,944</w:t>
            </w:r>
          </w:p>
        </w:tc>
        <w:tc>
          <w:tcPr>
            <w:tcW w:w="40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668,184</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850,944</w:t>
            </w:r>
          </w:p>
        </w:tc>
        <w:tc>
          <w:tcPr>
            <w:tcW w:w="0" w:type="dxa"/>
            <w:vAlign w:val="bottom"/>
          </w:tcPr>
          <w:p>
            <w:pPr>
              <w:spacing w:after="0"/>
              <w:rPr>
                <w:sz w:val="1"/>
                <w:szCs w:val="1"/>
                <w:color w:val="auto"/>
              </w:rPr>
            </w:pPr>
          </w:p>
        </w:tc>
      </w:tr>
      <w:tr>
        <w:trPr>
          <w:trHeight w:val="20"/>
        </w:trPr>
        <w:tc>
          <w:tcPr>
            <w:tcW w:w="6900" w:type="dxa"/>
            <w:vAlign w:val="bottom"/>
            <w:gridSpan w:val="2"/>
            <w:vMerge w:val="restart"/>
          </w:tcPr>
          <w:p>
            <w:pPr>
              <w:jc w:val="right"/>
              <w:ind w:right="1052"/>
              <w:spacing w:after="0"/>
              <w:rPr>
                <w:sz w:val="20"/>
                <w:szCs w:val="20"/>
                <w:color w:val="auto"/>
              </w:rPr>
            </w:pPr>
            <w:r>
              <w:rPr>
                <w:rFonts w:ascii="Arial" w:cs="Arial" w:eastAsia="Arial" w:hAnsi="Arial"/>
                <w:sz w:val="18"/>
                <w:szCs w:val="18"/>
                <w:color w:val="auto"/>
              </w:rPr>
              <w:t>9</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6900" w:type="dxa"/>
            <w:vAlign w:val="bottom"/>
            <w:gridSpan w:val="2"/>
            <w:vMerge w:val="continue"/>
          </w:tcPr>
          <w:p>
            <w:pPr>
              <w:spacing w:after="0"/>
              <w:rPr>
                <w:sz w:val="24"/>
                <w:szCs w:val="24"/>
                <w:color w:val="auto"/>
              </w:rPr>
            </w:pPr>
          </w:p>
        </w:tc>
        <w:tc>
          <w:tcPr>
            <w:tcW w:w="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lowerLetter"/>
      <w:start w:val="4"/>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jpe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2019-12-09T12:47:01Z</dcterms:created>
  <dcterms:modified xsi:type="dcterms:W3CDTF">2019-12-09T12:47:01Z</dcterms:modified>
</cp:coreProperties>
</file>