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1"/>
        </w:trPr>
        <w:tc>
          <w:tcPr>
            <w:tcW w:w="7620" w:type="dxa"/>
            <w:vAlign w:val="bottom"/>
            <w:gridSpan w:val="2"/>
            <w:vMerge w:val="restart"/>
          </w:tcPr>
          <w:p>
            <w:pPr>
              <w:jc w:val="center"/>
              <w:ind w:left="2974"/>
              <w:spacing w:after="0"/>
              <w:rPr>
                <w:sz w:val="20"/>
                <w:szCs w:val="20"/>
                <w:color w:val="auto"/>
              </w:rPr>
            </w:pPr>
            <w:r>
              <w:rPr>
                <w:rFonts w:ascii="Arial" w:cs="Arial" w:eastAsia="Arial" w:hAnsi="Arial"/>
                <w:sz w:val="17"/>
                <w:szCs w:val="17"/>
                <w:b w:val="1"/>
                <w:bCs w:val="1"/>
                <w:color w:val="auto"/>
              </w:rPr>
              <w:t>UNITED STATES</w:t>
            </w:r>
          </w:p>
        </w:tc>
        <w:tc>
          <w:tcPr>
            <w:tcW w:w="18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65"/>
        </w:trPr>
        <w:tc>
          <w:tcPr>
            <w:tcW w:w="7620" w:type="dxa"/>
            <w:vAlign w:val="bottom"/>
            <w:gridSpan w:val="2"/>
            <w:vMerge w:val="continue"/>
          </w:tcPr>
          <w:p>
            <w:pPr>
              <w:spacing w:after="0"/>
              <w:rPr>
                <w:sz w:val="14"/>
                <w:szCs w:val="14"/>
                <w:color w:val="auto"/>
              </w:rPr>
            </w:pPr>
          </w:p>
        </w:tc>
        <w:tc>
          <w:tcPr>
            <w:tcW w:w="1840" w:type="dxa"/>
            <w:vAlign w:val="bottom"/>
            <w:tcBorders>
              <w:right w:val="single" w:sz="8" w:color="auto"/>
            </w:tcBorders>
            <w:gridSpan w:val="2"/>
          </w:tcPr>
          <w:p>
            <w:pPr>
              <w:spacing w:after="0" w:line="165" w:lineRule="exact"/>
              <w:rPr>
                <w:sz w:val="20"/>
                <w:szCs w:val="20"/>
                <w:color w:val="auto"/>
              </w:rPr>
            </w:pPr>
            <w:r>
              <w:rPr>
                <w:rFonts w:ascii="Arial" w:cs="Arial" w:eastAsia="Arial" w:hAnsi="Arial"/>
                <w:sz w:val="17"/>
                <w:szCs w:val="17"/>
                <w:color w:val="auto"/>
              </w:rPr>
              <w:t>OMB APPROVAL</w:t>
            </w:r>
          </w:p>
        </w:tc>
        <w:tc>
          <w:tcPr>
            <w:tcW w:w="19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560" w:type="dxa"/>
            <w:vAlign w:val="bottom"/>
            <w:vMerge w:val="restart"/>
          </w:tcPr>
          <w:p>
            <w:pPr>
              <w:jc w:val="center"/>
              <w:ind w:left="3054"/>
              <w:spacing w:after="0"/>
              <w:rPr>
                <w:sz w:val="20"/>
                <w:szCs w:val="20"/>
                <w:color w:val="auto"/>
              </w:rPr>
            </w:pPr>
            <w:r>
              <w:rPr>
                <w:rFonts w:ascii="Arial" w:cs="Arial" w:eastAsia="Arial" w:hAnsi="Arial"/>
                <w:sz w:val="17"/>
                <w:szCs w:val="17"/>
                <w:b w:val="1"/>
                <w:bCs w:val="1"/>
                <w:color w:val="auto"/>
              </w:rPr>
              <w:t>SECURITIES AND EXCHANGE COMMISSION</w:t>
            </w:r>
          </w:p>
        </w:tc>
        <w:tc>
          <w:tcPr>
            <w:tcW w:w="60" w:type="dxa"/>
            <w:vAlign w:val="bottom"/>
            <w:vMerge w:val="restart"/>
          </w:tcPr>
          <w:p>
            <w:pPr>
              <w:spacing w:after="0"/>
              <w:rPr>
                <w:sz w:val="4"/>
                <w:szCs w:val="4"/>
                <w:color w:val="auto"/>
              </w:rPr>
            </w:pPr>
          </w:p>
        </w:tc>
        <w:tc>
          <w:tcPr>
            <w:tcW w:w="1800" w:type="dxa"/>
            <w:vAlign w:val="bottom"/>
            <w:tcBorders>
              <w:bottom w:val="single" w:sz="8" w:color="auto"/>
            </w:tcBorders>
          </w:tcPr>
          <w:p>
            <w:pPr>
              <w:spacing w:after="0"/>
              <w:rPr>
                <w:sz w:val="4"/>
                <w:szCs w:val="4"/>
                <w:color w:val="auto"/>
              </w:rPr>
            </w:pPr>
          </w:p>
        </w:tc>
        <w:tc>
          <w:tcPr>
            <w:tcW w:w="40" w:type="dxa"/>
            <w:vAlign w:val="bottom"/>
            <w:tcBorders>
              <w:bottom w:val="single" w:sz="8" w:color="auto"/>
              <w:right w:val="single" w:sz="8" w:color="auto"/>
            </w:tcBorders>
          </w:tcPr>
          <w:p>
            <w:pPr>
              <w:spacing w:after="0"/>
              <w:rPr>
                <w:sz w:val="4"/>
                <w:szCs w:val="4"/>
                <w:color w:val="auto"/>
              </w:rPr>
            </w:pPr>
          </w:p>
        </w:tc>
        <w:tc>
          <w:tcPr>
            <w:tcW w:w="19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0"/>
        </w:trPr>
        <w:tc>
          <w:tcPr>
            <w:tcW w:w="7560" w:type="dxa"/>
            <w:vAlign w:val="bottom"/>
            <w:vMerge w:val="continue"/>
          </w:tcPr>
          <w:p>
            <w:pPr>
              <w:spacing w:after="0" w:line="20" w:lineRule="exact"/>
              <w:rPr>
                <w:sz w:val="1"/>
                <w:szCs w:val="1"/>
                <w:color w:val="auto"/>
              </w:rPr>
            </w:pPr>
          </w:p>
        </w:tc>
        <w:tc>
          <w:tcPr>
            <w:tcW w:w="60" w:type="dxa"/>
            <w:vAlign w:val="bottom"/>
            <w:vMerge w:val="continue"/>
          </w:tcPr>
          <w:p>
            <w:pPr>
              <w:spacing w:after="0" w:line="20" w:lineRule="exact"/>
              <w:rPr>
                <w:sz w:val="1"/>
                <w:szCs w:val="1"/>
                <w:color w:val="auto"/>
              </w:rPr>
            </w:pPr>
          </w:p>
        </w:tc>
        <w:tc>
          <w:tcPr>
            <w:tcW w:w="1800" w:type="dxa"/>
            <w:vAlign w:val="bottom"/>
            <w:vMerge w:val="restart"/>
          </w:tcPr>
          <w:p>
            <w:pPr>
              <w:spacing w:after="0" w:line="158" w:lineRule="exact"/>
              <w:rPr>
                <w:sz w:val="20"/>
                <w:szCs w:val="20"/>
                <w:color w:val="auto"/>
              </w:rPr>
            </w:pPr>
            <w:r>
              <w:rPr>
                <w:rFonts w:ascii="Arial" w:cs="Arial" w:eastAsia="Arial" w:hAnsi="Arial"/>
                <w:sz w:val="17"/>
                <w:szCs w:val="17"/>
                <w:color w:val="auto"/>
                <w:w w:val="93"/>
              </w:rPr>
              <w:t>OMB Number:3235-0145</w:t>
            </w:r>
          </w:p>
        </w:tc>
        <w:tc>
          <w:tcPr>
            <w:tcW w:w="4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8"/>
        </w:trPr>
        <w:tc>
          <w:tcPr>
            <w:tcW w:w="7560" w:type="dxa"/>
            <w:vAlign w:val="bottom"/>
            <w:vMerge w:val="continue"/>
          </w:tcPr>
          <w:p>
            <w:pPr>
              <w:spacing w:after="0"/>
              <w:rPr>
                <w:sz w:val="11"/>
                <w:szCs w:val="11"/>
                <w:color w:val="auto"/>
              </w:rPr>
            </w:pPr>
          </w:p>
        </w:tc>
        <w:tc>
          <w:tcPr>
            <w:tcW w:w="60" w:type="dxa"/>
            <w:vAlign w:val="bottom"/>
            <w:tcBorders>
              <w:right w:val="single" w:sz="8" w:color="auto"/>
            </w:tcBorders>
            <w:shd w:val="clear" w:color="auto" w:fill="000000"/>
          </w:tcPr>
          <w:p>
            <w:pPr>
              <w:spacing w:after="0"/>
              <w:rPr>
                <w:sz w:val="11"/>
                <w:szCs w:val="11"/>
                <w:color w:val="auto"/>
              </w:rPr>
            </w:pPr>
          </w:p>
        </w:tc>
        <w:tc>
          <w:tcPr>
            <w:tcW w:w="1800" w:type="dxa"/>
            <w:vAlign w:val="bottom"/>
            <w:vMerge w:val="continue"/>
          </w:tcPr>
          <w:p>
            <w:pPr>
              <w:spacing w:after="0"/>
              <w:rPr>
                <w:sz w:val="11"/>
                <w:szCs w:val="11"/>
                <w:color w:val="auto"/>
              </w:rPr>
            </w:pPr>
          </w:p>
        </w:tc>
        <w:tc>
          <w:tcPr>
            <w:tcW w:w="40" w:type="dxa"/>
            <w:vAlign w:val="bottom"/>
            <w:tcBorders>
              <w:right w:val="single" w:sz="8" w:color="auto"/>
            </w:tcBorders>
            <w:shd w:val="clear" w:color="auto" w:fill="000000"/>
          </w:tcPr>
          <w:p>
            <w:pPr>
              <w:spacing w:after="0"/>
              <w:rPr>
                <w:sz w:val="11"/>
                <w:szCs w:val="11"/>
                <w:color w:val="auto"/>
              </w:rPr>
            </w:pPr>
          </w:p>
        </w:tc>
        <w:tc>
          <w:tcPr>
            <w:tcW w:w="19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46"/>
        </w:trPr>
        <w:tc>
          <w:tcPr>
            <w:tcW w:w="7560" w:type="dxa"/>
            <w:vAlign w:val="bottom"/>
          </w:tcPr>
          <w:p>
            <w:pPr>
              <w:jc w:val="center"/>
              <w:ind w:left="3034"/>
              <w:spacing w:after="0"/>
              <w:rPr>
                <w:sz w:val="20"/>
                <w:szCs w:val="20"/>
                <w:color w:val="auto"/>
              </w:rPr>
            </w:pPr>
            <w:r>
              <w:rPr>
                <w:rFonts w:ascii="Arial" w:cs="Arial" w:eastAsia="Arial" w:hAnsi="Arial"/>
                <w:sz w:val="17"/>
                <w:szCs w:val="17"/>
                <w:b w:val="1"/>
                <w:bCs w:val="1"/>
                <w:color w:val="auto"/>
                <w:w w:val="91"/>
              </w:rPr>
              <w:t>Washington, D.C. 20549</w:t>
            </w:r>
          </w:p>
        </w:tc>
        <w:tc>
          <w:tcPr>
            <w:tcW w:w="60" w:type="dxa"/>
            <w:vAlign w:val="bottom"/>
            <w:tcBorders>
              <w:right w:val="single" w:sz="8" w:color="auto"/>
            </w:tcBorders>
            <w:shd w:val="clear" w:color="auto" w:fill="000000"/>
          </w:tcPr>
          <w:p>
            <w:pPr>
              <w:spacing w:after="0"/>
              <w:rPr>
                <w:sz w:val="21"/>
                <w:szCs w:val="21"/>
                <w:color w:val="auto"/>
              </w:rPr>
            </w:pPr>
          </w:p>
        </w:tc>
        <w:tc>
          <w:tcPr>
            <w:tcW w:w="1800" w:type="dxa"/>
            <w:vAlign w:val="bottom"/>
          </w:tcPr>
          <w:p>
            <w:pPr>
              <w:spacing w:after="0"/>
              <w:rPr>
                <w:sz w:val="20"/>
                <w:szCs w:val="20"/>
                <w:color w:val="auto"/>
              </w:rPr>
            </w:pPr>
            <w:r>
              <w:rPr>
                <w:rFonts w:ascii="Arial" w:cs="Arial" w:eastAsia="Arial" w:hAnsi="Arial"/>
                <w:sz w:val="17"/>
                <w:szCs w:val="17"/>
                <w:color w:val="auto"/>
                <w:w w:val="98"/>
              </w:rPr>
              <w:t>Expires:   February   28,</w:t>
            </w:r>
          </w:p>
        </w:tc>
        <w:tc>
          <w:tcPr>
            <w:tcW w:w="40" w:type="dxa"/>
            <w:vAlign w:val="bottom"/>
            <w:tcBorders>
              <w:right w:val="single" w:sz="8" w:color="auto"/>
            </w:tcBorders>
            <w:shd w:val="clear" w:color="auto" w:fill="000000"/>
          </w:tcPr>
          <w:p>
            <w:pPr>
              <w:spacing w:after="0"/>
              <w:rPr>
                <w:sz w:val="21"/>
                <w:szCs w:val="21"/>
                <w:color w:val="auto"/>
              </w:rPr>
            </w:pPr>
          </w:p>
        </w:tc>
        <w:tc>
          <w:tcPr>
            <w:tcW w:w="19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6"/>
        </w:trPr>
        <w:tc>
          <w:tcPr>
            <w:tcW w:w="7560" w:type="dxa"/>
            <w:vAlign w:val="bottom"/>
          </w:tcPr>
          <w:p>
            <w:pPr>
              <w:spacing w:after="0"/>
              <w:rPr>
                <w:sz w:val="17"/>
                <w:szCs w:val="17"/>
                <w:color w:val="auto"/>
              </w:rPr>
            </w:pPr>
          </w:p>
        </w:tc>
        <w:tc>
          <w:tcPr>
            <w:tcW w:w="60" w:type="dxa"/>
            <w:vAlign w:val="bottom"/>
            <w:tcBorders>
              <w:right w:val="single" w:sz="8" w:color="auto"/>
            </w:tcBorders>
            <w:shd w:val="clear" w:color="auto" w:fill="000000"/>
          </w:tcPr>
          <w:p>
            <w:pPr>
              <w:spacing w:after="0"/>
              <w:rPr>
                <w:sz w:val="17"/>
                <w:szCs w:val="17"/>
                <w:color w:val="auto"/>
              </w:rPr>
            </w:pPr>
          </w:p>
        </w:tc>
        <w:tc>
          <w:tcPr>
            <w:tcW w:w="1800" w:type="dxa"/>
            <w:vAlign w:val="bottom"/>
          </w:tcPr>
          <w:p>
            <w:pPr>
              <w:spacing w:after="0"/>
              <w:rPr>
                <w:sz w:val="20"/>
                <w:szCs w:val="20"/>
                <w:color w:val="auto"/>
              </w:rPr>
            </w:pPr>
            <w:r>
              <w:rPr>
                <w:rFonts w:ascii="Arial" w:cs="Arial" w:eastAsia="Arial" w:hAnsi="Arial"/>
                <w:sz w:val="17"/>
                <w:szCs w:val="17"/>
                <w:color w:val="auto"/>
              </w:rPr>
              <w:t>2009</w:t>
            </w:r>
          </w:p>
        </w:tc>
        <w:tc>
          <w:tcPr>
            <w:tcW w:w="40" w:type="dxa"/>
            <w:vAlign w:val="bottom"/>
            <w:tcBorders>
              <w:right w:val="single" w:sz="8" w:color="auto"/>
            </w:tcBorders>
            <w:shd w:val="clear" w:color="auto" w:fill="000000"/>
          </w:tcPr>
          <w:p>
            <w:pPr>
              <w:spacing w:after="0"/>
              <w:rPr>
                <w:sz w:val="17"/>
                <w:szCs w:val="17"/>
                <w:color w:val="auto"/>
              </w:rPr>
            </w:pPr>
          </w:p>
        </w:tc>
        <w:tc>
          <w:tcPr>
            <w:tcW w:w="19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7560" w:type="dxa"/>
            <w:vAlign w:val="bottom"/>
          </w:tcPr>
          <w:p>
            <w:pPr>
              <w:spacing w:after="0"/>
              <w:rPr>
                <w:sz w:val="17"/>
                <w:szCs w:val="17"/>
                <w:color w:val="auto"/>
              </w:rPr>
            </w:pPr>
          </w:p>
        </w:tc>
        <w:tc>
          <w:tcPr>
            <w:tcW w:w="60" w:type="dxa"/>
            <w:vAlign w:val="bottom"/>
            <w:tcBorders>
              <w:right w:val="single" w:sz="8" w:color="auto"/>
            </w:tcBorders>
            <w:shd w:val="clear" w:color="auto" w:fill="000000"/>
          </w:tcPr>
          <w:p>
            <w:pPr>
              <w:spacing w:after="0"/>
              <w:rPr>
                <w:sz w:val="17"/>
                <w:szCs w:val="17"/>
                <w:color w:val="auto"/>
              </w:rPr>
            </w:pPr>
          </w:p>
        </w:tc>
        <w:tc>
          <w:tcPr>
            <w:tcW w:w="1800" w:type="dxa"/>
            <w:vAlign w:val="bottom"/>
          </w:tcPr>
          <w:p>
            <w:pPr>
              <w:spacing w:after="0"/>
              <w:rPr>
                <w:sz w:val="20"/>
                <w:szCs w:val="20"/>
                <w:color w:val="auto"/>
              </w:rPr>
            </w:pPr>
            <w:r>
              <w:rPr>
                <w:rFonts w:ascii="Arial" w:cs="Arial" w:eastAsia="Arial" w:hAnsi="Arial"/>
                <w:sz w:val="17"/>
                <w:szCs w:val="17"/>
                <w:color w:val="auto"/>
                <w:w w:val="89"/>
              </w:rPr>
              <w:t>Estimated average burden</w:t>
            </w:r>
          </w:p>
        </w:tc>
        <w:tc>
          <w:tcPr>
            <w:tcW w:w="40" w:type="dxa"/>
            <w:vAlign w:val="bottom"/>
            <w:tcBorders>
              <w:right w:val="single" w:sz="8" w:color="auto"/>
            </w:tcBorders>
            <w:shd w:val="clear" w:color="auto" w:fill="000000"/>
          </w:tcPr>
          <w:p>
            <w:pPr>
              <w:spacing w:after="0"/>
              <w:rPr>
                <w:sz w:val="17"/>
                <w:szCs w:val="17"/>
                <w:color w:val="auto"/>
              </w:rPr>
            </w:pPr>
          </w:p>
        </w:tc>
        <w:tc>
          <w:tcPr>
            <w:tcW w:w="19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7560" w:type="dxa"/>
            <w:vAlign w:val="bottom"/>
          </w:tcPr>
          <w:p>
            <w:pPr>
              <w:spacing w:after="0"/>
              <w:rPr>
                <w:sz w:val="19"/>
                <w:szCs w:val="19"/>
                <w:color w:val="auto"/>
              </w:rPr>
            </w:pPr>
          </w:p>
        </w:tc>
        <w:tc>
          <w:tcPr>
            <w:tcW w:w="60" w:type="dxa"/>
            <w:vAlign w:val="bottom"/>
            <w:tcBorders>
              <w:bottom w:val="single" w:sz="8" w:color="auto"/>
              <w:right w:val="single" w:sz="8" w:color="auto"/>
            </w:tcBorders>
            <w:shd w:val="clear" w:color="auto" w:fill="000000"/>
          </w:tcPr>
          <w:p>
            <w:pPr>
              <w:spacing w:after="0"/>
              <w:rPr>
                <w:sz w:val="19"/>
                <w:szCs w:val="19"/>
                <w:color w:val="auto"/>
              </w:rPr>
            </w:pPr>
          </w:p>
        </w:tc>
        <w:tc>
          <w:tcPr>
            <w:tcW w:w="1800" w:type="dxa"/>
            <w:vAlign w:val="bottom"/>
            <w:tcBorders>
              <w:bottom w:val="single" w:sz="8" w:color="auto"/>
            </w:tcBorders>
          </w:tcPr>
          <w:p>
            <w:pPr>
              <w:spacing w:after="0"/>
              <w:rPr>
                <w:sz w:val="20"/>
                <w:szCs w:val="20"/>
                <w:color w:val="auto"/>
              </w:rPr>
            </w:pPr>
            <w:r>
              <w:rPr>
                <w:rFonts w:ascii="Arial" w:cs="Arial" w:eastAsia="Arial" w:hAnsi="Arial"/>
                <w:sz w:val="17"/>
                <w:szCs w:val="17"/>
                <w:color w:val="auto"/>
                <w:w w:val="88"/>
              </w:rPr>
              <w:t>hours per response… 10.4</w:t>
            </w:r>
          </w:p>
        </w:tc>
        <w:tc>
          <w:tcPr>
            <w:tcW w:w="40" w:type="dxa"/>
            <w:vAlign w:val="bottom"/>
            <w:tcBorders>
              <w:bottom w:val="single" w:sz="8" w:color="auto"/>
              <w:right w:val="single" w:sz="8" w:color="auto"/>
            </w:tcBorders>
            <w:shd w:val="clear" w:color="auto" w:fill="000000"/>
          </w:tcPr>
          <w:p>
            <w:pPr>
              <w:spacing w:after="0"/>
              <w:rPr>
                <w:sz w:val="19"/>
                <w:szCs w:val="19"/>
                <w:color w:val="auto"/>
              </w:rPr>
            </w:pPr>
          </w:p>
        </w:tc>
        <w:tc>
          <w:tcPr>
            <w:tcW w:w="1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1"/>
        </w:trPr>
        <w:tc>
          <w:tcPr>
            <w:tcW w:w="7620" w:type="dxa"/>
            <w:vAlign w:val="bottom"/>
            <w:gridSpan w:val="2"/>
          </w:tcPr>
          <w:p>
            <w:pPr>
              <w:jc w:val="center"/>
              <w:ind w:left="3714"/>
              <w:spacing w:after="0"/>
              <w:rPr>
                <w:sz w:val="20"/>
                <w:szCs w:val="20"/>
                <w:color w:val="auto"/>
              </w:rPr>
            </w:pPr>
            <w:r>
              <w:rPr>
                <w:rFonts w:ascii="Arial" w:cs="Arial" w:eastAsia="Arial" w:hAnsi="Arial"/>
                <w:sz w:val="17"/>
                <w:szCs w:val="17"/>
                <w:b w:val="1"/>
                <w:bCs w:val="1"/>
                <w:color w:val="auto"/>
                <w:w w:val="99"/>
              </w:rPr>
              <w:t>SCHEDULE 13G</w:t>
            </w:r>
          </w:p>
        </w:tc>
        <w:tc>
          <w:tcPr>
            <w:tcW w:w="1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9"/>
        </w:trPr>
        <w:tc>
          <w:tcPr>
            <w:tcW w:w="7620" w:type="dxa"/>
            <w:vAlign w:val="bottom"/>
            <w:gridSpan w:val="2"/>
          </w:tcPr>
          <w:p>
            <w:pPr>
              <w:jc w:val="center"/>
              <w:ind w:left="3714"/>
              <w:spacing w:after="0"/>
              <w:rPr>
                <w:sz w:val="20"/>
                <w:szCs w:val="20"/>
                <w:color w:val="auto"/>
              </w:rPr>
            </w:pPr>
            <w:r>
              <w:rPr>
                <w:rFonts w:ascii="Arial" w:cs="Arial" w:eastAsia="Arial" w:hAnsi="Arial"/>
                <w:sz w:val="17"/>
                <w:szCs w:val="17"/>
                <w:b w:val="1"/>
                <w:bCs w:val="1"/>
                <w:color w:val="auto"/>
                <w:w w:val="90"/>
              </w:rPr>
              <w:t>Under the Securities Exchange Act of 1934</w:t>
            </w:r>
          </w:p>
        </w:tc>
        <w:tc>
          <w:tcPr>
            <w:tcW w:w="1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9"/>
        </w:trPr>
        <w:tc>
          <w:tcPr>
            <w:tcW w:w="7620" w:type="dxa"/>
            <w:vAlign w:val="bottom"/>
            <w:gridSpan w:val="2"/>
          </w:tcPr>
          <w:p>
            <w:pPr>
              <w:jc w:val="center"/>
              <w:ind w:left="3714"/>
              <w:spacing w:after="0"/>
              <w:rPr>
                <w:sz w:val="20"/>
                <w:szCs w:val="20"/>
                <w:color w:val="auto"/>
              </w:rPr>
            </w:pPr>
            <w:r>
              <w:rPr>
                <w:rFonts w:ascii="Arial" w:cs="Arial" w:eastAsia="Arial" w:hAnsi="Arial"/>
                <w:sz w:val="17"/>
                <w:szCs w:val="17"/>
                <w:b w:val="1"/>
                <w:bCs w:val="1"/>
                <w:color w:val="auto"/>
                <w:w w:val="95"/>
              </w:rPr>
              <w:t>(Amendment No. ___)*</w:t>
            </w:r>
          </w:p>
        </w:tc>
        <w:tc>
          <w:tcPr>
            <w:tcW w:w="18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72"/>
        </w:trPr>
        <w:tc>
          <w:tcPr>
            <w:tcW w:w="7620" w:type="dxa"/>
            <w:vAlign w:val="bottom"/>
            <w:tcBorders>
              <w:bottom w:val="single" w:sz="8" w:color="auto"/>
            </w:tcBorders>
            <w:gridSpan w:val="2"/>
          </w:tcPr>
          <w:p>
            <w:pPr>
              <w:jc w:val="center"/>
              <w:ind w:left="3714"/>
              <w:spacing w:after="0"/>
              <w:rPr>
                <w:sz w:val="20"/>
                <w:szCs w:val="20"/>
                <w:color w:val="auto"/>
              </w:rPr>
            </w:pPr>
            <w:r>
              <w:rPr>
                <w:rFonts w:ascii="Arial" w:cs="Arial" w:eastAsia="Arial" w:hAnsi="Arial"/>
                <w:sz w:val="17"/>
                <w:szCs w:val="17"/>
                <w:b w:val="1"/>
                <w:bCs w:val="1"/>
                <w:color w:val="auto"/>
                <w:w w:val="93"/>
              </w:rPr>
              <w:t>Marvell Technology Group Ltd.</w:t>
            </w:r>
          </w:p>
        </w:tc>
        <w:tc>
          <w:tcPr>
            <w:tcW w:w="18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1"/>
        </w:trPr>
        <w:tc>
          <w:tcPr>
            <w:tcW w:w="7620" w:type="dxa"/>
            <w:vAlign w:val="bottom"/>
            <w:gridSpan w:val="2"/>
          </w:tcPr>
          <w:p>
            <w:pPr>
              <w:jc w:val="center"/>
              <w:ind w:left="3734"/>
              <w:spacing w:after="0"/>
              <w:rPr>
                <w:sz w:val="20"/>
                <w:szCs w:val="20"/>
                <w:color w:val="auto"/>
              </w:rPr>
            </w:pPr>
            <w:r>
              <w:rPr>
                <w:rFonts w:ascii="Arial" w:cs="Arial" w:eastAsia="Arial" w:hAnsi="Arial"/>
                <w:sz w:val="17"/>
                <w:szCs w:val="17"/>
                <w:color w:val="auto"/>
                <w:w w:val="91"/>
              </w:rPr>
              <w:t>(Name of Issuer)</w:t>
            </w:r>
          </w:p>
        </w:tc>
        <w:tc>
          <w:tcPr>
            <w:tcW w:w="18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27"/>
        </w:trPr>
        <w:tc>
          <w:tcPr>
            <w:tcW w:w="7620" w:type="dxa"/>
            <w:vAlign w:val="bottom"/>
            <w:tcBorders>
              <w:bottom w:val="single" w:sz="8" w:color="auto"/>
            </w:tcBorders>
            <w:gridSpan w:val="2"/>
          </w:tcPr>
          <w:p>
            <w:pPr>
              <w:jc w:val="center"/>
              <w:ind w:left="3714"/>
              <w:spacing w:after="0"/>
              <w:rPr>
                <w:sz w:val="20"/>
                <w:szCs w:val="20"/>
                <w:color w:val="auto"/>
              </w:rPr>
            </w:pPr>
            <w:r>
              <w:rPr>
                <w:rFonts w:ascii="Arial" w:cs="Arial" w:eastAsia="Arial" w:hAnsi="Arial"/>
                <w:sz w:val="17"/>
                <w:szCs w:val="17"/>
                <w:b w:val="1"/>
                <w:bCs w:val="1"/>
                <w:color w:val="auto"/>
                <w:w w:val="90"/>
              </w:rPr>
              <w:t>Common shares, par value $0.002 per share</w:t>
            </w:r>
          </w:p>
        </w:tc>
        <w:tc>
          <w:tcPr>
            <w:tcW w:w="18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1"/>
        </w:trPr>
        <w:tc>
          <w:tcPr>
            <w:tcW w:w="7620" w:type="dxa"/>
            <w:vAlign w:val="bottom"/>
            <w:gridSpan w:val="2"/>
          </w:tcPr>
          <w:p>
            <w:pPr>
              <w:jc w:val="center"/>
              <w:ind w:left="3714"/>
              <w:spacing w:after="0"/>
              <w:rPr>
                <w:sz w:val="20"/>
                <w:szCs w:val="20"/>
                <w:color w:val="auto"/>
              </w:rPr>
            </w:pPr>
            <w:r>
              <w:rPr>
                <w:rFonts w:ascii="Arial" w:cs="Arial" w:eastAsia="Arial" w:hAnsi="Arial"/>
                <w:sz w:val="17"/>
                <w:szCs w:val="17"/>
                <w:color w:val="auto"/>
                <w:w w:val="93"/>
              </w:rPr>
              <w:t>(Title of Class of Securities)</w:t>
            </w:r>
          </w:p>
        </w:tc>
        <w:tc>
          <w:tcPr>
            <w:tcW w:w="18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27"/>
        </w:trPr>
        <w:tc>
          <w:tcPr>
            <w:tcW w:w="7620" w:type="dxa"/>
            <w:vAlign w:val="bottom"/>
            <w:tcBorders>
              <w:bottom w:val="single" w:sz="8" w:color="auto"/>
            </w:tcBorders>
            <w:gridSpan w:val="2"/>
          </w:tcPr>
          <w:p>
            <w:pPr>
              <w:jc w:val="center"/>
              <w:ind w:left="3714"/>
              <w:spacing w:after="0"/>
              <w:rPr>
                <w:sz w:val="20"/>
                <w:szCs w:val="20"/>
                <w:color w:val="auto"/>
              </w:rPr>
            </w:pPr>
            <w:r>
              <w:rPr>
                <w:rFonts w:ascii="Arial" w:cs="Arial" w:eastAsia="Arial" w:hAnsi="Arial"/>
                <w:sz w:val="17"/>
                <w:szCs w:val="17"/>
                <w:b w:val="1"/>
                <w:bCs w:val="1"/>
                <w:color w:val="auto"/>
                <w:w w:val="93"/>
              </w:rPr>
              <w:t>G5876H105</w:t>
            </w:r>
          </w:p>
        </w:tc>
        <w:tc>
          <w:tcPr>
            <w:tcW w:w="18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9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1"/>
        </w:trPr>
        <w:tc>
          <w:tcPr>
            <w:tcW w:w="7620" w:type="dxa"/>
            <w:vAlign w:val="bottom"/>
            <w:gridSpan w:val="2"/>
          </w:tcPr>
          <w:p>
            <w:pPr>
              <w:jc w:val="center"/>
              <w:ind w:left="3714"/>
              <w:spacing w:after="0"/>
              <w:rPr>
                <w:sz w:val="20"/>
                <w:szCs w:val="20"/>
                <w:color w:val="auto"/>
              </w:rPr>
            </w:pPr>
            <w:r>
              <w:rPr>
                <w:rFonts w:ascii="Arial" w:cs="Arial" w:eastAsia="Arial" w:hAnsi="Arial"/>
                <w:sz w:val="17"/>
                <w:szCs w:val="17"/>
                <w:color w:val="auto"/>
                <w:w w:val="94"/>
              </w:rPr>
              <w:t>(CUSIP Number)</w:t>
            </w:r>
          </w:p>
        </w:tc>
        <w:tc>
          <w:tcPr>
            <w:tcW w:w="18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3"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July 16,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10"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(Date of Event which Requires Filing of this Statement)</w:t>
      </w:r>
    </w:p>
    <w:p>
      <w:pPr>
        <w:spacing w:after="0" w:line="243"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43" w:lineRule="exact"/>
        <w:rPr>
          <w:sz w:val="24"/>
          <w:szCs w:val="24"/>
          <w:color w:val="auto"/>
        </w:rPr>
      </w:pPr>
    </w:p>
    <w:p>
      <w:pPr>
        <w:ind w:left="40"/>
        <w:spacing w:after="0"/>
        <w:tabs>
          <w:tab w:leader="none" w:pos="700" w:val="left"/>
        </w:tabs>
        <w:rPr>
          <w:sz w:val="20"/>
          <w:szCs w:val="20"/>
          <w:color w:val="auto"/>
        </w:rPr>
      </w:pPr>
      <w:r>
        <w:rPr>
          <w:rFonts w:ascii="Arial" w:cs="Arial" w:eastAsia="Arial" w:hAnsi="Arial"/>
          <w:sz w:val="17"/>
          <w:szCs w:val="17"/>
          <w:color w:val="auto"/>
        </w:rPr>
        <w:t>[ ]</w:t>
      </w:r>
      <w:r>
        <w:rPr>
          <w:sz w:val="20"/>
          <w:szCs w:val="20"/>
          <w:color w:val="auto"/>
        </w:rPr>
        <w:tab/>
      </w:r>
      <w:r>
        <w:rPr>
          <w:rFonts w:ascii="Arial" w:cs="Arial" w:eastAsia="Arial" w:hAnsi="Arial"/>
          <w:sz w:val="15"/>
          <w:szCs w:val="15"/>
          <w:color w:val="auto"/>
        </w:rPr>
        <w:t>Rule 13d-1(b)</w:t>
      </w:r>
    </w:p>
    <w:p>
      <w:pPr>
        <w:spacing w:after="0" w:line="243" w:lineRule="exact"/>
        <w:rPr>
          <w:sz w:val="24"/>
          <w:szCs w:val="24"/>
          <w:color w:val="auto"/>
        </w:rPr>
      </w:pPr>
    </w:p>
    <w:p>
      <w:pPr>
        <w:ind w:left="720" w:hanging="674"/>
        <w:spacing w:after="0"/>
        <w:tabs>
          <w:tab w:leader="none" w:pos="720" w:val="left"/>
        </w:tabs>
        <w:numPr>
          <w:ilvl w:val="1"/>
          <w:numId w:val="1"/>
        </w:numPr>
        <w:rPr>
          <w:rFonts w:ascii="Arial" w:cs="Arial" w:eastAsia="Arial" w:hAnsi="Arial"/>
          <w:sz w:val="17"/>
          <w:szCs w:val="17"/>
          <w:color w:val="auto"/>
        </w:rPr>
      </w:pPr>
      <w:r>
        <w:rPr>
          <w:rFonts w:ascii="Arial" w:cs="Arial" w:eastAsia="Arial" w:hAnsi="Arial"/>
          <w:sz w:val="17"/>
          <w:szCs w:val="17"/>
          <w:color w:val="auto"/>
        </w:rPr>
        <w:t>Rule 13d-1(c)</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13d-1(d)</w:t>
      </w:r>
    </w:p>
    <w:p>
      <w:pPr>
        <w:spacing w:after="0" w:line="243" w:lineRule="exact"/>
        <w:rPr>
          <w:rFonts w:ascii="Arial" w:cs="Arial" w:eastAsia="Arial" w:hAnsi="Arial"/>
          <w:sz w:val="17"/>
          <w:szCs w:val="17"/>
          <w:color w:val="auto"/>
        </w:rPr>
      </w:pPr>
    </w:p>
    <w:p>
      <w:pPr>
        <w:jc w:val="both"/>
        <w:ind w:right="160"/>
        <w:spacing w:after="0" w:line="266" w:lineRule="auto"/>
        <w:rPr>
          <w:rFonts w:ascii="Arial" w:cs="Arial" w:eastAsia="Arial" w:hAnsi="Arial"/>
          <w:sz w:val="17"/>
          <w:szCs w:val="17"/>
          <w:color w:val="auto"/>
        </w:rPr>
      </w:pPr>
      <w:r>
        <w:rPr>
          <w:rFonts w:ascii="Arial" w:cs="Arial" w:eastAsia="Arial" w:hAnsi="Arial"/>
          <w:sz w:val="17"/>
          <w:szCs w:val="17"/>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 Beneficial ownership information contained herein is given as of the date listed above.</w:t>
      </w:r>
    </w:p>
    <w:p>
      <w:pPr>
        <w:spacing w:after="0" w:line="176" w:lineRule="exact"/>
        <w:rPr>
          <w:sz w:val="24"/>
          <w:szCs w:val="24"/>
          <w:color w:val="auto"/>
        </w:rPr>
      </w:pPr>
    </w:p>
    <w:p>
      <w:pPr>
        <w:ind w:firstLine="606"/>
        <w:spacing w:after="0" w:line="31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210185</wp:posOffset>
            </wp:positionV>
            <wp:extent cx="7257415" cy="20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224" w:right="239" w:bottom="1440" w:gutter="0" w:footer="0" w:header="0"/>
        </w:sectPr>
      </w:pPr>
    </w:p>
    <w:bookmarkStart w:id="1" w:name="page2"/>
    <w:bookmarkEnd w:id="1"/>
    <w:p>
      <w:pPr>
        <w:spacing w:after="0" w:line="20" w:lineRule="exact"/>
        <w:rPr>
          <w:sz w:val="20"/>
          <w:szCs w:val="20"/>
          <w:color w:val="auto"/>
        </w:rPr>
      </w:pPr>
    </w:p>
    <w:p>
      <w:pPr>
        <w:sectPr>
          <w:pgSz w:w="11900" w:h="16838" w:orient="portrait"/>
          <w:cols w:equalWidth="1" w:num="1" w:space="0"/>
          <w:pgMar w:left="1440" w:top="1440" w:right="1440" w:bottom="875" w:gutter="0" w:footer="0" w:header="0"/>
        </w:sectPr>
      </w:pPr>
    </w:p>
    <w:bookmarkStart w:id="2" w:name="page3"/>
    <w:bookmarkEnd w:id="2"/>
    <w:p>
      <w:pPr>
        <w:ind w:left="580" w:right="8820" w:hanging="577"/>
        <w:spacing w:after="0" w:line="296" w:lineRule="auto"/>
        <w:tabs>
          <w:tab w:leader="none" w:pos="580" w:val="left"/>
        </w:tabs>
        <w:numPr>
          <w:ilvl w:val="0"/>
          <w:numId w:val="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236220</wp:posOffset>
            </wp:positionV>
            <wp:extent cx="7252970" cy="165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16510"/>
                    </a:xfrm>
                    <a:prstGeom prst="rect">
                      <a:avLst/>
                    </a:prstGeom>
                    <a:noFill/>
                  </pic:spPr>
                </pic:pic>
              </a:graphicData>
            </a:graphic>
          </wp:anchor>
        </w:drawing>
        <w:t>Names of Reporting Persons. Greenlight Capital,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92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7,696,503</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7,696,503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7,696,503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 Represented by Amount in Row (9) 1.4%**</w:t>
      </w:r>
    </w:p>
    <w:p>
      <w:pPr>
        <w:ind w:left="580" w:hanging="577"/>
        <w:spacing w:after="0"/>
        <w:tabs>
          <w:tab w:leader="none" w:pos="580" w:val="left"/>
        </w:tabs>
        <w:numPr>
          <w:ilvl w:val="0"/>
          <w:numId w:val="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165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8"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385" w:right="239" w:bottom="1440" w:gutter="0" w:footer="0" w:header="0"/>
        </w:sectPr>
      </w:pPr>
    </w:p>
    <w:bookmarkStart w:id="3" w:name="page4"/>
    <w:bookmarkEnd w:id="3"/>
    <w:p>
      <w:pPr>
        <w:ind w:left="580" w:right="8820" w:hanging="577"/>
        <w:spacing w:after="0" w:line="296" w:lineRule="auto"/>
        <w:tabs>
          <w:tab w:leader="none" w:pos="580" w:val="left"/>
        </w:tabs>
        <w:numPr>
          <w:ilvl w:val="0"/>
          <w:numId w:val="8"/>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165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2970" cy="16510"/>
                    </a:xfrm>
                    <a:prstGeom prst="rect">
                      <a:avLst/>
                    </a:prstGeom>
                    <a:noFill/>
                  </pic:spPr>
                </pic:pic>
              </a:graphicData>
            </a:graphic>
          </wp:anchor>
        </w:drawing>
        <w:t>Names of Reporting Persons. Greenlight Capital,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11"/>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92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18,780,825</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18,780,825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18,780,825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13"/>
        </w:numPr>
        <w:rPr>
          <w:rFonts w:ascii="Arial" w:cs="Arial" w:eastAsia="Arial" w:hAnsi="Arial"/>
          <w:sz w:val="17"/>
          <w:szCs w:val="17"/>
          <w:color w:val="auto"/>
        </w:rPr>
      </w:pPr>
      <w:r>
        <w:rPr>
          <w:rFonts w:ascii="Arial" w:cs="Arial" w:eastAsia="Arial" w:hAnsi="Arial"/>
          <w:sz w:val="17"/>
          <w:szCs w:val="17"/>
          <w:color w:val="auto"/>
        </w:rPr>
        <w:t>Percent of Class Represented by Amount in Row (9) 3.3%**</w:t>
      </w:r>
    </w:p>
    <w:p>
      <w:pPr>
        <w:ind w:left="580" w:hanging="577"/>
        <w:spacing w:after="0"/>
        <w:tabs>
          <w:tab w:leader="none" w:pos="5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165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8"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27" w:right="239" w:bottom="1440" w:gutter="0" w:footer="0" w:header="0"/>
        </w:sectPr>
      </w:pPr>
    </w:p>
    <w:bookmarkStart w:id="4" w:name="page5"/>
    <w:bookmarkEnd w:id="4"/>
    <w:p>
      <w:pPr>
        <w:jc w:val="both"/>
        <w:ind w:left="580" w:right="8820" w:hanging="577"/>
        <w:spacing w:after="0" w:line="296" w:lineRule="auto"/>
        <w:tabs>
          <w:tab w:leader="none" w:pos="580" w:val="left"/>
        </w:tabs>
        <w:numPr>
          <w:ilvl w:val="0"/>
          <w:numId w:val="14"/>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165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2970" cy="16510"/>
                    </a:xfrm>
                    <a:prstGeom prst="rect">
                      <a:avLst/>
                    </a:prstGeom>
                    <a:noFill/>
                  </pic:spPr>
                </pic:pic>
              </a:graphicData>
            </a:graphic>
          </wp:anchor>
        </w:drawing>
        <w:t>Names of Reporting Persons. DME Management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15"/>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16"/>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17"/>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92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3,271,101</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3,271,101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18"/>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3,271,101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19"/>
        </w:numPr>
        <w:rPr>
          <w:rFonts w:ascii="Arial" w:cs="Arial" w:eastAsia="Arial" w:hAnsi="Arial"/>
          <w:sz w:val="17"/>
          <w:szCs w:val="17"/>
          <w:color w:val="auto"/>
        </w:rPr>
      </w:pPr>
      <w:r>
        <w:rPr>
          <w:rFonts w:ascii="Arial" w:cs="Arial" w:eastAsia="Arial" w:hAnsi="Arial"/>
          <w:sz w:val="17"/>
          <w:szCs w:val="17"/>
          <w:color w:val="auto"/>
        </w:rPr>
        <w:t>Percent of Class Represented by Amount in Row (9) 0.6%**</w:t>
      </w:r>
    </w:p>
    <w:p>
      <w:pPr>
        <w:ind w:left="580" w:hanging="577"/>
        <w:spacing w:after="0"/>
        <w:tabs>
          <w:tab w:leader="none" w:pos="5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165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8"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27" w:right="239" w:bottom="1440" w:gutter="0" w:footer="0" w:header="0"/>
        </w:sectPr>
      </w:pPr>
    </w:p>
    <w:bookmarkStart w:id="5" w:name="page6"/>
    <w:bookmarkEnd w:id="5"/>
    <w:p>
      <w:pPr>
        <w:ind w:left="580" w:right="8820" w:hanging="577"/>
        <w:spacing w:after="0" w:line="277" w:lineRule="auto"/>
        <w:tabs>
          <w:tab w:leader="none" w:pos="580" w:val="left"/>
        </w:tabs>
        <w:numPr>
          <w:ilvl w:val="0"/>
          <w:numId w:val="2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1651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2970" cy="16510"/>
                    </a:xfrm>
                    <a:prstGeom prst="rect">
                      <a:avLst/>
                    </a:prstGeom>
                    <a:noFill/>
                  </pic:spPr>
                </pic:pic>
              </a:graphicData>
            </a:graphic>
          </wp:anchor>
        </w:drawing>
        <w:t>Names of Reporting Persons. DME Advisors,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635</wp:posOffset>
            </wp:positionV>
            <wp:extent cx="7252970"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21"/>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22"/>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92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4,162,600</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4,162,600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2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4,162,600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25"/>
        </w:numPr>
        <w:rPr>
          <w:rFonts w:ascii="Arial" w:cs="Arial" w:eastAsia="Arial" w:hAnsi="Arial"/>
          <w:sz w:val="17"/>
          <w:szCs w:val="17"/>
          <w:color w:val="auto"/>
        </w:rPr>
      </w:pPr>
      <w:r>
        <w:rPr>
          <w:rFonts w:ascii="Arial" w:cs="Arial" w:eastAsia="Arial" w:hAnsi="Arial"/>
          <w:sz w:val="17"/>
          <w:szCs w:val="17"/>
          <w:color w:val="auto"/>
        </w:rPr>
        <w:t>Percent of Class Represented by Amount in Row (9) 0.7%**</w:t>
      </w:r>
    </w:p>
    <w:p>
      <w:pPr>
        <w:ind w:left="580" w:hanging="577"/>
        <w:spacing w:after="0"/>
        <w:tabs>
          <w:tab w:leader="none" w:pos="58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59" w:right="239" w:bottom="1440" w:gutter="0" w:footer="0" w:header="0"/>
        </w:sectPr>
      </w:pPr>
    </w:p>
    <w:bookmarkStart w:id="6" w:name="page7"/>
    <w:bookmarkEnd w:id="6"/>
    <w:p>
      <w:pPr>
        <w:ind w:left="580" w:right="8680" w:hanging="577"/>
        <w:spacing w:after="0" w:line="296" w:lineRule="auto"/>
        <w:tabs>
          <w:tab w:leader="none" w:pos="580" w:val="left"/>
        </w:tabs>
        <w:numPr>
          <w:ilvl w:val="0"/>
          <w:numId w:val="26"/>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1651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2970" cy="16510"/>
                    </a:xfrm>
                    <a:prstGeom prst="rect">
                      <a:avLst/>
                    </a:prstGeom>
                    <a:noFill/>
                  </pic:spPr>
                </pic:pic>
              </a:graphicData>
            </a:graphic>
          </wp:anchor>
        </w:drawing>
        <w:t>Names of Reporting Persons. DME Capital Management,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27"/>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28"/>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29"/>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69"/>
        </w:trPr>
        <w:tc>
          <w:tcPr>
            <w:tcW w:w="920" w:type="dxa"/>
            <w:vAlign w:val="bottom"/>
            <w:tcBorders>
              <w:top w:val="single" w:sz="8" w:color="auto"/>
            </w:tcBorders>
          </w:tcPr>
          <w:p>
            <w:pPr>
              <w:jc w:val="center"/>
              <w:spacing w:after="0" w:line="169"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line="169" w:lineRule="exact"/>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69"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6,517,754</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6,517,754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30"/>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6,517,754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31"/>
        </w:numPr>
        <w:rPr>
          <w:rFonts w:ascii="Arial" w:cs="Arial" w:eastAsia="Arial" w:hAnsi="Arial"/>
          <w:sz w:val="17"/>
          <w:szCs w:val="17"/>
          <w:color w:val="auto"/>
        </w:rPr>
      </w:pPr>
      <w:r>
        <w:rPr>
          <w:rFonts w:ascii="Arial" w:cs="Arial" w:eastAsia="Arial" w:hAnsi="Arial"/>
          <w:sz w:val="17"/>
          <w:szCs w:val="17"/>
          <w:color w:val="auto"/>
        </w:rPr>
        <w:t>Percent of Class Represented by Amount in Row (9) 1.2%**</w:t>
      </w:r>
    </w:p>
    <w:p>
      <w:pPr>
        <w:ind w:left="580" w:hanging="577"/>
        <w:spacing w:after="0"/>
        <w:tabs>
          <w:tab w:leader="none" w:pos="580" w:val="left"/>
        </w:tabs>
        <w:numPr>
          <w:ilvl w:val="0"/>
          <w:numId w:val="31"/>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27" w:right="239" w:bottom="1440" w:gutter="0" w:footer="0" w:header="0"/>
        </w:sectPr>
      </w:pPr>
    </w:p>
    <w:bookmarkStart w:id="7" w:name="page8"/>
    <w:bookmarkEnd w:id="7"/>
    <w:p>
      <w:pPr>
        <w:ind w:left="580" w:right="8820" w:hanging="577"/>
        <w:spacing w:after="0" w:line="296" w:lineRule="auto"/>
        <w:tabs>
          <w:tab w:leader="none" w:pos="580" w:val="left"/>
        </w:tabs>
        <w:numPr>
          <w:ilvl w:val="0"/>
          <w:numId w:val="3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3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33"/>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3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3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3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69"/>
        </w:trPr>
        <w:tc>
          <w:tcPr>
            <w:tcW w:w="920" w:type="dxa"/>
            <w:vAlign w:val="bottom"/>
            <w:tcBorders>
              <w:top w:val="single" w:sz="8" w:color="auto"/>
            </w:tcBorders>
          </w:tcPr>
          <w:p>
            <w:pPr>
              <w:jc w:val="center"/>
              <w:spacing w:after="0" w:line="169"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line="169" w:lineRule="exact"/>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69"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10,680,354</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10,680,354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3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10,680,354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37"/>
        </w:numPr>
        <w:rPr>
          <w:rFonts w:ascii="Arial" w:cs="Arial" w:eastAsia="Arial" w:hAnsi="Arial"/>
          <w:sz w:val="17"/>
          <w:szCs w:val="17"/>
          <w:color w:val="auto"/>
        </w:rPr>
      </w:pPr>
      <w:r>
        <w:rPr>
          <w:rFonts w:ascii="Arial" w:cs="Arial" w:eastAsia="Arial" w:hAnsi="Arial"/>
          <w:sz w:val="17"/>
          <w:szCs w:val="17"/>
          <w:color w:val="auto"/>
        </w:rPr>
        <w:t>Percent of Class Represented by Amount in Row (9) 1.9%**</w:t>
      </w:r>
    </w:p>
    <w:p>
      <w:pPr>
        <w:ind w:left="580" w:hanging="577"/>
        <w:spacing w:after="0"/>
        <w:tabs>
          <w:tab w:leader="none" w:pos="580" w:val="left"/>
        </w:tabs>
        <w:numPr>
          <w:ilvl w:val="0"/>
          <w:numId w:val="3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8" w:name="page9"/>
    <w:bookmarkEnd w:id="8"/>
    <w:p>
      <w:pPr>
        <w:ind w:left="580" w:right="8820" w:hanging="577"/>
        <w:spacing w:after="0" w:line="261" w:lineRule="auto"/>
        <w:tabs>
          <w:tab w:leader="none" w:pos="580" w:val="left"/>
        </w:tabs>
        <w:numPr>
          <w:ilvl w:val="0"/>
          <w:numId w:val="3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3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240" w:hanging="656"/>
        <w:spacing w:after="0"/>
        <w:tabs>
          <w:tab w:leader="none" w:pos="1240" w:val="left"/>
        </w:tabs>
        <w:numPr>
          <w:ilvl w:val="1"/>
          <w:numId w:val="39"/>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260" w:hanging="676"/>
        <w:spacing w:after="0"/>
        <w:tabs>
          <w:tab w:leader="none" w:pos="1260" w:val="left"/>
        </w:tabs>
        <w:numPr>
          <w:ilvl w:val="1"/>
          <w:numId w:val="3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580" w:hanging="577"/>
        <w:spacing w:after="0"/>
        <w:tabs>
          <w:tab w:leader="none" w:pos="580" w:val="left"/>
        </w:tabs>
        <w:numPr>
          <w:ilvl w:val="0"/>
          <w:numId w:val="4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8280" w:hanging="897"/>
        <w:spacing w:after="0" w:line="272" w:lineRule="auto"/>
        <w:tabs>
          <w:tab w:leader="none" w:pos="590" w:val="left"/>
        </w:tabs>
        <w:numPr>
          <w:ilvl w:val="0"/>
          <w:numId w:val="41"/>
        </w:numPr>
        <w:rPr>
          <w:rFonts w:ascii="Arial" w:cs="Arial" w:eastAsia="Arial" w:hAnsi="Arial"/>
          <w:sz w:val="17"/>
          <w:szCs w:val="17"/>
          <w:color w:val="auto"/>
        </w:rPr>
      </w:pPr>
      <w:r>
        <w:rPr>
          <w:rFonts w:ascii="Arial" w:cs="Arial" w:eastAsia="Arial" w:hAnsi="Arial"/>
          <w:sz w:val="17"/>
          <w:szCs w:val="17"/>
          <w:color w:val="auto"/>
        </w:rPr>
        <w:t>Citizenship or Place of Organization. U.S. Citizen</w:t>
      </w:r>
    </w:p>
    <w:tbl>
      <w:tblPr>
        <w:tblLayout w:type="fixed"/>
        <w:tblInd w:w="0" w:type="dxa"/>
        <w:tblCellMar>
          <w:top w:w="0" w:type="dxa"/>
          <w:left w:w="0" w:type="dxa"/>
          <w:bottom w:w="0" w:type="dxa"/>
          <w:right w:w="0" w:type="dxa"/>
        </w:tblCellMar>
      </w:tblPr>
      <w:tr>
        <w:trPr>
          <w:trHeight w:val="169"/>
        </w:trPr>
        <w:tc>
          <w:tcPr>
            <w:tcW w:w="920" w:type="dxa"/>
            <w:vAlign w:val="bottom"/>
            <w:tcBorders>
              <w:top w:val="single" w:sz="8" w:color="auto"/>
            </w:tcBorders>
          </w:tcPr>
          <w:p>
            <w:pPr>
              <w:jc w:val="center"/>
              <w:spacing w:after="0" w:line="169"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ind w:right="25"/>
              <w:spacing w:after="0" w:line="169" w:lineRule="exact"/>
              <w:rPr>
                <w:sz w:val="20"/>
                <w:szCs w:val="20"/>
                <w:color w:val="auto"/>
              </w:rPr>
            </w:pPr>
            <w:r>
              <w:rPr>
                <w:rFonts w:ascii="Arial" w:cs="Arial" w:eastAsia="Arial" w:hAnsi="Arial"/>
                <w:sz w:val="15"/>
                <w:szCs w:val="15"/>
                <w:color w:val="auto"/>
                <w:w w:val="71"/>
              </w:rPr>
              <w:t>5</w:t>
            </w:r>
          </w:p>
        </w:tc>
        <w:tc>
          <w:tcPr>
            <w:tcW w:w="10320" w:type="dxa"/>
            <w:vAlign w:val="bottom"/>
            <w:tcBorders>
              <w:top w:val="single" w:sz="8" w:color="auto"/>
            </w:tcBorders>
          </w:tcPr>
          <w:p>
            <w:pPr>
              <w:ind w:left="80"/>
              <w:spacing w:after="0" w:line="169"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92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10320" w:type="dxa"/>
            <w:vAlign w:val="bottom"/>
            <w:tcBorders>
              <w:bottom w:val="single" w:sz="8" w:color="auto"/>
            </w:tcBorders>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176"/>
        </w:trPr>
        <w:tc>
          <w:tcPr>
            <w:tcW w:w="92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6</w:t>
            </w:r>
          </w:p>
        </w:tc>
        <w:tc>
          <w:tcPr>
            <w:tcW w:w="1032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4"/>
              </w:rPr>
              <w:t>Owned by</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29,595,179</w:t>
            </w:r>
          </w:p>
        </w:tc>
        <w:tc>
          <w:tcPr>
            <w:tcW w:w="0" w:type="dxa"/>
            <w:vAlign w:val="bottom"/>
          </w:tcPr>
          <w:p>
            <w:pPr>
              <w:spacing w:after="0"/>
              <w:rPr>
                <w:sz w:val="1"/>
                <w:szCs w:val="1"/>
                <w:color w:val="auto"/>
              </w:rPr>
            </w:pPr>
          </w:p>
        </w:tc>
      </w:tr>
      <w:tr>
        <w:trPr>
          <w:trHeight w:val="25"/>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2"/>
              </w:rPr>
              <w:t>Each</w:t>
            </w:r>
          </w:p>
        </w:tc>
        <w:tc>
          <w:tcPr>
            <w:tcW w:w="180" w:type="dxa"/>
            <w:vAlign w:val="bottom"/>
            <w:tcBorders>
              <w:bottom w:val="single" w:sz="8" w:color="auto"/>
            </w:tcBorders>
          </w:tcPr>
          <w:p>
            <w:pPr>
              <w:spacing w:after="0"/>
              <w:rPr>
                <w:sz w:val="2"/>
                <w:szCs w:val="2"/>
                <w:color w:val="auto"/>
              </w:rPr>
            </w:pPr>
          </w:p>
        </w:tc>
        <w:tc>
          <w:tcPr>
            <w:tcW w:w="103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920" w:type="dxa"/>
            <w:vAlign w:val="bottom"/>
            <w:vMerge w:val="continue"/>
          </w:tcPr>
          <w:p>
            <w:pPr>
              <w:spacing w:after="0"/>
              <w:rPr>
                <w:sz w:val="14"/>
                <w:szCs w:val="14"/>
                <w:color w:val="auto"/>
              </w:rPr>
            </w:pPr>
          </w:p>
        </w:tc>
        <w:tc>
          <w:tcPr>
            <w:tcW w:w="180" w:type="dxa"/>
            <w:vAlign w:val="bottom"/>
          </w:tcPr>
          <w:p>
            <w:pPr>
              <w:jc w:val="right"/>
              <w:ind w:right="25"/>
              <w:spacing w:after="0" w:line="161" w:lineRule="exact"/>
              <w:rPr>
                <w:sz w:val="20"/>
                <w:szCs w:val="20"/>
                <w:color w:val="auto"/>
              </w:rPr>
            </w:pPr>
            <w:r>
              <w:rPr>
                <w:rFonts w:ascii="Arial" w:cs="Arial" w:eastAsia="Arial" w:hAnsi="Arial"/>
                <w:sz w:val="15"/>
                <w:szCs w:val="15"/>
                <w:color w:val="auto"/>
                <w:w w:val="71"/>
              </w:rPr>
              <w:t>7</w:t>
            </w:r>
          </w:p>
        </w:tc>
        <w:tc>
          <w:tcPr>
            <w:tcW w:w="1032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920" w:type="dxa"/>
            <w:vAlign w:val="bottom"/>
          </w:tcPr>
          <w:p>
            <w:pPr>
              <w:jc w:val="center"/>
              <w:spacing w:after="0"/>
              <w:rPr>
                <w:sz w:val="20"/>
                <w:szCs w:val="20"/>
                <w:color w:val="auto"/>
              </w:rPr>
            </w:pPr>
            <w:r>
              <w:rPr>
                <w:rFonts w:ascii="Arial" w:cs="Arial" w:eastAsia="Arial" w:hAnsi="Arial"/>
                <w:sz w:val="17"/>
                <w:szCs w:val="17"/>
                <w:color w:val="auto"/>
                <w:w w:val="92"/>
              </w:rPr>
              <w:t>Reporting</w:t>
            </w:r>
          </w:p>
        </w:tc>
        <w:tc>
          <w:tcPr>
            <w:tcW w:w="180" w:type="dxa"/>
            <w:vAlign w:val="bottom"/>
          </w:tcPr>
          <w:p>
            <w:pPr>
              <w:spacing w:after="0"/>
              <w:rPr>
                <w:sz w:val="17"/>
                <w:szCs w:val="17"/>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0</w:t>
            </w:r>
          </w:p>
        </w:tc>
        <w:tc>
          <w:tcPr>
            <w:tcW w:w="0" w:type="dxa"/>
            <w:vAlign w:val="bottom"/>
          </w:tcPr>
          <w:p>
            <w:pPr>
              <w:spacing w:after="0"/>
              <w:rPr>
                <w:sz w:val="1"/>
                <w:szCs w:val="1"/>
                <w:color w:val="auto"/>
              </w:rPr>
            </w:pPr>
          </w:p>
        </w:tc>
      </w:tr>
      <w:tr>
        <w:trPr>
          <w:trHeight w:val="38"/>
        </w:trPr>
        <w:tc>
          <w:tcPr>
            <w:tcW w:w="920" w:type="dxa"/>
            <w:vAlign w:val="bottom"/>
            <w:vMerge w:val="restart"/>
          </w:tcPr>
          <w:p>
            <w:pPr>
              <w:jc w:val="center"/>
              <w:spacing w:after="0"/>
              <w:rPr>
                <w:sz w:val="20"/>
                <w:szCs w:val="20"/>
                <w:color w:val="auto"/>
              </w:rPr>
            </w:pPr>
            <w:r>
              <w:rPr>
                <w:rFonts w:ascii="Arial" w:cs="Arial" w:eastAsia="Arial" w:hAnsi="Arial"/>
                <w:sz w:val="17"/>
                <w:szCs w:val="17"/>
                <w:color w:val="auto"/>
                <w:w w:val="90"/>
              </w:rPr>
              <w:t>Person With</w:t>
            </w:r>
          </w:p>
        </w:tc>
        <w:tc>
          <w:tcPr>
            <w:tcW w:w="180" w:type="dxa"/>
            <w:vAlign w:val="bottom"/>
            <w:tcBorders>
              <w:bottom w:val="single" w:sz="8" w:color="auto"/>
            </w:tcBorders>
          </w:tcPr>
          <w:p>
            <w:pPr>
              <w:spacing w:after="0"/>
              <w:rPr>
                <w:sz w:val="3"/>
                <w:szCs w:val="3"/>
                <w:color w:val="auto"/>
              </w:rPr>
            </w:pPr>
          </w:p>
        </w:tc>
        <w:tc>
          <w:tcPr>
            <w:tcW w:w="1032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87"/>
        </w:trPr>
        <w:tc>
          <w:tcPr>
            <w:tcW w:w="920" w:type="dxa"/>
            <w:vAlign w:val="bottom"/>
            <w:vMerge w:val="continue"/>
          </w:tcPr>
          <w:p>
            <w:pPr>
              <w:spacing w:after="0"/>
              <w:rPr>
                <w:sz w:val="16"/>
                <w:szCs w:val="16"/>
                <w:color w:val="auto"/>
              </w:rPr>
            </w:pP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8</w:t>
            </w:r>
          </w:p>
        </w:tc>
        <w:tc>
          <w:tcPr>
            <w:tcW w:w="10320" w:type="dxa"/>
            <w:vAlign w:val="bottom"/>
          </w:tcPr>
          <w:p>
            <w:pPr>
              <w:ind w:left="80"/>
              <w:spacing w:after="0" w:line="187" w:lineRule="exact"/>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320" w:type="dxa"/>
            <w:vAlign w:val="bottom"/>
          </w:tcPr>
          <w:p>
            <w:pPr>
              <w:ind w:left="120"/>
              <w:spacing w:after="0"/>
              <w:rPr>
                <w:sz w:val="20"/>
                <w:szCs w:val="20"/>
                <w:color w:val="auto"/>
              </w:rPr>
            </w:pPr>
            <w:r>
              <w:rPr>
                <w:rFonts w:ascii="Arial" w:cs="Arial" w:eastAsia="Arial" w:hAnsi="Arial"/>
                <w:sz w:val="17"/>
                <w:szCs w:val="17"/>
                <w:color w:val="auto"/>
              </w:rPr>
              <w:t>29,595,179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1270</wp:posOffset>
            </wp:positionV>
            <wp:extent cx="7252970" cy="82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900" w:right="6240" w:hanging="897"/>
        <w:spacing w:after="0" w:line="261" w:lineRule="auto"/>
        <w:tabs>
          <w:tab w:leader="none" w:pos="59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29,595,179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560" w:val="left"/>
          <w:tab w:leader="none" w:pos="676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900" w:right="7220" w:hanging="897"/>
        <w:spacing w:after="0" w:line="261" w:lineRule="auto"/>
        <w:tabs>
          <w:tab w:leader="none" w:pos="590" w:val="left"/>
        </w:tabs>
        <w:numPr>
          <w:ilvl w:val="0"/>
          <w:numId w:val="43"/>
        </w:numPr>
        <w:rPr>
          <w:rFonts w:ascii="Arial" w:cs="Arial" w:eastAsia="Arial" w:hAnsi="Arial"/>
          <w:sz w:val="17"/>
          <w:szCs w:val="17"/>
          <w:color w:val="auto"/>
        </w:rPr>
      </w:pPr>
      <w:r>
        <w:rPr>
          <w:rFonts w:ascii="Arial" w:cs="Arial" w:eastAsia="Arial" w:hAnsi="Arial"/>
          <w:sz w:val="17"/>
          <w:szCs w:val="17"/>
          <w:color w:val="auto"/>
        </w:rPr>
        <w:t>Percent of Class Represented by Amount in Row (9) 5.3%**</w:t>
      </w:r>
    </w:p>
    <w:p>
      <w:pPr>
        <w:ind w:left="580" w:hanging="577"/>
        <w:spacing w:after="0"/>
        <w:tabs>
          <w:tab w:leader="none" w:pos="5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900"/>
        <w:spacing w:after="0"/>
        <w:rPr>
          <w:sz w:val="20"/>
          <w:szCs w:val="20"/>
          <w:color w:val="auto"/>
        </w:rPr>
      </w:pPr>
      <w:r>
        <w:rPr>
          <w:rFonts w:ascii="Arial" w:cs="Arial" w:eastAsia="Arial" w:hAnsi="Arial"/>
          <w:sz w:val="17"/>
          <w:szCs w:val="17"/>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537210</wp:posOffset>
            </wp:positionV>
            <wp:extent cx="7257415" cy="209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7"/>
          <w:szCs w:val="17"/>
          <w:b w:val="1"/>
          <w:bCs w:val="1"/>
          <w:u w:val="single" w:color="auto"/>
          <w:color w:val="auto"/>
        </w:rPr>
        <w:t>SCHEDULE 13G</w:t>
      </w:r>
    </w:p>
    <w:p>
      <w:pPr>
        <w:spacing w:after="0" w:line="249" w:lineRule="exact"/>
        <w:rPr>
          <w:sz w:val="20"/>
          <w:szCs w:val="20"/>
          <w:color w:val="auto"/>
        </w:rPr>
      </w:pPr>
    </w:p>
    <w:p>
      <w:pPr>
        <w:jc w:val="both"/>
        <w:ind w:firstLine="465"/>
        <w:spacing w:after="0" w:line="260" w:lineRule="auto"/>
        <w:rPr>
          <w:sz w:val="20"/>
          <w:szCs w:val="20"/>
          <w:color w:val="auto"/>
        </w:rPr>
      </w:pPr>
      <w:r>
        <w:rPr>
          <w:rFonts w:ascii="Arial" w:cs="Arial" w:eastAsia="Arial" w:hAnsi="Arial"/>
          <w:sz w:val="17"/>
          <w:szCs w:val="17"/>
          <w:color w:val="auto"/>
        </w:rPr>
        <w:t>This Schedule 13G is being filed on behalf of Greenlight Capital, L.L.C., a Delaware limited liability company (“Greenlight LLC”), Greenlight Capital, Inc., a Delaware corporation (“Greenlight Inc.”), DME Management GP, LLC, a Delaware limited liability company (“DME Management GP”), DME Advisors, LP, a Delaware limited partnership (“DME Advisors”), DME Capital Management, LP, a Delaware limited partnership (“DME CM”), DME Advisors GP, LLC, a Delaware limited liability company (“DME GP” and together with Greenlight LLC, Greenlight Inc., DME Management GP, DME Advisors and DME CM, “Greenlight”), and Mr. David Einhorn, the principal of Greenlight (collectively with Greenlight, the “Reporting Persons”).</w:t>
      </w:r>
    </w:p>
    <w:p>
      <w:pPr>
        <w:spacing w:after="0" w:line="206" w:lineRule="exact"/>
        <w:rPr>
          <w:sz w:val="20"/>
          <w:szCs w:val="20"/>
          <w:color w:val="auto"/>
        </w:rPr>
      </w:pPr>
    </w:p>
    <w:p>
      <w:pPr>
        <w:jc w:val="both"/>
        <w:ind w:firstLine="465"/>
        <w:spacing w:after="0" w:line="256" w:lineRule="auto"/>
        <w:rPr>
          <w:sz w:val="20"/>
          <w:szCs w:val="20"/>
          <w:color w:val="auto"/>
        </w:rPr>
      </w:pPr>
      <w:r>
        <w:rPr>
          <w:rFonts w:ascii="Arial" w:cs="Arial" w:eastAsia="Arial" w:hAnsi="Arial"/>
          <w:sz w:val="17"/>
          <w:szCs w:val="17"/>
          <w:color w:val="auto"/>
        </w:rPr>
        <w:t>This Schedule 13G relates to common shares, par value $0.002 per share (“Common Shares”), of Marvell Technology Group Ltd., a Bermuda company (the “Issuer”), held for the account of (i) Greenlight Capital, L.P. (“Greenlight Fund”) of which Greenlight LLC is the general partner and for which Greenlight Inc. acts as investment manager, (ii) Greenlight Capital Qualified, L.P. (“Greenlight Qualified”) of which Greenlight LLC is the general partner and for which Greenlight Inc. acts as investment manager, (iii) Greenlight Capital Offshore Partners (“Greenlight Offshore”) for which Greenlight Inc. acts as investment manager, (iv) a managed account for which DME Advisors acts as investment manager (the “Managed Account”), (v) Greenlight Capital (Gold), LP (“Greenlight Gold”) of which DME Management GP is the general partner and for which DME CM acts as investment manager, (vi) Greenlight Capital Offshore Master (Gold), Ltd. (“Greenlight Gold Offshore”) for which DME CM acts as investment manager, and (vii) Greenlight Masters Partners, LP (“Greenlight Masters”), for which Mr. Einhorn may be deemed to have indirect investment and/or voting power through its general partners and/or investment manager. DME GP is the general partner of DME Advisors and of DME CM.</w:t>
      </w: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1</w:t>
      </w:r>
    </w:p>
    <w:p>
      <w:pPr>
        <w:spacing w:after="0" w:line="243" w:lineRule="exact"/>
        <w:rPr>
          <w:sz w:val="20"/>
          <w:szCs w:val="20"/>
          <w:color w:val="auto"/>
        </w:rPr>
      </w:pPr>
    </w:p>
    <w:p>
      <w:pPr>
        <w:ind w:left="1240" w:hanging="617"/>
        <w:spacing w:after="0"/>
        <w:tabs>
          <w:tab w:leader="none" w:pos="1240"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color w:val="auto"/>
        </w:rPr>
        <w:t>Name of Issuer</w:t>
      </w:r>
    </w:p>
    <w:p>
      <w:pPr>
        <w:spacing w:after="0" w:line="249" w:lineRule="exact"/>
        <w:rPr>
          <w:rFonts w:ascii="Arial" w:cs="Arial" w:eastAsia="Arial" w:hAnsi="Arial"/>
          <w:sz w:val="17"/>
          <w:szCs w:val="17"/>
          <w:b w:val="1"/>
          <w:bCs w:val="1"/>
          <w:color w:val="auto"/>
        </w:rPr>
      </w:pPr>
    </w:p>
    <w:p>
      <w:pPr>
        <w:ind w:left="1240"/>
        <w:spacing w:after="0"/>
        <w:rPr>
          <w:rFonts w:ascii="Arial" w:cs="Arial" w:eastAsia="Arial" w:hAnsi="Arial"/>
          <w:sz w:val="17"/>
          <w:szCs w:val="17"/>
          <w:b w:val="1"/>
          <w:bCs w:val="1"/>
          <w:color w:val="auto"/>
        </w:rPr>
      </w:pPr>
      <w:r>
        <w:rPr>
          <w:rFonts w:ascii="Arial" w:cs="Arial" w:eastAsia="Arial" w:hAnsi="Arial"/>
          <w:sz w:val="17"/>
          <w:szCs w:val="17"/>
          <w:color w:val="auto"/>
        </w:rPr>
        <w:t>Marvell Technology Group Ltd.</w:t>
      </w:r>
    </w:p>
    <w:p>
      <w:pPr>
        <w:spacing w:after="0" w:line="237" w:lineRule="exact"/>
        <w:rPr>
          <w:rFonts w:ascii="Arial" w:cs="Arial" w:eastAsia="Arial" w:hAnsi="Arial"/>
          <w:sz w:val="17"/>
          <w:szCs w:val="17"/>
          <w:b w:val="1"/>
          <w:bCs w:val="1"/>
          <w:color w:val="auto"/>
        </w:rPr>
      </w:pPr>
    </w:p>
    <w:p>
      <w:pPr>
        <w:ind w:left="1240" w:hanging="617"/>
        <w:spacing w:after="0"/>
        <w:tabs>
          <w:tab w:leader="none" w:pos="1240"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color w:val="auto"/>
        </w:rPr>
        <w:t>Address of Issuer’s Principal Executive Offices</w:t>
      </w:r>
    </w:p>
    <w:p>
      <w:pPr>
        <w:spacing w:after="0" w:line="249" w:lineRule="exact"/>
        <w:rPr>
          <w:rFonts w:ascii="Arial" w:cs="Arial" w:eastAsia="Arial" w:hAnsi="Arial"/>
          <w:sz w:val="17"/>
          <w:szCs w:val="17"/>
          <w:b w:val="1"/>
          <w:bCs w:val="1"/>
          <w:color w:val="auto"/>
        </w:rPr>
      </w:pPr>
    </w:p>
    <w:p>
      <w:pPr>
        <w:ind w:left="1240" w:right="7880"/>
        <w:spacing w:after="0" w:line="349" w:lineRule="auto"/>
        <w:rPr>
          <w:rFonts w:ascii="Arial" w:cs="Arial" w:eastAsia="Arial" w:hAnsi="Arial"/>
          <w:sz w:val="17"/>
          <w:szCs w:val="17"/>
          <w:b w:val="1"/>
          <w:bCs w:val="1"/>
          <w:color w:val="auto"/>
        </w:rPr>
      </w:pPr>
      <w:r>
        <w:rPr>
          <w:rFonts w:ascii="Arial" w:cs="Arial" w:eastAsia="Arial" w:hAnsi="Arial"/>
          <w:sz w:val="15"/>
          <w:szCs w:val="15"/>
          <w:color w:val="auto"/>
        </w:rPr>
        <w:t>Canon’s Court, 22 Victoria Street Hamilton HM 12, Bermuda</w:t>
      </w:r>
    </w:p>
    <w:p>
      <w:pPr>
        <w:spacing w:after="0" w:line="138"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2</w:t>
      </w:r>
    </w:p>
    <w:p>
      <w:pPr>
        <w:spacing w:after="0" w:line="243" w:lineRule="exact"/>
        <w:rPr>
          <w:sz w:val="20"/>
          <w:szCs w:val="20"/>
          <w:color w:val="auto"/>
        </w:rPr>
      </w:pPr>
    </w:p>
    <w:p>
      <w:pPr>
        <w:ind w:left="1240" w:hanging="617"/>
        <w:spacing w:after="0"/>
        <w:tabs>
          <w:tab w:leader="none" w:pos="1240" w:val="left"/>
        </w:tabs>
        <w:numPr>
          <w:ilvl w:val="0"/>
          <w:numId w:val="45"/>
        </w:numPr>
        <w:rPr>
          <w:rFonts w:ascii="Arial" w:cs="Arial" w:eastAsia="Arial" w:hAnsi="Arial"/>
          <w:sz w:val="17"/>
          <w:szCs w:val="17"/>
          <w:b w:val="1"/>
          <w:bCs w:val="1"/>
          <w:color w:val="auto"/>
        </w:rPr>
      </w:pPr>
      <w:r>
        <w:rPr>
          <w:rFonts w:ascii="Arial" w:cs="Arial" w:eastAsia="Arial" w:hAnsi="Arial"/>
          <w:sz w:val="17"/>
          <w:szCs w:val="17"/>
          <w:b w:val="1"/>
          <w:bCs w:val="1"/>
          <w:color w:val="auto"/>
        </w:rPr>
        <w:t>Name of Person Filing</w:t>
      </w:r>
    </w:p>
    <w:p>
      <w:pPr>
        <w:spacing w:after="0" w:line="200" w:lineRule="exact"/>
        <w:rPr>
          <w:rFonts w:ascii="Arial" w:cs="Arial" w:eastAsia="Arial" w:hAnsi="Arial"/>
          <w:sz w:val="17"/>
          <w:szCs w:val="17"/>
          <w:b w:val="1"/>
          <w:bCs w:val="1"/>
          <w:color w:val="auto"/>
        </w:rPr>
      </w:pPr>
    </w:p>
    <w:p>
      <w:pPr>
        <w:spacing w:after="0" w:line="281" w:lineRule="exact"/>
        <w:rPr>
          <w:rFonts w:ascii="Arial" w:cs="Arial" w:eastAsia="Arial" w:hAnsi="Arial"/>
          <w:sz w:val="17"/>
          <w:szCs w:val="17"/>
          <w:b w:val="1"/>
          <w:bCs w:val="1"/>
          <w:color w:val="auto"/>
        </w:rPr>
      </w:pPr>
    </w:p>
    <w:p>
      <w:pPr>
        <w:ind w:left="1240"/>
        <w:spacing w:after="0"/>
        <w:rPr>
          <w:rFonts w:ascii="Arial" w:cs="Arial" w:eastAsia="Arial" w:hAnsi="Arial"/>
          <w:sz w:val="17"/>
          <w:szCs w:val="17"/>
          <w:b w:val="1"/>
          <w:bCs w:val="1"/>
          <w:color w:val="auto"/>
        </w:rPr>
      </w:pPr>
      <w:r>
        <w:rPr>
          <w:rFonts w:ascii="Arial" w:cs="Arial" w:eastAsia="Arial" w:hAnsi="Arial"/>
          <w:sz w:val="17"/>
          <w:szCs w:val="17"/>
          <w:color w:val="auto"/>
        </w:rPr>
        <w:t>This statement is being filed on behalf of each of the following persons:</w:t>
      </w:r>
    </w:p>
    <w:p>
      <w:pPr>
        <w:spacing w:after="0" w:line="243" w:lineRule="exact"/>
        <w:rPr>
          <w:rFonts w:ascii="Arial" w:cs="Arial" w:eastAsia="Arial" w:hAnsi="Arial"/>
          <w:sz w:val="17"/>
          <w:szCs w:val="17"/>
          <w:b w:val="1"/>
          <w:bCs w:val="1"/>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Greenlight Capital, L.L.C.;</w:t>
      </w:r>
    </w:p>
    <w:p>
      <w:pPr>
        <w:spacing w:after="0" w:line="2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Greenlight Capital, Inc.;</w:t>
      </w:r>
    </w:p>
    <w:p>
      <w:pPr>
        <w:spacing w:after="0" w:line="1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DME Management GP, LLC;</w:t>
      </w:r>
    </w:p>
    <w:p>
      <w:pPr>
        <w:spacing w:after="0" w:line="1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DME Advisors, LP;</w:t>
      </w:r>
    </w:p>
    <w:p>
      <w:pPr>
        <w:spacing w:after="0" w:line="1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DME Capital Management, LP;</w:t>
      </w:r>
    </w:p>
    <w:p>
      <w:pPr>
        <w:spacing w:after="0" w:line="1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DME Advisors GP, LLC; and</w:t>
      </w:r>
    </w:p>
    <w:p>
      <w:pPr>
        <w:spacing w:after="0" w:line="11" w:lineRule="exact"/>
        <w:rPr>
          <w:rFonts w:ascii="Arial" w:cs="Arial" w:eastAsia="Arial" w:hAnsi="Arial"/>
          <w:sz w:val="17"/>
          <w:szCs w:val="17"/>
          <w:color w:val="auto"/>
        </w:rPr>
      </w:pPr>
    </w:p>
    <w:p>
      <w:pPr>
        <w:ind w:left="1940" w:hanging="620"/>
        <w:spacing w:after="0"/>
        <w:tabs>
          <w:tab w:leader="none" w:pos="1940" w:val="left"/>
        </w:tabs>
        <w:numPr>
          <w:ilvl w:val="2"/>
          <w:numId w:val="45"/>
        </w:numPr>
        <w:rPr>
          <w:rFonts w:ascii="Arial" w:cs="Arial" w:eastAsia="Arial" w:hAnsi="Arial"/>
          <w:sz w:val="17"/>
          <w:szCs w:val="17"/>
          <w:color w:val="auto"/>
        </w:rPr>
      </w:pPr>
      <w:r>
        <w:rPr>
          <w:rFonts w:ascii="Arial" w:cs="Arial" w:eastAsia="Arial" w:hAnsi="Arial"/>
          <w:sz w:val="17"/>
          <w:szCs w:val="17"/>
          <w:color w:val="auto"/>
        </w:rPr>
        <w:t>David Einhorn.</w:t>
      </w:r>
    </w:p>
    <w:p>
      <w:pPr>
        <w:spacing w:after="0" w:line="226" w:lineRule="exact"/>
        <w:rPr>
          <w:rFonts w:ascii="Arial" w:cs="Arial" w:eastAsia="Arial" w:hAnsi="Arial"/>
          <w:sz w:val="17"/>
          <w:szCs w:val="17"/>
          <w:color w:val="auto"/>
        </w:rPr>
      </w:pPr>
    </w:p>
    <w:p>
      <w:pPr>
        <w:ind w:left="1240" w:hanging="617"/>
        <w:spacing w:after="0"/>
        <w:tabs>
          <w:tab w:leader="none" w:pos="1240" w:val="left"/>
        </w:tabs>
        <w:numPr>
          <w:ilvl w:val="0"/>
          <w:numId w:val="45"/>
        </w:numPr>
        <w:rPr>
          <w:rFonts w:ascii="Arial" w:cs="Arial" w:eastAsia="Arial" w:hAnsi="Arial"/>
          <w:sz w:val="17"/>
          <w:szCs w:val="17"/>
          <w:b w:val="1"/>
          <w:bCs w:val="1"/>
          <w:color w:val="auto"/>
        </w:rPr>
      </w:pPr>
      <w:r>
        <w:rPr>
          <w:rFonts w:ascii="Arial" w:cs="Arial" w:eastAsia="Arial" w:hAnsi="Arial"/>
          <w:sz w:val="17"/>
          <w:szCs w:val="17"/>
          <w:b w:val="1"/>
          <w:bCs w:val="1"/>
          <w:color w:val="auto"/>
        </w:rPr>
        <w:t>Address of Principal Business Office or, if none, Residence</w:t>
      </w:r>
    </w:p>
    <w:p>
      <w:pPr>
        <w:spacing w:after="0" w:line="200" w:lineRule="exact"/>
        <w:rPr>
          <w:rFonts w:ascii="Arial" w:cs="Arial" w:eastAsia="Arial" w:hAnsi="Arial"/>
          <w:sz w:val="17"/>
          <w:szCs w:val="17"/>
          <w:b w:val="1"/>
          <w:bCs w:val="1"/>
          <w:color w:val="auto"/>
        </w:rPr>
      </w:pPr>
    </w:p>
    <w:p>
      <w:pPr>
        <w:spacing w:after="0" w:line="279" w:lineRule="exact"/>
        <w:rPr>
          <w:rFonts w:ascii="Arial" w:cs="Arial" w:eastAsia="Arial" w:hAnsi="Arial"/>
          <w:sz w:val="17"/>
          <w:szCs w:val="17"/>
          <w:b w:val="1"/>
          <w:bCs w:val="1"/>
          <w:color w:val="auto"/>
        </w:rPr>
      </w:pPr>
    </w:p>
    <w:p>
      <w:pPr>
        <w:ind w:left="1240"/>
        <w:spacing w:after="0"/>
        <w:rPr>
          <w:rFonts w:ascii="Arial" w:cs="Arial" w:eastAsia="Arial" w:hAnsi="Arial"/>
          <w:sz w:val="17"/>
          <w:szCs w:val="17"/>
          <w:b w:val="1"/>
          <w:bCs w:val="1"/>
          <w:color w:val="auto"/>
        </w:rPr>
      </w:pPr>
      <w:r>
        <w:rPr>
          <w:rFonts w:ascii="Arial" w:cs="Arial" w:eastAsia="Arial" w:hAnsi="Arial"/>
          <w:sz w:val="17"/>
          <w:szCs w:val="17"/>
          <w:color w:val="auto"/>
        </w:rPr>
        <w:t>The principal business office of each of the Reporting Persons is 140 East 45</w:t>
      </w:r>
      <w:r>
        <w:rPr>
          <w:rFonts w:ascii="Arial" w:cs="Arial" w:eastAsia="Arial" w:hAnsi="Arial"/>
          <w:sz w:val="24"/>
          <w:szCs w:val="24"/>
          <w:color w:val="auto"/>
          <w:vertAlign w:val="superscript"/>
        </w:rPr>
        <w:t>th</w:t>
      </w:r>
      <w:r>
        <w:rPr>
          <w:rFonts w:ascii="Arial" w:cs="Arial" w:eastAsia="Arial" w:hAnsi="Arial"/>
          <w:sz w:val="17"/>
          <w:szCs w:val="17"/>
          <w:color w:val="auto"/>
        </w:rPr>
        <w:t xml:space="preserve"> Street, 24</w:t>
      </w:r>
      <w:r>
        <w:rPr>
          <w:rFonts w:ascii="Arial" w:cs="Arial" w:eastAsia="Arial" w:hAnsi="Arial"/>
          <w:sz w:val="24"/>
          <w:szCs w:val="24"/>
          <w:color w:val="auto"/>
          <w:vertAlign w:val="superscript"/>
        </w:rPr>
        <w:t>th</w:t>
      </w:r>
      <w:r>
        <w:rPr>
          <w:rFonts w:ascii="Arial" w:cs="Arial" w:eastAsia="Arial" w:hAnsi="Arial"/>
          <w:sz w:val="17"/>
          <w:szCs w:val="17"/>
          <w:color w:val="auto"/>
        </w:rPr>
        <w:t xml:space="preserve"> Floor, New York, New York 10017.</w:t>
      </w:r>
    </w:p>
    <w:p>
      <w:pPr>
        <w:spacing w:after="0" w:line="158" w:lineRule="exact"/>
        <w:rPr>
          <w:rFonts w:ascii="Arial" w:cs="Arial" w:eastAsia="Arial" w:hAnsi="Arial"/>
          <w:sz w:val="17"/>
          <w:szCs w:val="17"/>
          <w:b w:val="1"/>
          <w:bCs w:val="1"/>
          <w:color w:val="auto"/>
        </w:rPr>
      </w:pPr>
    </w:p>
    <w:p>
      <w:pPr>
        <w:ind w:left="1240" w:hanging="617"/>
        <w:spacing w:after="0"/>
        <w:tabs>
          <w:tab w:leader="none" w:pos="1240" w:val="left"/>
        </w:tabs>
        <w:numPr>
          <w:ilvl w:val="0"/>
          <w:numId w:val="45"/>
        </w:numPr>
        <w:rPr>
          <w:rFonts w:ascii="Arial" w:cs="Arial" w:eastAsia="Arial" w:hAnsi="Arial"/>
          <w:sz w:val="17"/>
          <w:szCs w:val="17"/>
          <w:b w:val="1"/>
          <w:bCs w:val="1"/>
          <w:color w:val="auto"/>
        </w:rPr>
      </w:pPr>
      <w:r>
        <w:rPr>
          <w:rFonts w:ascii="Arial" w:cs="Arial" w:eastAsia="Arial" w:hAnsi="Arial"/>
          <w:sz w:val="17"/>
          <w:szCs w:val="17"/>
          <w:b w:val="1"/>
          <w:bCs w:val="1"/>
          <w:color w:val="auto"/>
        </w:rPr>
        <w:t>Citizenship</w:t>
      </w:r>
    </w:p>
    <w:p>
      <w:pPr>
        <w:spacing w:after="0" w:line="200" w:lineRule="exact"/>
        <w:rPr>
          <w:rFonts w:ascii="Arial" w:cs="Arial" w:eastAsia="Arial" w:hAnsi="Arial"/>
          <w:sz w:val="17"/>
          <w:szCs w:val="17"/>
          <w:b w:val="1"/>
          <w:bCs w:val="1"/>
          <w:color w:val="auto"/>
        </w:rPr>
      </w:pPr>
    </w:p>
    <w:p>
      <w:pPr>
        <w:spacing w:after="0" w:line="281" w:lineRule="exact"/>
        <w:rPr>
          <w:rFonts w:ascii="Arial" w:cs="Arial" w:eastAsia="Arial" w:hAnsi="Arial"/>
          <w:sz w:val="17"/>
          <w:szCs w:val="17"/>
          <w:b w:val="1"/>
          <w:bCs w:val="1"/>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Greenlight LLC is a limited liability company organized under the laws of the State of Delaware.</w:t>
      </w:r>
    </w:p>
    <w:p>
      <w:pPr>
        <w:spacing w:after="0" w:line="2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Greenlight Inc. is a corporation organized under the laws of the State of Delaware.</w:t>
      </w:r>
    </w:p>
    <w:p>
      <w:pPr>
        <w:spacing w:after="0" w:line="1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DME Management GP is a limited liability company organized under the laws of the State of Delaware.</w:t>
      </w:r>
    </w:p>
    <w:p>
      <w:pPr>
        <w:spacing w:after="0" w:line="1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DME Advisors, LP is a limited partnership organized under the laws of the State of Delaware.</w:t>
      </w:r>
    </w:p>
    <w:p>
      <w:pPr>
        <w:spacing w:after="0" w:line="1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DME Capital Management, LP is a limited partnership organized under the laws of the State of Delaware.</w:t>
      </w:r>
    </w:p>
    <w:p>
      <w:pPr>
        <w:spacing w:after="0" w:line="1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DME GP is a limited liability company organized under the laws of the State of Delaware.</w:t>
      </w:r>
    </w:p>
    <w:p>
      <w:pPr>
        <w:spacing w:after="0" w:line="11" w:lineRule="exact"/>
        <w:rPr>
          <w:rFonts w:ascii="Arial" w:cs="Arial" w:eastAsia="Arial" w:hAnsi="Arial"/>
          <w:sz w:val="17"/>
          <w:szCs w:val="17"/>
          <w:color w:val="auto"/>
        </w:rPr>
      </w:pPr>
    </w:p>
    <w:p>
      <w:pPr>
        <w:ind w:left="1860" w:hanging="618"/>
        <w:spacing w:after="0"/>
        <w:tabs>
          <w:tab w:leader="none" w:pos="1860" w:val="left"/>
        </w:tabs>
        <w:numPr>
          <w:ilvl w:val="1"/>
          <w:numId w:val="45"/>
        </w:numPr>
        <w:rPr>
          <w:rFonts w:ascii="Arial" w:cs="Arial" w:eastAsia="Arial" w:hAnsi="Arial"/>
          <w:sz w:val="17"/>
          <w:szCs w:val="17"/>
          <w:color w:val="auto"/>
        </w:rPr>
      </w:pPr>
      <w:r>
        <w:rPr>
          <w:rFonts w:ascii="Arial" w:cs="Arial" w:eastAsia="Arial" w:hAnsi="Arial"/>
          <w:sz w:val="17"/>
          <w:szCs w:val="17"/>
          <w:color w:val="auto"/>
        </w:rPr>
        <w:t>David Einhorn is a United States citizen.</w:t>
      </w:r>
    </w:p>
    <w:p>
      <w:pPr>
        <w:spacing w:after="0" w:line="226" w:lineRule="exact"/>
        <w:rPr>
          <w:rFonts w:ascii="Arial" w:cs="Arial" w:eastAsia="Arial" w:hAnsi="Arial"/>
          <w:sz w:val="17"/>
          <w:szCs w:val="17"/>
          <w:color w:val="auto"/>
        </w:rPr>
      </w:pPr>
    </w:p>
    <w:p>
      <w:pPr>
        <w:ind w:left="1240" w:hanging="617"/>
        <w:spacing w:after="0"/>
        <w:tabs>
          <w:tab w:leader="none" w:pos="1240" w:val="left"/>
        </w:tabs>
        <w:numPr>
          <w:ilvl w:val="0"/>
          <w:numId w:val="45"/>
        </w:numPr>
        <w:rPr>
          <w:rFonts w:ascii="Arial" w:cs="Arial" w:eastAsia="Arial" w:hAnsi="Arial"/>
          <w:sz w:val="17"/>
          <w:szCs w:val="17"/>
          <w:b w:val="1"/>
          <w:bCs w:val="1"/>
          <w:color w:val="auto"/>
        </w:rPr>
      </w:pPr>
      <w:r>
        <w:rPr>
          <w:rFonts w:ascii="Arial" w:cs="Arial" w:eastAsia="Arial" w:hAnsi="Arial"/>
          <w:sz w:val="17"/>
          <w:szCs w:val="17"/>
          <w:b w:val="1"/>
          <w:bCs w:val="1"/>
          <w:color w:val="auto"/>
        </w:rPr>
        <w:t>Title of Class of Securities</w:t>
      </w:r>
    </w:p>
    <w:p>
      <w:pPr>
        <w:spacing w:after="0" w:line="249" w:lineRule="exact"/>
        <w:rPr>
          <w:rFonts w:ascii="Arial" w:cs="Arial" w:eastAsia="Arial" w:hAnsi="Arial"/>
          <w:sz w:val="17"/>
          <w:szCs w:val="17"/>
          <w:b w:val="1"/>
          <w:bCs w:val="1"/>
          <w:color w:val="auto"/>
        </w:rPr>
      </w:pPr>
    </w:p>
    <w:p>
      <w:pPr>
        <w:ind w:left="1240"/>
        <w:spacing w:after="0"/>
        <w:rPr>
          <w:rFonts w:ascii="Arial" w:cs="Arial" w:eastAsia="Arial" w:hAnsi="Arial"/>
          <w:sz w:val="17"/>
          <w:szCs w:val="17"/>
          <w:b w:val="1"/>
          <w:bCs w:val="1"/>
          <w:color w:val="auto"/>
        </w:rPr>
      </w:pPr>
      <w:r>
        <w:rPr>
          <w:rFonts w:ascii="Arial" w:cs="Arial" w:eastAsia="Arial" w:hAnsi="Arial"/>
          <w:sz w:val="17"/>
          <w:szCs w:val="17"/>
          <w:color w:val="auto"/>
        </w:rPr>
        <w:t>Common shares, par value $0.002 per share</w:t>
      </w:r>
    </w:p>
    <w:p>
      <w:pPr>
        <w:spacing w:after="0" w:line="237" w:lineRule="exact"/>
        <w:rPr>
          <w:rFonts w:ascii="Arial" w:cs="Arial" w:eastAsia="Arial" w:hAnsi="Arial"/>
          <w:sz w:val="17"/>
          <w:szCs w:val="17"/>
          <w:b w:val="1"/>
          <w:bCs w:val="1"/>
          <w:color w:val="auto"/>
        </w:rPr>
      </w:pPr>
    </w:p>
    <w:p>
      <w:pPr>
        <w:ind w:left="1240" w:right="9000" w:hanging="617"/>
        <w:spacing w:after="0" w:line="623" w:lineRule="auto"/>
        <w:tabs>
          <w:tab w:leader="none" w:pos="1240" w:val="left"/>
        </w:tabs>
        <w:numPr>
          <w:ilvl w:val="0"/>
          <w:numId w:val="4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CUSIP Number </w:t>
      </w:r>
      <w:r>
        <w:rPr>
          <w:rFonts w:ascii="Arial" w:cs="Arial" w:eastAsia="Arial" w:hAnsi="Arial"/>
          <w:sz w:val="16"/>
          <w:szCs w:val="16"/>
          <w:color w:val="auto"/>
        </w:rPr>
        <w:t>G5876H105</w:t>
      </w:r>
    </w:p>
    <w:p>
      <w:pPr>
        <w:spacing w:after="0" w:line="155" w:lineRule="exact"/>
        <w:rPr>
          <w:sz w:val="20"/>
          <w:szCs w:val="20"/>
          <w:color w:val="auto"/>
        </w:rPr>
      </w:pPr>
    </w:p>
    <w:p>
      <w:pPr>
        <w:spacing w:after="0"/>
        <w:tabs>
          <w:tab w:leader="none" w:pos="1220" w:val="left"/>
        </w:tabs>
        <w:rPr>
          <w:sz w:val="20"/>
          <w:szCs w:val="20"/>
          <w:color w:val="auto"/>
        </w:rPr>
      </w:pPr>
      <w:r>
        <w:rPr>
          <w:rFonts w:ascii="Arial" w:cs="Arial" w:eastAsia="Arial" w:hAnsi="Arial"/>
          <w:sz w:val="17"/>
          <w:szCs w:val="17"/>
          <w:b w:val="1"/>
          <w:bCs w:val="1"/>
          <w:color w:val="auto"/>
        </w:rPr>
        <w:t>Item 3</w:t>
      </w:r>
      <w:r>
        <w:rPr>
          <w:sz w:val="20"/>
          <w:szCs w:val="20"/>
          <w:color w:val="auto"/>
        </w:rPr>
        <w:tab/>
      </w:r>
      <w:r>
        <w:rPr>
          <w:rFonts w:ascii="Arial" w:cs="Arial" w:eastAsia="Arial" w:hAnsi="Arial"/>
          <w:sz w:val="15"/>
          <w:szCs w:val="15"/>
          <w:b w:val="1"/>
          <w:bCs w:val="1"/>
          <w:color w:val="auto"/>
        </w:rPr>
        <w:t>If this statement is filed pursuant to §§240.13d-1(b) or 240.13d-2(b) or (c), check whether the person filing is a:</w:t>
      </w:r>
    </w:p>
    <w:p>
      <w:pPr>
        <w:spacing w:after="0" w:line="249" w:lineRule="exact"/>
        <w:rPr>
          <w:sz w:val="20"/>
          <w:szCs w:val="20"/>
          <w:color w:val="auto"/>
        </w:rPr>
      </w:pPr>
    </w:p>
    <w:p>
      <w:pPr>
        <w:ind w:left="1860" w:hanging="618"/>
        <w:spacing w:after="0"/>
        <w:tabs>
          <w:tab w:leader="none" w:pos="1860" w:val="left"/>
        </w:tabs>
        <w:numPr>
          <w:ilvl w:val="0"/>
          <w:numId w:val="46"/>
        </w:numPr>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Broker or dealer registered under section 15 of the Act (15 U.S.C. 78o);</w:t>
      </w:r>
    </w:p>
    <w:p>
      <w:pPr>
        <w:spacing w:after="0" w:line="243" w:lineRule="exact"/>
        <w:rPr>
          <w:rFonts w:ascii="Arial" w:cs="Arial" w:eastAsia="Arial" w:hAnsi="Arial"/>
          <w:sz w:val="17"/>
          <w:szCs w:val="17"/>
          <w:color w:val="auto"/>
        </w:rPr>
      </w:pPr>
    </w:p>
    <w:p>
      <w:pPr>
        <w:ind w:left="1860" w:hanging="618"/>
        <w:spacing w:after="0"/>
        <w:tabs>
          <w:tab w:leader="none" w:pos="1860" w:val="left"/>
        </w:tabs>
        <w:numPr>
          <w:ilvl w:val="0"/>
          <w:numId w:val="46"/>
        </w:numPr>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Bank as defined in section 3(a)(6) of the Act (15 U.S.C. 78c);</w:t>
      </w:r>
    </w:p>
    <w:p>
      <w:pPr>
        <w:sectPr>
          <w:pgSz w:w="11900" w:h="16838" w:orient="portrait"/>
          <w:cols w:equalWidth="0" w:num="1">
            <w:col w:w="11420"/>
          </w:cols>
          <w:pgMar w:left="240" w:top="470" w:right="239" w:bottom="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217"/>
        </w:trPr>
        <w:tc>
          <w:tcPr>
            <w:tcW w:w="960" w:type="dxa"/>
            <w:vAlign w:val="bottom"/>
          </w:tcPr>
          <w:p>
            <w:pPr>
              <w:spacing w:after="0"/>
              <w:rPr>
                <w:sz w:val="18"/>
                <w:szCs w:val="18"/>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(c)</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Insurance Company as defined in Section 3(a)(19) of the Act;</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(d)</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Investment company registered under section 8 of the Investment Company Act of 1940 (15 U.S.C 80a-8);</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(e)</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An investment adviser in accordance with §240.13d-1(b)(1)(ii)(E);</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(f)</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An employee benefit plan or endowment fund in accordance with §240.13d-1(b)(1)(ii)(F);</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(g)</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A parent holding company or control person in accordance with § 240.13d-1(b)(1)(ii)(G);</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(h)</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A savings associations as defined in Section 3(b) of the Federal Deposit Insurance Act (12 U.S.C. 1813);</w:t>
            </w:r>
          </w:p>
        </w:tc>
      </w:tr>
      <w:tr>
        <w:trPr>
          <w:trHeight w:val="428"/>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(i)</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w w:val="92"/>
              </w:rPr>
              <w:t>A church plan that is excluded from the definition of an investment company under section 3(c)(14) of the Investment Company</w:t>
            </w:r>
          </w:p>
        </w:tc>
      </w:tr>
      <w:tr>
        <w:trPr>
          <w:trHeight w:val="217"/>
        </w:trPr>
        <w:tc>
          <w:tcPr>
            <w:tcW w:w="9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9060" w:type="dxa"/>
            <w:vAlign w:val="bottom"/>
          </w:tcPr>
          <w:p>
            <w:pPr>
              <w:ind w:left="220"/>
              <w:spacing w:after="0"/>
              <w:rPr>
                <w:sz w:val="20"/>
                <w:szCs w:val="20"/>
                <w:color w:val="auto"/>
              </w:rPr>
            </w:pPr>
            <w:r>
              <w:rPr>
                <w:rFonts w:ascii="Arial" w:cs="Arial" w:eastAsia="Arial" w:hAnsi="Arial"/>
                <w:sz w:val="17"/>
                <w:szCs w:val="17"/>
                <w:color w:val="auto"/>
              </w:rPr>
              <w:t>Act of 1940 (15 U.S.C. 80a-3);</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(j)</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A non-U.S. institution in accordance with §240.13d–1(b)(1)(ii)(J);</w:t>
            </w:r>
          </w:p>
        </w:tc>
      </w:tr>
      <w:tr>
        <w:trPr>
          <w:trHeight w:val="439"/>
        </w:trPr>
        <w:tc>
          <w:tcPr>
            <w:tcW w:w="960" w:type="dxa"/>
            <w:vAlign w:val="bottom"/>
          </w:tcPr>
          <w:p>
            <w:pPr>
              <w:spacing w:after="0"/>
              <w:rPr>
                <w:sz w:val="24"/>
                <w:szCs w:val="24"/>
                <w:color w:val="auto"/>
              </w:rPr>
            </w:pPr>
          </w:p>
        </w:tc>
        <w:tc>
          <w:tcPr>
            <w:tcW w:w="700" w:type="dxa"/>
            <w:vAlign w:val="bottom"/>
          </w:tcPr>
          <w:p>
            <w:pPr>
              <w:ind w:left="280"/>
              <w:spacing w:after="0"/>
              <w:rPr>
                <w:sz w:val="20"/>
                <w:szCs w:val="20"/>
                <w:color w:val="auto"/>
              </w:rPr>
            </w:pPr>
            <w:r>
              <w:rPr>
                <w:rFonts w:ascii="Arial" w:cs="Arial" w:eastAsia="Arial" w:hAnsi="Arial"/>
                <w:sz w:val="17"/>
                <w:szCs w:val="17"/>
                <w:color w:val="auto"/>
              </w:rPr>
              <w:t>(k)</w:t>
            </w:r>
          </w:p>
        </w:tc>
        <w:tc>
          <w:tcPr>
            <w:tcW w:w="600" w:type="dxa"/>
            <w:vAlign w:val="bottom"/>
          </w:tcPr>
          <w:p>
            <w:pPr>
              <w:jc w:val="right"/>
              <w:ind w:right="154"/>
              <w:spacing w:after="0"/>
              <w:rPr>
                <w:sz w:val="20"/>
                <w:szCs w:val="20"/>
                <w:color w:val="auto"/>
              </w:rPr>
            </w:pPr>
            <w:r>
              <w:rPr>
                <w:rFonts w:ascii="Arial" w:cs="Arial" w:eastAsia="Arial" w:hAnsi="Arial"/>
                <w:sz w:val="17"/>
                <w:szCs w:val="17"/>
                <w:color w:val="auto"/>
              </w:rPr>
              <w:t>[ ]</w:t>
            </w:r>
          </w:p>
        </w:tc>
        <w:tc>
          <w:tcPr>
            <w:tcW w:w="9060" w:type="dxa"/>
            <w:vAlign w:val="bottom"/>
          </w:tcPr>
          <w:p>
            <w:pPr>
              <w:ind w:left="220"/>
              <w:spacing w:after="0"/>
              <w:rPr>
                <w:sz w:val="20"/>
                <w:szCs w:val="20"/>
                <w:color w:val="auto"/>
              </w:rPr>
            </w:pPr>
            <w:r>
              <w:rPr>
                <w:rFonts w:ascii="Arial" w:cs="Arial" w:eastAsia="Arial" w:hAnsi="Arial"/>
                <w:sz w:val="17"/>
                <w:szCs w:val="17"/>
                <w:color w:val="auto"/>
              </w:rPr>
              <w:t>Group, in accordance with §240.13d-1(b)(1)(ii)(K).</w:t>
            </w:r>
          </w:p>
        </w:tc>
      </w:tr>
      <w:tr>
        <w:trPr>
          <w:trHeight w:val="439"/>
        </w:trPr>
        <w:tc>
          <w:tcPr>
            <w:tcW w:w="960" w:type="dxa"/>
            <w:vAlign w:val="bottom"/>
          </w:tcPr>
          <w:p>
            <w:pPr>
              <w:spacing w:after="0"/>
              <w:rPr>
                <w:sz w:val="24"/>
                <w:szCs w:val="24"/>
                <w:color w:val="auto"/>
              </w:rPr>
            </w:pPr>
          </w:p>
        </w:tc>
        <w:tc>
          <w:tcPr>
            <w:tcW w:w="10360" w:type="dxa"/>
            <w:vAlign w:val="bottom"/>
            <w:gridSpan w:val="3"/>
          </w:tcPr>
          <w:p>
            <w:pPr>
              <w:ind w:left="280"/>
              <w:spacing w:after="0"/>
              <w:rPr>
                <w:sz w:val="20"/>
                <w:szCs w:val="20"/>
                <w:color w:val="auto"/>
              </w:rPr>
            </w:pPr>
            <w:r>
              <w:rPr>
                <w:rFonts w:ascii="Arial" w:cs="Arial" w:eastAsia="Arial" w:hAnsi="Arial"/>
                <w:sz w:val="17"/>
                <w:szCs w:val="17"/>
                <w:color w:val="auto"/>
              </w:rPr>
              <w:t>If filing as a non-U.S. institution in accordance with § 240.13d-1(b)(1)(ii)(J), please specify the type of institution:</w:t>
            </w:r>
          </w:p>
        </w:tc>
      </w:tr>
      <w:tr>
        <w:trPr>
          <w:trHeight w:val="439"/>
        </w:trPr>
        <w:tc>
          <w:tcPr>
            <w:tcW w:w="960" w:type="dxa"/>
            <w:vAlign w:val="bottom"/>
          </w:tcPr>
          <w:p>
            <w:pPr>
              <w:spacing w:after="0"/>
              <w:rPr>
                <w:sz w:val="20"/>
                <w:szCs w:val="20"/>
                <w:color w:val="auto"/>
              </w:rPr>
            </w:pPr>
            <w:r>
              <w:rPr>
                <w:rFonts w:ascii="Arial" w:cs="Arial" w:eastAsia="Arial" w:hAnsi="Arial"/>
                <w:sz w:val="17"/>
                <w:szCs w:val="17"/>
                <w:b w:val="1"/>
                <w:bCs w:val="1"/>
                <w:color w:val="auto"/>
              </w:rPr>
              <w:t>Item 4</w:t>
            </w:r>
          </w:p>
        </w:tc>
        <w:tc>
          <w:tcPr>
            <w:tcW w:w="1300" w:type="dxa"/>
            <w:vAlign w:val="bottom"/>
            <w:gridSpan w:val="2"/>
          </w:tcPr>
          <w:p>
            <w:pPr>
              <w:ind w:left="280"/>
              <w:spacing w:after="0"/>
              <w:rPr>
                <w:sz w:val="20"/>
                <w:szCs w:val="20"/>
                <w:color w:val="auto"/>
              </w:rPr>
            </w:pPr>
            <w:r>
              <w:rPr>
                <w:rFonts w:ascii="Arial" w:cs="Arial" w:eastAsia="Arial" w:hAnsi="Arial"/>
                <w:sz w:val="17"/>
                <w:szCs w:val="17"/>
                <w:b w:val="1"/>
                <w:bCs w:val="1"/>
                <w:color w:val="auto"/>
              </w:rPr>
              <w:t>Ownership</w:t>
            </w:r>
          </w:p>
        </w:tc>
        <w:tc>
          <w:tcPr>
            <w:tcW w:w="9060" w:type="dxa"/>
            <w:vAlign w:val="bottom"/>
          </w:tcPr>
          <w:p>
            <w:pPr>
              <w:spacing w:after="0"/>
              <w:rPr>
                <w:sz w:val="24"/>
                <w:szCs w:val="24"/>
                <w:color w:val="auto"/>
              </w:rPr>
            </w:pPr>
          </w:p>
        </w:tc>
      </w:tr>
      <w:tr>
        <w:trPr>
          <w:trHeight w:val="439"/>
        </w:trPr>
        <w:tc>
          <w:tcPr>
            <w:tcW w:w="960" w:type="dxa"/>
            <w:vAlign w:val="bottom"/>
          </w:tcPr>
          <w:p>
            <w:pPr>
              <w:spacing w:after="0"/>
              <w:rPr>
                <w:sz w:val="20"/>
                <w:szCs w:val="20"/>
                <w:color w:val="auto"/>
              </w:rPr>
            </w:pPr>
            <w:r>
              <w:rPr>
                <w:rFonts w:ascii="Arial" w:cs="Arial" w:eastAsia="Arial" w:hAnsi="Arial"/>
                <w:sz w:val="17"/>
                <w:szCs w:val="17"/>
                <w:b w:val="1"/>
                <w:bCs w:val="1"/>
                <w:color w:val="auto"/>
              </w:rPr>
              <w:t>Item 4(a)</w:t>
            </w:r>
          </w:p>
        </w:tc>
        <w:tc>
          <w:tcPr>
            <w:tcW w:w="10360" w:type="dxa"/>
            <w:vAlign w:val="bottom"/>
            <w:gridSpan w:val="3"/>
          </w:tcPr>
          <w:p>
            <w:pPr>
              <w:ind w:left="280"/>
              <w:spacing w:after="0"/>
              <w:rPr>
                <w:sz w:val="20"/>
                <w:szCs w:val="20"/>
                <w:color w:val="auto"/>
              </w:rPr>
            </w:pPr>
            <w:r>
              <w:rPr>
                <w:rFonts w:ascii="Arial" w:cs="Arial" w:eastAsia="Arial" w:hAnsi="Arial"/>
                <w:sz w:val="17"/>
                <w:szCs w:val="17"/>
                <w:b w:val="1"/>
                <w:bCs w:val="1"/>
                <w:color w:val="auto"/>
              </w:rPr>
              <w:t>Amount Beneficially Owned:</w:t>
            </w:r>
          </w:p>
        </w:tc>
      </w:tr>
    </w:tbl>
    <w:p>
      <w:pPr>
        <w:spacing w:after="0" w:line="200" w:lineRule="exact"/>
        <w:rPr>
          <w:sz w:val="20"/>
          <w:szCs w:val="20"/>
          <w:color w:val="auto"/>
        </w:rPr>
      </w:pPr>
    </w:p>
    <w:p>
      <w:pPr>
        <w:spacing w:after="0" w:line="254" w:lineRule="exact"/>
        <w:rPr>
          <w:sz w:val="20"/>
          <w:szCs w:val="20"/>
          <w:color w:val="auto"/>
        </w:rPr>
      </w:pPr>
    </w:p>
    <w:p>
      <w:pPr>
        <w:jc w:val="both"/>
        <w:ind w:left="1400" w:hanging="459"/>
        <w:spacing w:after="0" w:line="280" w:lineRule="auto"/>
        <w:tabs>
          <w:tab w:leader="none" w:pos="1380" w:val="left"/>
        </w:tabs>
        <w:rPr>
          <w:sz w:val="20"/>
          <w:szCs w:val="20"/>
          <w:color w:val="auto"/>
        </w:rPr>
      </w:pPr>
      <w:r>
        <w:rPr>
          <w:rFonts w:ascii="Arial" w:cs="Arial" w:eastAsia="Arial" w:hAnsi="Arial"/>
          <w:sz w:val="17"/>
          <w:szCs w:val="17"/>
          <w:color w:val="auto"/>
        </w:rPr>
        <w:t>i)</w:t>
      </w:r>
      <w:r>
        <w:rPr>
          <w:sz w:val="20"/>
          <w:szCs w:val="20"/>
          <w:color w:val="auto"/>
        </w:rPr>
        <w:tab/>
      </w:r>
      <w:r>
        <w:rPr>
          <w:rFonts w:ascii="Arial" w:cs="Arial" w:eastAsia="Arial" w:hAnsi="Arial"/>
          <w:sz w:val="17"/>
          <w:szCs w:val="17"/>
          <w:color w:val="auto"/>
        </w:rPr>
        <w:t>Greenlight LLC may be deemed the beneficial owner of an aggregate of 7,696,503 Common Shares held for the accounts of Greenlight Fund and Greenlight Qualified.</w:t>
      </w:r>
    </w:p>
    <w:p>
      <w:pPr>
        <w:spacing w:after="0" w:line="189" w:lineRule="exact"/>
        <w:rPr>
          <w:sz w:val="20"/>
          <w:szCs w:val="20"/>
          <w:color w:val="auto"/>
        </w:rPr>
      </w:pPr>
    </w:p>
    <w:p>
      <w:pPr>
        <w:jc w:val="both"/>
        <w:ind w:left="1400" w:hanging="459"/>
        <w:spacing w:after="0" w:line="280" w:lineRule="auto"/>
        <w:tabs>
          <w:tab w:leader="none" w:pos="1380" w:val="left"/>
        </w:tabs>
        <w:rPr>
          <w:sz w:val="20"/>
          <w:szCs w:val="20"/>
          <w:color w:val="auto"/>
        </w:rPr>
      </w:pPr>
      <w:r>
        <w:rPr>
          <w:rFonts w:ascii="Arial" w:cs="Arial" w:eastAsia="Arial" w:hAnsi="Arial"/>
          <w:sz w:val="17"/>
          <w:szCs w:val="17"/>
          <w:color w:val="auto"/>
        </w:rPr>
        <w:t>ii)</w:t>
      </w:r>
      <w:r>
        <w:rPr>
          <w:sz w:val="20"/>
          <w:szCs w:val="20"/>
          <w:color w:val="auto"/>
        </w:rPr>
        <w:tab/>
      </w:r>
      <w:r>
        <w:rPr>
          <w:rFonts w:ascii="Arial" w:cs="Arial" w:eastAsia="Arial" w:hAnsi="Arial"/>
          <w:sz w:val="17"/>
          <w:szCs w:val="17"/>
          <w:color w:val="auto"/>
        </w:rPr>
        <w:t>Greenlight Inc. may be deemed the beneficial owner of an aggregate of 18,780,825 Common Shares held for the accounts of Greenlight Fund, Greenlight Qualified and Greenlight Offshore.</w:t>
      </w:r>
    </w:p>
    <w:p>
      <w:pPr>
        <w:spacing w:after="0" w:line="189" w:lineRule="exact"/>
        <w:rPr>
          <w:sz w:val="20"/>
          <w:szCs w:val="20"/>
          <w:color w:val="auto"/>
        </w:rPr>
      </w:pPr>
    </w:p>
    <w:p>
      <w:pPr>
        <w:ind w:left="940"/>
        <w:spacing w:after="0"/>
        <w:tabs>
          <w:tab w:leader="none" w:pos="1380" w:val="left"/>
        </w:tabs>
        <w:rPr>
          <w:sz w:val="20"/>
          <w:szCs w:val="20"/>
          <w:color w:val="auto"/>
        </w:rPr>
      </w:pPr>
      <w:r>
        <w:rPr>
          <w:rFonts w:ascii="Arial" w:cs="Arial" w:eastAsia="Arial" w:hAnsi="Arial"/>
          <w:sz w:val="17"/>
          <w:szCs w:val="17"/>
          <w:color w:val="auto"/>
        </w:rPr>
        <w:t>iii)</w:t>
      </w:r>
      <w:r>
        <w:rPr>
          <w:sz w:val="20"/>
          <w:szCs w:val="20"/>
          <w:color w:val="auto"/>
        </w:rPr>
        <w:tab/>
      </w:r>
      <w:r>
        <w:rPr>
          <w:rFonts w:ascii="Arial" w:cs="Arial" w:eastAsia="Arial" w:hAnsi="Arial"/>
          <w:sz w:val="17"/>
          <w:szCs w:val="17"/>
          <w:color w:val="auto"/>
        </w:rPr>
        <w:t>DME Management GP may be deemed the beneficial owner of 3,271,101 Common Shares held for the account of Greenlight Gold.</w:t>
      </w:r>
    </w:p>
    <w:p>
      <w:pPr>
        <w:spacing w:after="0" w:line="243" w:lineRule="exact"/>
        <w:rPr>
          <w:sz w:val="20"/>
          <w:szCs w:val="20"/>
          <w:color w:val="auto"/>
        </w:rPr>
      </w:pPr>
    </w:p>
    <w:p>
      <w:pPr>
        <w:ind w:left="940"/>
        <w:spacing w:after="0"/>
        <w:tabs>
          <w:tab w:leader="none" w:pos="1380" w:val="left"/>
        </w:tabs>
        <w:rPr>
          <w:sz w:val="20"/>
          <w:szCs w:val="20"/>
          <w:color w:val="auto"/>
        </w:rPr>
      </w:pPr>
      <w:r>
        <w:rPr>
          <w:rFonts w:ascii="Arial" w:cs="Arial" w:eastAsia="Arial" w:hAnsi="Arial"/>
          <w:sz w:val="17"/>
          <w:szCs w:val="17"/>
          <w:color w:val="auto"/>
        </w:rPr>
        <w:t>iv)</w:t>
      </w:r>
      <w:r>
        <w:rPr>
          <w:sz w:val="20"/>
          <w:szCs w:val="20"/>
          <w:color w:val="auto"/>
        </w:rPr>
        <w:tab/>
      </w:r>
      <w:r>
        <w:rPr>
          <w:rFonts w:ascii="Arial" w:cs="Arial" w:eastAsia="Arial" w:hAnsi="Arial"/>
          <w:sz w:val="17"/>
          <w:szCs w:val="17"/>
          <w:color w:val="auto"/>
        </w:rPr>
        <w:t>DME Advisors may be deemed the beneficial owner of 4,162,600 Common Shares held for the account of the Managed Account.</w:t>
      </w:r>
    </w:p>
    <w:p>
      <w:pPr>
        <w:spacing w:after="0" w:line="243" w:lineRule="exact"/>
        <w:rPr>
          <w:sz w:val="20"/>
          <w:szCs w:val="20"/>
          <w:color w:val="auto"/>
        </w:rPr>
      </w:pPr>
    </w:p>
    <w:p>
      <w:pPr>
        <w:jc w:val="both"/>
        <w:ind w:left="1400" w:hanging="459"/>
        <w:spacing w:after="0" w:line="280" w:lineRule="auto"/>
        <w:tabs>
          <w:tab w:leader="none" w:pos="1380" w:val="left"/>
        </w:tabs>
        <w:rPr>
          <w:sz w:val="20"/>
          <w:szCs w:val="20"/>
          <w:color w:val="auto"/>
        </w:rPr>
      </w:pPr>
      <w:r>
        <w:rPr>
          <w:rFonts w:ascii="Arial" w:cs="Arial" w:eastAsia="Arial" w:hAnsi="Arial"/>
          <w:sz w:val="17"/>
          <w:szCs w:val="17"/>
          <w:color w:val="auto"/>
        </w:rPr>
        <w:t>v)</w:t>
      </w:r>
      <w:r>
        <w:rPr>
          <w:sz w:val="20"/>
          <w:szCs w:val="20"/>
          <w:color w:val="auto"/>
        </w:rPr>
        <w:tab/>
      </w:r>
      <w:r>
        <w:rPr>
          <w:rFonts w:ascii="Arial" w:cs="Arial" w:eastAsia="Arial" w:hAnsi="Arial"/>
          <w:sz w:val="17"/>
          <w:szCs w:val="17"/>
          <w:color w:val="auto"/>
        </w:rPr>
        <w:t>DME CM may be deemed the beneficial owner of 6,517,754 Common Shares held for the accounts of Greenlight Gold and Greenlight Gold Offshore.</w:t>
      </w:r>
    </w:p>
    <w:p>
      <w:pPr>
        <w:spacing w:after="0" w:line="189" w:lineRule="exact"/>
        <w:rPr>
          <w:sz w:val="20"/>
          <w:szCs w:val="20"/>
          <w:color w:val="auto"/>
        </w:rPr>
      </w:pPr>
    </w:p>
    <w:p>
      <w:pPr>
        <w:jc w:val="both"/>
        <w:ind w:left="1400" w:hanging="459"/>
        <w:spacing w:after="0" w:line="280" w:lineRule="auto"/>
        <w:tabs>
          <w:tab w:leader="none" w:pos="1380" w:val="left"/>
        </w:tabs>
        <w:rPr>
          <w:sz w:val="20"/>
          <w:szCs w:val="20"/>
          <w:color w:val="auto"/>
        </w:rPr>
      </w:pPr>
      <w:r>
        <w:rPr>
          <w:rFonts w:ascii="Arial" w:cs="Arial" w:eastAsia="Arial" w:hAnsi="Arial"/>
          <w:sz w:val="17"/>
          <w:szCs w:val="17"/>
          <w:color w:val="auto"/>
        </w:rPr>
        <w:t>vi)</w:t>
      </w:r>
      <w:r>
        <w:rPr>
          <w:sz w:val="20"/>
          <w:szCs w:val="20"/>
          <w:color w:val="auto"/>
        </w:rPr>
        <w:tab/>
      </w:r>
      <w:r>
        <w:rPr>
          <w:rFonts w:ascii="Arial" w:cs="Arial" w:eastAsia="Arial" w:hAnsi="Arial"/>
          <w:sz w:val="17"/>
          <w:szCs w:val="17"/>
          <w:color w:val="auto"/>
        </w:rPr>
        <w:t>DME GP may be deemed the beneficial owner of 10,680,354 Common Shares held for the accounts of Greenlight Gold, Greenlight Gold Offshore and the Managed Account.</w:t>
      </w:r>
    </w:p>
    <w:p>
      <w:pPr>
        <w:spacing w:after="0" w:line="189" w:lineRule="exact"/>
        <w:rPr>
          <w:sz w:val="20"/>
          <w:szCs w:val="20"/>
          <w:color w:val="auto"/>
        </w:rPr>
      </w:pPr>
    </w:p>
    <w:p>
      <w:pPr>
        <w:jc w:val="both"/>
        <w:ind w:left="1400" w:hanging="459"/>
        <w:spacing w:after="0" w:line="260" w:lineRule="auto"/>
        <w:tabs>
          <w:tab w:leader="none" w:pos="1380" w:val="left"/>
        </w:tabs>
        <w:rPr>
          <w:sz w:val="20"/>
          <w:szCs w:val="20"/>
          <w:color w:val="auto"/>
        </w:rPr>
      </w:pPr>
      <w:r>
        <w:rPr>
          <w:rFonts w:ascii="Arial" w:cs="Arial" w:eastAsia="Arial" w:hAnsi="Arial"/>
          <w:sz w:val="17"/>
          <w:szCs w:val="17"/>
          <w:color w:val="auto"/>
        </w:rPr>
        <w:t>vii)</w:t>
        <w:tab/>
        <w:t>Mr. Einhorn may be deemed the beneficial owner of 29,595,179 Common Shares. This number consists of: (A) an aggregate of 7,696,503 Common Shares held for the accounts of Greenlight Fund and Greenlight Qualified, (B) 11,084,322 Common Shares held for the account of Greenlight Offshore, (C) 3,271,101 Common Shares held for the account of Greenlight Gold, (D) 3,246,653 Common Shares held for the account of Greenlight Gold Offshore, (E) 4,162,600 Common Shares held for the Managed Account, and (F) 134,000 Common Shares held for the account of Greenlight Masters.</w:t>
      </w:r>
    </w:p>
    <w:p>
      <w:pPr>
        <w:spacing w:after="0" w:line="206" w:lineRule="exact"/>
        <w:rPr>
          <w:sz w:val="20"/>
          <w:szCs w:val="20"/>
          <w:color w:val="auto"/>
        </w:rPr>
      </w:pPr>
    </w:p>
    <w:p>
      <w:pPr>
        <w:jc w:val="both"/>
        <w:ind w:left="940"/>
        <w:spacing w:after="0" w:line="283" w:lineRule="auto"/>
        <w:rPr>
          <w:sz w:val="20"/>
          <w:szCs w:val="20"/>
          <w:color w:val="auto"/>
        </w:rPr>
      </w:pPr>
      <w:r>
        <w:rPr>
          <w:rFonts w:ascii="Arial" w:cs="Arial" w:eastAsia="Arial" w:hAnsi="Arial"/>
          <w:sz w:val="16"/>
          <w:szCs w:val="16"/>
          <w:color w:val="auto"/>
        </w:rPr>
        <w:t>The filing of this Schedule 13G shall not be construed as an admission that any of the Reporting Persons is for the purposes of Section 13(d) or 13(g) of the Securities Exchange Act of 1934, the beneficial owner of any of the Common Shares owned by Greenlight Fund, Greenlight Qualified, Greenlight Offshore, Greenlight Gold, Greenlight Gold Offshore, the Managed Account or Greenlight Masters. Pursuant to Rule 13d-4, each of the Reporting Persons disclaims all such beneficial ownership except to the extent of its pecuniary interest in any Common Shares, if applicable.</w:t>
      </w:r>
    </w:p>
    <w:p>
      <w:pPr>
        <w:sectPr>
          <w:pgSz w:w="11900" w:h="16838" w:orient="portrait"/>
          <w:cols w:equalWidth="0" w:num="1">
            <w:col w:w="11420"/>
          </w:cols>
          <w:pgMar w:left="240" w:top="127" w:right="239" w:bottom="0" w:gutter="0" w:footer="0" w:header="0"/>
        </w:sectPr>
      </w:pPr>
    </w:p>
    <w:p>
      <w:pPr>
        <w:spacing w:after="0" w:line="18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4(b)</w:t>
      </w:r>
    </w:p>
    <w:p>
      <w:pPr>
        <w:spacing w:after="0" w:line="20" w:lineRule="exact"/>
        <w:rPr>
          <w:sz w:val="20"/>
          <w:szCs w:val="20"/>
          <w:color w:val="auto"/>
        </w:rPr>
      </w:pPr>
      <w:r>
        <w:rPr>
          <w:sz w:val="20"/>
          <w:szCs w:val="20"/>
          <w:color w:val="auto"/>
        </w:rPr>
        <w:br w:type="column"/>
      </w:r>
    </w:p>
    <w:p>
      <w:pPr>
        <w:spacing w:after="0" w:line="164"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Percent of Class</w:t>
      </w:r>
    </w:p>
    <w:p>
      <w:pPr>
        <w:spacing w:after="0" w:line="211" w:lineRule="exact"/>
        <w:rPr>
          <w:sz w:val="20"/>
          <w:szCs w:val="20"/>
          <w:color w:val="auto"/>
        </w:rPr>
      </w:pPr>
    </w:p>
    <w:p>
      <w:pPr>
        <w:sectPr>
          <w:pgSz w:w="11900" w:h="16838" w:orient="portrait"/>
          <w:cols w:equalWidth="0" w:num="2">
            <w:col w:w="680" w:space="560"/>
            <w:col w:w="10180"/>
          </w:cols>
          <w:pgMar w:left="240" w:top="127" w:right="239" w:bottom="0" w:gutter="0" w:footer="0" w:header="0"/>
          <w:type w:val="continuous"/>
        </w:sectPr>
      </w:pPr>
    </w:p>
    <w:p>
      <w:pPr>
        <w:spacing w:after="0" w:line="61" w:lineRule="exact"/>
        <w:rPr>
          <w:sz w:val="20"/>
          <w:szCs w:val="20"/>
          <w:color w:val="auto"/>
        </w:rPr>
      </w:pPr>
    </w:p>
    <w:p>
      <w:pPr>
        <w:jc w:val="both"/>
        <w:ind w:left="940"/>
        <w:spacing w:after="0" w:line="262"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4(b) for each such Reporting Person. The percentages reported herein have been determined by dividing the number of Common Shares beneficially owned by each of the Reporting Persons by 563,400,000, the number of Common Shares outstanding as of May 25, 2012, as reported in the Quarterly Report on Form 10-Q filed by the Issuer on June 1, 2012 with the Securities and Exchange Commission.</w:t>
      </w:r>
    </w:p>
    <w:p>
      <w:pPr>
        <w:sectPr>
          <w:pgSz w:w="11900" w:h="16838" w:orient="portrait"/>
          <w:cols w:equalWidth="0" w:num="1">
            <w:col w:w="11420"/>
          </w:cols>
          <w:pgMar w:left="240" w:top="127" w:right="239" w:bottom="0" w:gutter="0" w:footer="0" w:header="0"/>
          <w:type w:val="continuous"/>
        </w:sectPr>
      </w:pPr>
    </w:p>
    <w:p>
      <w:pPr>
        <w:spacing w:after="0" w:line="19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4(c)</w:t>
      </w:r>
    </w:p>
    <w:p>
      <w:pPr>
        <w:spacing w:after="0" w:line="20" w:lineRule="exact"/>
        <w:rPr>
          <w:sz w:val="20"/>
          <w:szCs w:val="20"/>
          <w:color w:val="auto"/>
        </w:rPr>
      </w:pPr>
      <w:r>
        <w:rPr>
          <w:sz w:val="20"/>
          <w:szCs w:val="20"/>
          <w:color w:val="auto"/>
        </w:rPr>
        <w:br w:type="column"/>
      </w:r>
    </w:p>
    <w:p>
      <w:pPr>
        <w:spacing w:after="0" w:line="17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Number of shares as to which each such person has voting and dispositive power:</w:t>
      </w:r>
    </w:p>
    <w:p>
      <w:pPr>
        <w:spacing w:after="0" w:line="211" w:lineRule="exact"/>
        <w:rPr>
          <w:sz w:val="20"/>
          <w:szCs w:val="20"/>
          <w:color w:val="auto"/>
        </w:rPr>
      </w:pPr>
    </w:p>
    <w:p>
      <w:pPr>
        <w:sectPr>
          <w:pgSz w:w="11900" w:h="16838" w:orient="portrait"/>
          <w:cols w:equalWidth="0" w:num="2">
            <w:col w:w="660" w:space="580"/>
            <w:col w:w="10180"/>
          </w:cols>
          <w:pgMar w:left="240" w:top="127" w:right="239" w:bottom="0" w:gutter="0" w:footer="0" w:header="0"/>
          <w:type w:val="continuous"/>
        </w:sectPr>
      </w:pPr>
    </w:p>
    <w:p>
      <w:pPr>
        <w:spacing w:after="0" w:line="61" w:lineRule="exact"/>
        <w:rPr>
          <w:sz w:val="20"/>
          <w:szCs w:val="20"/>
          <w:color w:val="auto"/>
        </w:rPr>
      </w:pPr>
    </w:p>
    <w:p>
      <w:pPr>
        <w:ind w:left="940"/>
        <w:spacing w:after="0" w:line="280"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4(c) for each such Reporting Person.</w:t>
      </w:r>
    </w:p>
    <w:p>
      <w:pPr>
        <w:sectPr>
          <w:pgSz w:w="11900" w:h="16838" w:orient="portrait"/>
          <w:cols w:equalWidth="0" w:num="1">
            <w:col w:w="11420"/>
          </w:cols>
          <w:pgMar w:left="240" w:top="127" w:right="239" w:bottom="0" w:gutter="0" w:footer="0" w:header="0"/>
          <w:type w:val="continuous"/>
        </w:sectPr>
      </w:pPr>
    </w:p>
    <w:p>
      <w:pPr>
        <w:spacing w:after="0" w:line="183"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5</w:t>
      </w:r>
    </w:p>
    <w:p>
      <w:pPr>
        <w:spacing w:after="0" w:line="20" w:lineRule="exact"/>
        <w:rPr>
          <w:sz w:val="20"/>
          <w:szCs w:val="20"/>
          <w:color w:val="auto"/>
        </w:rPr>
      </w:pPr>
      <w:r>
        <w:rPr>
          <w:sz w:val="20"/>
          <w:szCs w:val="20"/>
          <w:color w:val="auto"/>
        </w:rPr>
        <w:br w:type="column"/>
      </w:r>
    </w:p>
    <w:p>
      <w:pPr>
        <w:spacing w:after="0" w:line="16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Ownership of Five Percent or Less of a Class</w:t>
      </w:r>
    </w:p>
    <w:p>
      <w:pPr>
        <w:spacing w:after="0" w:line="211" w:lineRule="exact"/>
        <w:rPr>
          <w:sz w:val="20"/>
          <w:szCs w:val="20"/>
          <w:color w:val="auto"/>
        </w:rPr>
      </w:pPr>
    </w:p>
    <w:p>
      <w:pPr>
        <w:sectPr>
          <w:pgSz w:w="11900" w:h="16838" w:orient="portrait"/>
          <w:cols w:equalWidth="0" w:num="2">
            <w:col w:w="520" w:space="720"/>
            <w:col w:w="10180"/>
          </w:cols>
          <w:pgMar w:left="240" w:top="127" w:right="239" w:bottom="0" w:gutter="0" w:footer="0" w:header="0"/>
          <w:type w:val="continuous"/>
        </w:sectPr>
      </w:pPr>
    </w:p>
    <w:p>
      <w:pPr>
        <w:spacing w:after="0" w:line="61" w:lineRule="exact"/>
        <w:rPr>
          <w:sz w:val="20"/>
          <w:szCs w:val="20"/>
          <w:color w:val="auto"/>
        </w:rPr>
      </w:pPr>
    </w:p>
    <w:p>
      <w:pPr>
        <w:ind w:left="940"/>
        <w:spacing w:after="0"/>
        <w:rPr>
          <w:sz w:val="20"/>
          <w:szCs w:val="20"/>
          <w:color w:val="auto"/>
        </w:rPr>
      </w:pPr>
      <w:r>
        <w:rPr>
          <w:rFonts w:ascii="Arial" w:cs="Arial" w:eastAsia="Arial" w:hAnsi="Arial"/>
          <w:sz w:val="15"/>
          <w:szCs w:val="15"/>
          <w:color w:val="auto"/>
        </w:rPr>
        <w:t>Not applicable.</w:t>
      </w:r>
    </w:p>
    <w:p>
      <w:pPr>
        <w:sectPr>
          <w:pgSz w:w="11900" w:h="16838" w:orient="portrait"/>
          <w:cols w:equalWidth="0" w:num="1">
            <w:col w:w="11420"/>
          </w:cols>
          <w:pgMar w:left="240" w:top="127" w:right="239" w:bottom="0" w:gutter="0" w:footer="0" w:header="0"/>
          <w:type w:val="continuous"/>
        </w:sectPr>
      </w:pPr>
    </w:p>
    <w:p>
      <w:pPr>
        <w:spacing w:after="0" w:line="26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6</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Ownership of More than Five Percent on Behalf of Another Person</w:t>
      </w:r>
    </w:p>
    <w:p>
      <w:pPr>
        <w:spacing w:after="0" w:line="211" w:lineRule="exact"/>
        <w:rPr>
          <w:sz w:val="20"/>
          <w:szCs w:val="20"/>
          <w:color w:val="auto"/>
        </w:rPr>
      </w:pPr>
    </w:p>
    <w:p>
      <w:pPr>
        <w:sectPr>
          <w:pgSz w:w="11900" w:h="16838" w:orient="portrait"/>
          <w:cols w:equalWidth="0" w:num="2">
            <w:col w:w="520" w:space="720"/>
            <w:col w:w="10180"/>
          </w:cols>
          <w:pgMar w:left="240" w:top="127" w:right="239" w:bottom="0" w:gutter="0" w:footer="0" w:header="0"/>
          <w:type w:val="continuous"/>
        </w:sectPr>
      </w:pPr>
    </w:p>
    <w:p>
      <w:pPr>
        <w:spacing w:after="0" w:line="61" w:lineRule="exact"/>
        <w:rPr>
          <w:sz w:val="20"/>
          <w:szCs w:val="20"/>
          <w:color w:val="auto"/>
        </w:rPr>
      </w:pPr>
    </w:p>
    <w:p>
      <w:pPr>
        <w:ind w:left="940"/>
        <w:spacing w:after="0"/>
        <w:rPr>
          <w:sz w:val="20"/>
          <w:szCs w:val="20"/>
          <w:color w:val="auto"/>
        </w:rPr>
      </w:pPr>
      <w:r>
        <w:rPr>
          <w:rFonts w:ascii="Arial" w:cs="Arial" w:eastAsia="Arial" w:hAnsi="Arial"/>
          <w:sz w:val="15"/>
          <w:szCs w:val="15"/>
          <w:color w:val="auto"/>
        </w:rPr>
        <w:t>Not applicable.</w:t>
      </w:r>
    </w:p>
    <w:p>
      <w:pPr>
        <w:sectPr>
          <w:pgSz w:w="11900" w:h="16838" w:orient="portrait"/>
          <w:cols w:equalWidth="0" w:num="1">
            <w:col w:w="11420"/>
          </w:cols>
          <w:pgMar w:left="240" w:top="127" w:right="239" w:bottom="0" w:gutter="0" w:footer="0" w:header="0"/>
          <w:type w:val="continuous"/>
        </w:sectPr>
      </w:pPr>
    </w:p>
    <w:p>
      <w:pPr>
        <w:spacing w:after="0" w:line="26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7</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Identification and Classification of the Subsidiary Which Acquired the Security Being Reported on By the Parent Holding Company</w:t>
      </w:r>
    </w:p>
    <w:p>
      <w:pPr>
        <w:spacing w:after="0" w:line="211" w:lineRule="exact"/>
        <w:rPr>
          <w:sz w:val="20"/>
          <w:szCs w:val="20"/>
          <w:color w:val="auto"/>
        </w:rPr>
      </w:pPr>
    </w:p>
    <w:p>
      <w:pPr>
        <w:sectPr>
          <w:pgSz w:w="11900" w:h="16838" w:orient="portrait"/>
          <w:cols w:equalWidth="0" w:num="2">
            <w:col w:w="520" w:space="720"/>
            <w:col w:w="10180"/>
          </w:cols>
          <w:pgMar w:left="240" w:top="127" w:right="239" w:bottom="0" w:gutter="0" w:footer="0" w:header="0"/>
          <w:type w:val="continuous"/>
        </w:sectPr>
      </w:pPr>
    </w:p>
    <w:p>
      <w:pPr>
        <w:spacing w:after="0" w:line="61" w:lineRule="exact"/>
        <w:rPr>
          <w:sz w:val="20"/>
          <w:szCs w:val="20"/>
          <w:color w:val="auto"/>
        </w:rPr>
      </w:pPr>
    </w:p>
    <w:p>
      <w:pPr>
        <w:ind w:left="940"/>
        <w:spacing w:after="0"/>
        <w:rPr>
          <w:sz w:val="20"/>
          <w:szCs w:val="20"/>
          <w:color w:val="auto"/>
        </w:rPr>
      </w:pPr>
      <w:r>
        <w:rPr>
          <w:rFonts w:ascii="Arial" w:cs="Arial" w:eastAsia="Arial" w:hAnsi="Arial"/>
          <w:sz w:val="15"/>
          <w:szCs w:val="15"/>
          <w:color w:val="auto"/>
        </w:rPr>
        <w:t>Not applicable.</w:t>
      </w:r>
    </w:p>
    <w:p>
      <w:pPr>
        <w:sectPr>
          <w:pgSz w:w="11900" w:h="16838" w:orient="portrait"/>
          <w:cols w:equalWidth="0" w:num="1">
            <w:col w:w="11420"/>
          </w:cols>
          <w:pgMar w:left="240" w:top="127" w:right="239" w:bottom="0" w:gutter="0" w:footer="0" w:header="0"/>
          <w:type w:val="continuous"/>
        </w:sectPr>
      </w:pPr>
    </w:p>
    <w:bookmarkStart w:id="11" w:name="page12"/>
    <w:bookmarkEnd w:id="11"/>
    <w:p>
      <w:pPr>
        <w:spacing w:after="0"/>
        <w:rPr>
          <w:sz w:val="20"/>
          <w:szCs w:val="20"/>
          <w:color w:val="auto"/>
        </w:rPr>
      </w:pPr>
      <w:r>
        <w:rPr>
          <w:rFonts w:ascii="Arial" w:cs="Arial" w:eastAsia="Arial" w:hAnsi="Arial"/>
          <w:sz w:val="16"/>
          <w:szCs w:val="16"/>
          <w:b w:val="1"/>
          <w:bCs w:val="1"/>
          <w:color w:val="auto"/>
        </w:rPr>
        <w:t>Item 8</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b w:val="1"/>
          <w:bCs w:val="1"/>
          <w:color w:val="auto"/>
        </w:rPr>
        <w:t>Identification and Classification of Members of the Group</w:t>
      </w:r>
    </w:p>
    <w:p>
      <w:pPr>
        <w:spacing w:after="0" w:line="211" w:lineRule="exact"/>
        <w:rPr>
          <w:sz w:val="20"/>
          <w:szCs w:val="20"/>
          <w:color w:val="auto"/>
        </w:rPr>
      </w:pPr>
    </w:p>
    <w:p>
      <w:pPr>
        <w:sectPr>
          <w:pgSz w:w="11900" w:h="16838" w:orient="portrait"/>
          <w:cols w:equalWidth="0" w:num="2">
            <w:col w:w="520" w:space="720"/>
            <w:col w:w="10180"/>
          </w:cols>
          <w:pgMar w:left="240" w:top="353" w:right="239" w:bottom="1440" w:gutter="0" w:footer="0" w:header="0"/>
        </w:sectPr>
      </w:pPr>
    </w:p>
    <w:p>
      <w:pPr>
        <w:spacing w:after="0" w:line="61" w:lineRule="exact"/>
        <w:rPr>
          <w:sz w:val="20"/>
          <w:szCs w:val="20"/>
          <w:color w:val="auto"/>
        </w:rPr>
      </w:pPr>
    </w:p>
    <w:p>
      <w:pPr>
        <w:ind w:left="940"/>
        <w:spacing w:after="0"/>
        <w:rPr>
          <w:sz w:val="20"/>
          <w:szCs w:val="20"/>
          <w:color w:val="auto"/>
        </w:rPr>
      </w:pPr>
      <w:r>
        <w:rPr>
          <w:rFonts w:ascii="Arial" w:cs="Arial" w:eastAsia="Arial" w:hAnsi="Arial"/>
          <w:sz w:val="15"/>
          <w:szCs w:val="15"/>
          <w:color w:val="auto"/>
        </w:rPr>
        <w:t>Not applicable.</w:t>
      </w:r>
    </w:p>
    <w:p>
      <w:pPr>
        <w:sectPr>
          <w:pgSz w:w="11900" w:h="16838" w:orient="portrait"/>
          <w:cols w:equalWidth="0" w:num="1">
            <w:col w:w="11420"/>
          </w:cols>
          <w:pgMar w:left="240" w:top="353" w:right="239" w:bottom="1440" w:gutter="0" w:footer="0" w:header="0"/>
          <w:type w:val="continuous"/>
        </w:sectPr>
      </w:pPr>
    </w:p>
    <w:p>
      <w:pPr>
        <w:spacing w:after="0" w:line="26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9</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Notice of Dissolution of Group</w:t>
      </w:r>
    </w:p>
    <w:p>
      <w:pPr>
        <w:spacing w:after="0" w:line="211" w:lineRule="exact"/>
        <w:rPr>
          <w:sz w:val="20"/>
          <w:szCs w:val="20"/>
          <w:color w:val="auto"/>
        </w:rPr>
      </w:pPr>
    </w:p>
    <w:p>
      <w:pPr>
        <w:sectPr>
          <w:pgSz w:w="11900" w:h="16838" w:orient="portrait"/>
          <w:cols w:equalWidth="0" w:num="2">
            <w:col w:w="520" w:space="720"/>
            <w:col w:w="10180"/>
          </w:cols>
          <w:pgMar w:left="240" w:top="353" w:right="239" w:bottom="1440" w:gutter="0" w:footer="0" w:header="0"/>
          <w:type w:val="continuous"/>
        </w:sectPr>
      </w:pPr>
    </w:p>
    <w:p>
      <w:pPr>
        <w:spacing w:after="0" w:line="61" w:lineRule="exact"/>
        <w:rPr>
          <w:sz w:val="20"/>
          <w:szCs w:val="20"/>
          <w:color w:val="auto"/>
        </w:rPr>
      </w:pPr>
    </w:p>
    <w:p>
      <w:pPr>
        <w:ind w:left="940"/>
        <w:spacing w:after="0"/>
        <w:rPr>
          <w:sz w:val="20"/>
          <w:szCs w:val="20"/>
          <w:color w:val="auto"/>
        </w:rPr>
      </w:pPr>
      <w:r>
        <w:rPr>
          <w:rFonts w:ascii="Arial" w:cs="Arial" w:eastAsia="Arial" w:hAnsi="Arial"/>
          <w:sz w:val="15"/>
          <w:szCs w:val="15"/>
          <w:color w:val="auto"/>
        </w:rPr>
        <w:t>Not applicable.</w:t>
      </w:r>
    </w:p>
    <w:p>
      <w:pPr>
        <w:sectPr>
          <w:pgSz w:w="11900" w:h="16838" w:orient="portrait"/>
          <w:cols w:equalWidth="0" w:num="1">
            <w:col w:w="11420"/>
          </w:cols>
          <w:pgMar w:left="240" w:top="353" w:right="239" w:bottom="1440" w:gutter="0" w:footer="0" w:header="0"/>
          <w:type w:val="continuous"/>
        </w:sectPr>
      </w:pPr>
    </w:p>
    <w:p>
      <w:pPr>
        <w:spacing w:after="0" w:line="26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Item 10</w:t>
      </w:r>
    </w:p>
    <w:p>
      <w:pPr>
        <w:spacing w:after="0" w:line="20" w:lineRule="exact"/>
        <w:rPr>
          <w:sz w:val="20"/>
          <w:szCs w:val="20"/>
          <w:color w:val="auto"/>
        </w:rPr>
      </w:pPr>
      <w:r>
        <w:rPr>
          <w:sz w:val="20"/>
          <w:szCs w:val="20"/>
          <w:color w:val="auto"/>
        </w:rPr>
        <w:br w:type="column"/>
      </w:r>
    </w:p>
    <w:p>
      <w:pPr>
        <w:spacing w:after="0" w:line="24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Certification</w:t>
      </w:r>
    </w:p>
    <w:p>
      <w:pPr>
        <w:spacing w:after="0" w:line="200" w:lineRule="exact"/>
        <w:rPr>
          <w:sz w:val="20"/>
          <w:szCs w:val="20"/>
          <w:color w:val="auto"/>
        </w:rPr>
      </w:pPr>
    </w:p>
    <w:p>
      <w:pPr>
        <w:sectPr>
          <w:pgSz w:w="11900" w:h="16838" w:orient="portrait"/>
          <w:cols w:equalWidth="0" w:num="2">
            <w:col w:w="560" w:space="680"/>
            <w:col w:w="10180"/>
          </w:cols>
          <w:pgMar w:left="240" w:top="353" w:right="239" w:bottom="1440" w:gutter="0" w:footer="0" w:header="0"/>
          <w:type w:val="continuous"/>
        </w:sectPr>
      </w:pPr>
    </w:p>
    <w:p>
      <w:pPr>
        <w:spacing w:after="0" w:line="61" w:lineRule="exact"/>
        <w:rPr>
          <w:sz w:val="20"/>
          <w:szCs w:val="20"/>
          <w:color w:val="auto"/>
        </w:rPr>
      </w:pPr>
    </w:p>
    <w:p>
      <w:pPr>
        <w:jc w:val="both"/>
        <w:ind w:firstLine="465"/>
        <w:spacing w:after="0" w:line="266"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tabs>
          <w:tab w:leader="none" w:pos="1500" w:val="left"/>
        </w:tabs>
        <w:rPr>
          <w:sz w:val="20"/>
          <w:szCs w:val="20"/>
          <w:color w:val="auto"/>
        </w:rPr>
      </w:pPr>
      <w:r>
        <w:rPr>
          <w:rFonts w:ascii="Arial" w:cs="Arial" w:eastAsia="Arial" w:hAnsi="Arial"/>
          <w:sz w:val="17"/>
          <w:szCs w:val="17"/>
          <w:color w:val="auto"/>
        </w:rPr>
        <w:t>Exhibits</w:t>
      </w:r>
      <w:r>
        <w:rPr>
          <w:sz w:val="20"/>
          <w:szCs w:val="20"/>
          <w:color w:val="auto"/>
        </w:rPr>
        <w:tab/>
      </w:r>
      <w:r>
        <w:rPr>
          <w:rFonts w:ascii="Arial" w:cs="Arial" w:eastAsia="Arial" w:hAnsi="Arial"/>
          <w:sz w:val="17"/>
          <w:szCs w:val="17"/>
          <w:color w:val="auto"/>
        </w:rPr>
        <w:t>Exhibit</w:t>
      </w:r>
    </w:p>
    <w:p>
      <w:pPr>
        <w:spacing w:after="0" w:line="243" w:lineRule="exact"/>
        <w:rPr>
          <w:sz w:val="20"/>
          <w:szCs w:val="20"/>
          <w:color w:val="auto"/>
        </w:rPr>
      </w:pPr>
    </w:p>
    <w:p>
      <w:pPr>
        <w:ind w:left="160"/>
        <w:spacing w:after="0"/>
        <w:tabs>
          <w:tab w:leader="none" w:pos="1340" w:val="left"/>
        </w:tabs>
        <w:rPr>
          <w:sz w:val="20"/>
          <w:szCs w:val="20"/>
          <w:color w:val="auto"/>
        </w:rPr>
      </w:pPr>
      <w:r>
        <w:rPr>
          <w:rFonts w:ascii="Arial" w:cs="Arial" w:eastAsia="Arial" w:hAnsi="Arial"/>
          <w:sz w:val="17"/>
          <w:szCs w:val="17"/>
          <w:color w:val="auto"/>
        </w:rPr>
        <w:t>99.1</w:t>
      </w:r>
      <w:r>
        <w:rPr>
          <w:sz w:val="20"/>
          <w:szCs w:val="20"/>
          <w:color w:val="auto"/>
        </w:rPr>
        <w:tab/>
      </w:r>
      <w:r>
        <w:rPr>
          <w:rFonts w:ascii="Arial" w:cs="Arial" w:eastAsia="Arial" w:hAnsi="Arial"/>
          <w:sz w:val="15"/>
          <w:szCs w:val="15"/>
          <w:color w:val="auto"/>
        </w:rPr>
        <w:t>Joint Filing Agreement by and among the Reporting Persons.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537210</wp:posOffset>
            </wp:positionV>
            <wp:extent cx="7257415" cy="209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353" w:right="239" w:bottom="1440" w:gutter="0" w:footer="0" w:header="0"/>
          <w:type w:val="continuous"/>
        </w:sectPr>
      </w:pPr>
    </w:p>
    <w:bookmarkStart w:id="12" w:name="page13"/>
    <w:bookmarkEnd w:id="12"/>
    <w:p>
      <w:pPr>
        <w:jc w:val="center"/>
        <w:ind w:left="620"/>
        <w:spacing w:after="0"/>
        <w:rPr>
          <w:sz w:val="20"/>
          <w:szCs w:val="20"/>
          <w:color w:val="auto"/>
        </w:rPr>
      </w:pPr>
      <w:r>
        <w:rPr>
          <w:rFonts w:ascii="Arial" w:cs="Arial" w:eastAsia="Arial" w:hAnsi="Arial"/>
          <w:sz w:val="17"/>
          <w:szCs w:val="17"/>
          <w:b w:val="1"/>
          <w:bCs w:val="1"/>
          <w:color w:val="auto"/>
        </w:rPr>
        <w:t>SIGNATURE</w:t>
      </w:r>
    </w:p>
    <w:p>
      <w:pPr>
        <w:spacing w:after="0" w:line="249" w:lineRule="exact"/>
        <w:rPr>
          <w:sz w:val="20"/>
          <w:szCs w:val="20"/>
          <w:color w:val="auto"/>
        </w:rPr>
      </w:pPr>
    </w:p>
    <w:p>
      <w:pPr>
        <w:ind w:left="78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55" w:lineRule="exact"/>
        <w:rPr>
          <w:sz w:val="20"/>
          <w:szCs w:val="20"/>
          <w:color w:val="auto"/>
        </w:rPr>
      </w:pPr>
    </w:p>
    <w:p>
      <w:pPr>
        <w:spacing w:after="0"/>
        <w:tabs>
          <w:tab w:leader="none" w:pos="960" w:val="left"/>
        </w:tabs>
        <w:rPr>
          <w:sz w:val="20"/>
          <w:szCs w:val="20"/>
          <w:color w:val="auto"/>
        </w:rPr>
      </w:pPr>
      <w:r>
        <w:rPr>
          <w:rFonts w:ascii="Arial" w:cs="Arial" w:eastAsia="Arial" w:hAnsi="Arial"/>
          <w:sz w:val="17"/>
          <w:szCs w:val="17"/>
          <w:color w:val="auto"/>
        </w:rPr>
        <w:t>Date:</w:t>
      </w:r>
      <w:r>
        <w:rPr>
          <w:sz w:val="20"/>
          <w:szCs w:val="20"/>
          <w:color w:val="auto"/>
        </w:rPr>
        <w:tab/>
      </w:r>
      <w:r>
        <w:rPr>
          <w:rFonts w:ascii="Arial" w:cs="Arial" w:eastAsia="Arial" w:hAnsi="Arial"/>
          <w:sz w:val="17"/>
          <w:szCs w:val="17"/>
          <w:color w:val="auto"/>
        </w:rPr>
        <w:t>July 26, 2012</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GREENLIGHT CAPITAL, L.L.C.</w:t>
      </w:r>
    </w:p>
    <w:p>
      <w:pPr>
        <w:spacing w:after="0" w:line="20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GREENLIGHT CAPITAL, INC.</w:t>
      </w:r>
    </w:p>
    <w:p>
      <w:pPr>
        <w:spacing w:after="0" w:line="224"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DME MANAGEMENT GP, LLC</w:t>
      </w:r>
    </w:p>
    <w:p>
      <w:pPr>
        <w:spacing w:after="0" w:line="224"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DME ADVISORS, LP</w:t>
      </w:r>
    </w:p>
    <w:p>
      <w:pPr>
        <w:spacing w:after="0" w:line="224"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DME CAPITAL MANAGEMENT,</w:t>
      </w:r>
    </w:p>
    <w:p>
      <w:pPr>
        <w:spacing w:after="0" w:line="28"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LP</w:t>
      </w:r>
    </w:p>
    <w:p>
      <w:pPr>
        <w:spacing w:after="0" w:line="20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360"/>
        <w:spacing w:after="0"/>
        <w:rPr>
          <w:sz w:val="20"/>
          <w:szCs w:val="20"/>
          <w:color w:val="auto"/>
        </w:rPr>
      </w:pPr>
      <w:r>
        <w:rPr>
          <w:rFonts w:ascii="Arial" w:cs="Arial" w:eastAsia="Arial" w:hAnsi="Arial"/>
          <w:sz w:val="17"/>
          <w:szCs w:val="17"/>
          <w:b w:val="1"/>
          <w:bCs w:val="1"/>
          <w:color w:val="auto"/>
        </w:rPr>
        <w:t>DME ADVISORS GP, LLC</w:t>
      </w:r>
    </w:p>
    <w:p>
      <w:pPr>
        <w:spacing w:after="0" w:line="224"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Chief Operating Officer</w:t>
      </w:r>
    </w:p>
    <w:p>
      <w:pPr>
        <w:spacing w:after="0" w:line="207" w:lineRule="exact"/>
        <w:rPr>
          <w:sz w:val="20"/>
          <w:szCs w:val="20"/>
          <w:color w:val="auto"/>
        </w:rPr>
      </w:pPr>
    </w:p>
    <w:p>
      <w:pPr>
        <w:ind w:left="6480"/>
        <w:spacing w:after="0"/>
        <w:rPr>
          <w:sz w:val="20"/>
          <w:szCs w:val="20"/>
          <w:color w:val="auto"/>
        </w:rPr>
      </w:pPr>
      <w:r>
        <w:rPr>
          <w:rFonts w:ascii="Arial" w:cs="Arial" w:eastAsia="Arial" w:hAnsi="Arial"/>
          <w:sz w:val="17"/>
          <w:szCs w:val="17"/>
          <w:color w:val="auto"/>
        </w:rPr>
        <w:t>/s/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4034155</wp:posOffset>
            </wp:positionH>
            <wp:positionV relativeFrom="paragraph">
              <wp:posOffset>14605</wp:posOffset>
            </wp:positionV>
            <wp:extent cx="1622425" cy="1651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622425" cy="16510"/>
                    </a:xfrm>
                    <a:prstGeom prst="rect">
                      <a:avLst/>
                    </a:prstGeom>
                    <a:noFill/>
                  </pic:spPr>
                </pic:pic>
              </a:graphicData>
            </a:graphic>
          </wp:anchor>
        </w:drawing>
      </w:r>
    </w:p>
    <w:p>
      <w:pPr>
        <w:spacing w:after="0" w:line="17"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Daniel Roitman, on behalf of David</w:t>
      </w:r>
    </w:p>
    <w:p>
      <w:pPr>
        <w:spacing w:after="0" w:line="22" w:lineRule="exact"/>
        <w:rPr>
          <w:sz w:val="20"/>
          <w:szCs w:val="20"/>
          <w:color w:val="auto"/>
        </w:rPr>
      </w:pPr>
    </w:p>
    <w:p>
      <w:pPr>
        <w:ind w:left="6360"/>
        <w:spacing w:after="0"/>
        <w:rPr>
          <w:sz w:val="20"/>
          <w:szCs w:val="20"/>
          <w:color w:val="auto"/>
        </w:rPr>
      </w:pPr>
      <w:r>
        <w:rPr>
          <w:rFonts w:ascii="Arial" w:cs="Arial" w:eastAsia="Arial" w:hAnsi="Arial"/>
          <w:sz w:val="17"/>
          <w:szCs w:val="17"/>
          <w:color w:val="auto"/>
        </w:rPr>
        <w:t>Einhorn</w:t>
      </w:r>
    </w:p>
    <w:p>
      <w:pPr>
        <w:spacing w:after="0" w:line="233" w:lineRule="exact"/>
        <w:rPr>
          <w:sz w:val="20"/>
          <w:szCs w:val="20"/>
          <w:color w:val="auto"/>
        </w:rPr>
      </w:pPr>
    </w:p>
    <w:p>
      <w:pPr>
        <w:jc w:val="both"/>
        <w:ind w:firstLine="3"/>
        <w:spacing w:after="0" w:line="266" w:lineRule="auto"/>
        <w:tabs>
          <w:tab w:leader="none" w:pos="144"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The Power of Attorney executed by David Einhorn, authorizing the signatory to sign and file this Schedule 13G on David Einhorn’s behalf, filed as Exhibit 99. Schedule 13G filed with the Securities and Exchange Commission on May 24, 2010 by the Reporting Persons with respect to the common stock of NCR Corpora hereby incorporated by reference.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527050</wp:posOffset>
            </wp:positionV>
            <wp:extent cx="7257415" cy="209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520"/>
          </w:cols>
          <w:pgMar w:left="240" w:top="470" w:right="13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195"/>
        </w:trPr>
        <w:tc>
          <w:tcPr>
            <w:tcW w:w="1320" w:type="dxa"/>
            <w:vAlign w:val="bottom"/>
          </w:tcPr>
          <w:p>
            <w:pPr>
              <w:spacing w:after="0"/>
              <w:rPr>
                <w:sz w:val="16"/>
                <w:szCs w:val="16"/>
                <w:color w:val="auto"/>
              </w:rPr>
            </w:pPr>
          </w:p>
        </w:tc>
        <w:tc>
          <w:tcPr>
            <w:tcW w:w="3720" w:type="dxa"/>
            <w:vAlign w:val="bottom"/>
          </w:tcPr>
          <w:p>
            <w:pPr>
              <w:spacing w:after="0"/>
              <w:rPr>
                <w:sz w:val="16"/>
                <w:szCs w:val="16"/>
                <w:color w:val="auto"/>
              </w:rPr>
            </w:pPr>
          </w:p>
        </w:tc>
        <w:tc>
          <w:tcPr>
            <w:tcW w:w="1340" w:type="dxa"/>
            <w:vAlign w:val="bottom"/>
            <w:tcBorders>
              <w:bottom w:val="single" w:sz="8" w:color="auto"/>
            </w:tcBorders>
          </w:tcPr>
          <w:p>
            <w:pPr>
              <w:spacing w:after="0"/>
              <w:rPr>
                <w:sz w:val="20"/>
                <w:szCs w:val="20"/>
                <w:color w:val="auto"/>
              </w:rPr>
            </w:pPr>
            <w:r>
              <w:rPr>
                <w:rFonts w:ascii="Arial" w:cs="Arial" w:eastAsia="Arial" w:hAnsi="Arial"/>
                <w:sz w:val="17"/>
                <w:szCs w:val="17"/>
                <w:b w:val="1"/>
                <w:bCs w:val="1"/>
                <w:color w:val="auto"/>
              </w:rPr>
              <w:t>EXHIBIT INDEX</w:t>
            </w:r>
          </w:p>
        </w:tc>
      </w:tr>
      <w:tr>
        <w:trPr>
          <w:trHeight w:val="430"/>
        </w:trPr>
        <w:tc>
          <w:tcPr>
            <w:tcW w:w="1320" w:type="dxa"/>
            <w:vAlign w:val="bottom"/>
          </w:tcPr>
          <w:p>
            <w:pPr>
              <w:spacing w:after="0"/>
              <w:rPr>
                <w:sz w:val="20"/>
                <w:szCs w:val="20"/>
                <w:color w:val="auto"/>
              </w:rPr>
            </w:pPr>
            <w:r>
              <w:rPr>
                <w:rFonts w:ascii="Arial" w:cs="Arial" w:eastAsia="Arial" w:hAnsi="Arial"/>
                <w:sz w:val="17"/>
                <w:szCs w:val="17"/>
                <w:b w:val="1"/>
                <w:bCs w:val="1"/>
                <w:color w:val="auto"/>
              </w:rPr>
              <w:t>Exhibit No.</w:t>
            </w:r>
          </w:p>
        </w:tc>
        <w:tc>
          <w:tcPr>
            <w:tcW w:w="5060" w:type="dxa"/>
            <w:vAlign w:val="bottom"/>
            <w:gridSpan w:val="2"/>
          </w:tcPr>
          <w:p>
            <w:pPr>
              <w:ind w:left="680"/>
              <w:spacing w:after="0"/>
              <w:rPr>
                <w:sz w:val="20"/>
                <w:szCs w:val="20"/>
                <w:color w:val="auto"/>
              </w:rPr>
            </w:pPr>
            <w:r>
              <w:rPr>
                <w:rFonts w:ascii="Arial" w:cs="Arial" w:eastAsia="Arial" w:hAnsi="Arial"/>
                <w:sz w:val="17"/>
                <w:szCs w:val="17"/>
                <w:b w:val="1"/>
                <w:bCs w:val="1"/>
                <w:color w:val="auto"/>
              </w:rPr>
              <w:t>Description</w:t>
            </w:r>
          </w:p>
        </w:tc>
      </w:tr>
      <w:tr>
        <w:trPr>
          <w:trHeight w:val="413"/>
        </w:trPr>
        <w:tc>
          <w:tcPr>
            <w:tcW w:w="1320" w:type="dxa"/>
            <w:vAlign w:val="bottom"/>
          </w:tcPr>
          <w:p>
            <w:pPr>
              <w:spacing w:after="0"/>
              <w:rPr>
                <w:sz w:val="20"/>
                <w:szCs w:val="20"/>
                <w:color w:val="auto"/>
              </w:rPr>
            </w:pPr>
            <w:r>
              <w:rPr>
                <w:rFonts w:ascii="Arial" w:cs="Arial" w:eastAsia="Arial" w:hAnsi="Arial"/>
                <w:sz w:val="17"/>
                <w:szCs w:val="17"/>
                <w:color w:val="auto"/>
              </w:rPr>
              <w:t>Exhibit 99.1</w:t>
            </w:r>
          </w:p>
        </w:tc>
        <w:tc>
          <w:tcPr>
            <w:tcW w:w="5060" w:type="dxa"/>
            <w:vAlign w:val="bottom"/>
            <w:gridSpan w:val="2"/>
          </w:tcPr>
          <w:p>
            <w:pPr>
              <w:ind w:left="480"/>
              <w:spacing w:after="0"/>
              <w:rPr>
                <w:sz w:val="20"/>
                <w:szCs w:val="20"/>
                <w:color w:val="auto"/>
              </w:rPr>
            </w:pPr>
            <w:r>
              <w:rPr>
                <w:rFonts w:ascii="Arial" w:cs="Arial" w:eastAsia="Arial" w:hAnsi="Arial"/>
                <w:sz w:val="17"/>
                <w:szCs w:val="17"/>
                <w:color w:val="auto"/>
                <w:w w:val="99"/>
              </w:rPr>
              <w:t>Joint Filing Agreement by and among the Reporting Persons.</w:t>
            </w:r>
          </w:p>
        </w:tc>
      </w:tr>
    </w:tbl>
    <w:p>
      <w:pPr>
        <w:sectPr>
          <w:pgSz w:w="11900" w:h="16838" w:orient="portrait"/>
          <w:cols w:equalWidth="0" w:num="1">
            <w:col w:w="10219"/>
          </w:cols>
          <w:pgMar w:left="240" w:top="667" w:right="1440" w:bottom="1440" w:gutter="0" w:footer="0" w:header="0"/>
        </w:sectPr>
      </w:pPr>
    </w:p>
    <w:bookmarkStart w:id="14" w:name="page15"/>
    <w:bookmarkEnd w:id="14"/>
    <w:p>
      <w:pPr>
        <w:jc w:val="right"/>
        <w:spacing w:after="0"/>
        <w:rPr>
          <w:sz w:val="20"/>
          <w:szCs w:val="20"/>
          <w:color w:val="auto"/>
        </w:rPr>
      </w:pPr>
      <w:r>
        <w:rPr>
          <w:rFonts w:ascii="Arial" w:cs="Arial" w:eastAsia="Arial" w:hAnsi="Arial"/>
          <w:sz w:val="17"/>
          <w:szCs w:val="17"/>
          <w:b w:val="1"/>
          <w:bCs w:val="1"/>
          <w:u w:val="single" w:color="auto"/>
          <w:color w:val="auto"/>
        </w:rPr>
        <w:t>Exhibit 99.1</w:t>
      </w:r>
    </w:p>
    <w:p>
      <w:pPr>
        <w:spacing w:after="0" w:line="243"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JOINT FILING AGREEMENT</w:t>
      </w:r>
    </w:p>
    <w:p>
      <w:pPr>
        <w:spacing w:after="0" w:line="249" w:lineRule="exact"/>
        <w:rPr>
          <w:sz w:val="20"/>
          <w:szCs w:val="20"/>
          <w:color w:val="auto"/>
        </w:rPr>
      </w:pPr>
    </w:p>
    <w:p>
      <w:pPr>
        <w:jc w:val="both"/>
        <w:ind w:firstLine="465"/>
        <w:spacing w:after="0" w:line="266" w:lineRule="auto"/>
        <w:rPr>
          <w:sz w:val="20"/>
          <w:szCs w:val="20"/>
          <w:color w:val="auto"/>
        </w:rPr>
      </w:pPr>
      <w:r>
        <w:rPr>
          <w:rFonts w:ascii="Arial" w:cs="Arial" w:eastAsia="Arial" w:hAnsi="Arial"/>
          <w:sz w:val="17"/>
          <w:szCs w:val="17"/>
          <w:color w:val="auto"/>
        </w:rPr>
        <w:t>In accordance with Rule 13d-1(k) under the Securities Exchange Act of 1934, as amended, the undersigned agree to the joint filing on behalf of each of them of a statement on Schedule 13G and/or 13D (including any and all amendments thereto) with respect to Common Shares of Marvell Technology Group Ltd. and further agree that this Joint Filing Agreement shall be included as an Exhibit to such joint filings.</w:t>
      </w:r>
    </w:p>
    <w:p>
      <w:pPr>
        <w:spacing w:after="0" w:line="176" w:lineRule="exact"/>
        <w:rPr>
          <w:sz w:val="20"/>
          <w:szCs w:val="20"/>
          <w:color w:val="auto"/>
        </w:rPr>
      </w:pPr>
    </w:p>
    <w:p>
      <w:pPr>
        <w:jc w:val="both"/>
        <w:ind w:firstLine="465"/>
        <w:spacing w:after="0" w:line="318" w:lineRule="auto"/>
        <w:rPr>
          <w:sz w:val="20"/>
          <w:szCs w:val="20"/>
          <w:color w:val="auto"/>
        </w:rPr>
      </w:pPr>
      <w:r>
        <w:rPr>
          <w:rFonts w:ascii="Arial" w:cs="Arial" w:eastAsia="Arial" w:hAnsi="Arial"/>
          <w:sz w:val="15"/>
          <w:szCs w:val="15"/>
          <w:color w:val="auto"/>
        </w:rPr>
        <w:t>The undersigned further agree that each party hereto is responsible for the timely filing of such Statement on Schedule 13G and/or 13D and any amendments thereto, and for the accuracy and completeness of the information concerning such party contained therein; provided, however, that no party is responsible for the accuracy or completeness of the information concerning any other party, unless such party knows or has reason to believe that such information is inaccurate.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This Joint Filing Agreement may be signed in counterparts with the same effect as if the signature on each counterpart were upon the same instrument.</w:t>
      </w:r>
    </w:p>
    <w:p>
      <w:pPr>
        <w:spacing w:after="0" w:line="223" w:lineRule="exact"/>
        <w:rPr>
          <w:sz w:val="20"/>
          <w:szCs w:val="20"/>
          <w:color w:val="auto"/>
        </w:rPr>
      </w:pPr>
    </w:p>
    <w:p>
      <w:pPr>
        <w:ind w:left="460"/>
        <w:spacing w:after="0"/>
        <w:rPr>
          <w:sz w:val="20"/>
          <w:szCs w:val="20"/>
          <w:color w:val="auto"/>
        </w:rPr>
      </w:pPr>
      <w:r>
        <w:rPr>
          <w:rFonts w:ascii="Arial" w:cs="Arial" w:eastAsia="Arial" w:hAnsi="Arial"/>
          <w:sz w:val="17"/>
          <w:szCs w:val="17"/>
          <w:b w:val="1"/>
          <w:bCs w:val="1"/>
          <w:color w:val="auto"/>
        </w:rPr>
        <w:t>IN WITNESS WHEREOF</w:t>
      </w:r>
      <w:r>
        <w:rPr>
          <w:rFonts w:ascii="Arial" w:cs="Arial" w:eastAsia="Arial" w:hAnsi="Arial"/>
          <w:sz w:val="17"/>
          <w:szCs w:val="17"/>
          <w:color w:val="auto"/>
        </w:rPr>
        <w:t>, the undersigned have executed this Agreement as of July 26, 2012.</w:t>
      </w:r>
    </w:p>
    <w:p>
      <w:pPr>
        <w:spacing w:after="0" w:line="218"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GREENLIGHT CAPITAL, L.L.C.</w:t>
      </w:r>
    </w:p>
    <w:p>
      <w:pPr>
        <w:spacing w:after="0" w:line="224"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GREENLIGHT CAPITAL, INC.</w:t>
      </w:r>
    </w:p>
    <w:p>
      <w:pPr>
        <w:spacing w:after="0" w:line="224"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DME MANAGEMENT GP, LLC</w:t>
      </w:r>
    </w:p>
    <w:p>
      <w:pPr>
        <w:spacing w:after="0" w:line="224"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DME ADVISORS, LP</w:t>
      </w:r>
    </w:p>
    <w:p>
      <w:pPr>
        <w:spacing w:after="0" w:line="224"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DME CAPITAL MANAGEMENT,</w:t>
      </w:r>
    </w:p>
    <w:p>
      <w:pPr>
        <w:spacing w:after="0" w:line="28"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LP</w:t>
      </w:r>
    </w:p>
    <w:p>
      <w:pPr>
        <w:spacing w:after="0" w:line="20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1" w:lineRule="exact"/>
        <w:rPr>
          <w:sz w:val="20"/>
          <w:szCs w:val="20"/>
          <w:color w:val="auto"/>
        </w:rPr>
      </w:pPr>
    </w:p>
    <w:p>
      <w:pPr>
        <w:ind w:left="6440"/>
        <w:spacing w:after="0"/>
        <w:rPr>
          <w:sz w:val="20"/>
          <w:szCs w:val="20"/>
          <w:color w:val="auto"/>
        </w:rPr>
      </w:pPr>
      <w:r>
        <w:rPr>
          <w:rFonts w:ascii="Arial" w:cs="Arial" w:eastAsia="Arial" w:hAnsi="Arial"/>
          <w:sz w:val="17"/>
          <w:szCs w:val="17"/>
          <w:b w:val="1"/>
          <w:bCs w:val="1"/>
          <w:color w:val="auto"/>
        </w:rPr>
        <w:t>DME ADVISORS GP, LLC</w:t>
      </w:r>
    </w:p>
    <w:p>
      <w:pPr>
        <w:spacing w:after="0" w:line="224"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Chief Operating Officer</w:t>
      </w:r>
    </w:p>
    <w:p>
      <w:pPr>
        <w:spacing w:after="0" w:line="207" w:lineRule="exact"/>
        <w:rPr>
          <w:sz w:val="20"/>
          <w:szCs w:val="20"/>
          <w:color w:val="auto"/>
        </w:rPr>
      </w:pPr>
    </w:p>
    <w:p>
      <w:pPr>
        <w:ind w:left="6580"/>
        <w:spacing w:after="0"/>
        <w:rPr>
          <w:sz w:val="20"/>
          <w:szCs w:val="20"/>
          <w:color w:val="auto"/>
        </w:rPr>
      </w:pPr>
      <w:r>
        <w:rPr>
          <w:rFonts w:ascii="Arial" w:cs="Arial" w:eastAsia="Arial" w:hAnsi="Arial"/>
          <w:sz w:val="17"/>
          <w:szCs w:val="17"/>
          <w:color w:val="auto"/>
        </w:rPr>
        <w:t>/s/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4091305</wp:posOffset>
            </wp:positionH>
            <wp:positionV relativeFrom="paragraph">
              <wp:posOffset>14605</wp:posOffset>
            </wp:positionV>
            <wp:extent cx="1712595" cy="1651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712595" cy="16510"/>
                    </a:xfrm>
                    <a:prstGeom prst="rect">
                      <a:avLst/>
                    </a:prstGeom>
                    <a:noFill/>
                  </pic:spPr>
                </pic:pic>
              </a:graphicData>
            </a:graphic>
          </wp:anchor>
        </w:drawing>
      </w:r>
    </w:p>
    <w:p>
      <w:pPr>
        <w:spacing w:after="0" w:line="17"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Daniel Roitman, on behalf of David</w:t>
      </w:r>
    </w:p>
    <w:p>
      <w:pPr>
        <w:spacing w:after="0" w:line="22" w:lineRule="exact"/>
        <w:rPr>
          <w:sz w:val="20"/>
          <w:szCs w:val="20"/>
          <w:color w:val="auto"/>
        </w:rPr>
      </w:pPr>
    </w:p>
    <w:p>
      <w:pPr>
        <w:ind w:left="6440"/>
        <w:spacing w:after="0"/>
        <w:rPr>
          <w:sz w:val="20"/>
          <w:szCs w:val="20"/>
          <w:color w:val="auto"/>
        </w:rPr>
      </w:pPr>
      <w:r>
        <w:rPr>
          <w:rFonts w:ascii="Arial" w:cs="Arial" w:eastAsia="Arial" w:hAnsi="Arial"/>
          <w:sz w:val="17"/>
          <w:szCs w:val="17"/>
          <w:color w:val="auto"/>
        </w:rPr>
        <w:t>Einhorn</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5A2A8D4"/>
    <w:multiLevelType w:val="hybridMultilevel"/>
    <w:lvl w:ilvl="0">
      <w:lvlJc w:val="left"/>
      <w:lvlText w:val="*"/>
      <w:numFmt w:val="bullet"/>
      <w:start w:val="1"/>
    </w:lvl>
    <w:lvl w:ilvl="1">
      <w:lvlJc w:val="left"/>
      <w:lvlText w:val="[%2]"/>
      <w:numFmt w:val="lowerRoman"/>
      <w:start w:val="10"/>
    </w:lvl>
  </w:abstractNum>
  <w:abstractNum w:abstractNumId="1">
    <w:nsid w:val="8EDBDAB"/>
    <w:multiLevelType w:val="hybridMultilevel"/>
    <w:lvl w:ilvl="0">
      <w:lvlJc w:val="left"/>
      <w:lvlText w:val="1"/>
      <w:numFmt w:val="bullet"/>
      <w:start w:val="1"/>
    </w:lvl>
  </w:abstractNum>
  <w:abstractNum w:abstractNumId="2">
    <w:nsid w:val="79838CB2"/>
    <w:multiLevelType w:val="hybridMultilevel"/>
    <w:lvl w:ilvl="0">
      <w:lvlJc w:val="left"/>
      <w:lvlText w:val="2"/>
      <w:numFmt w:val="bullet"/>
      <w:start w:val="1"/>
    </w:lvl>
    <w:lvl w:ilvl="1">
      <w:lvlJc w:val="left"/>
      <w:lvlText w:val="(%2)"/>
      <w:numFmt w:val="lowerLetter"/>
      <w:start w:val="1"/>
    </w:lvl>
  </w:abstractNum>
  <w:abstractNum w:abstractNumId="3">
    <w:nsid w:val="4353D0CD"/>
    <w:multiLevelType w:val="hybridMultilevel"/>
    <w:lvl w:ilvl="0">
      <w:lvlJc w:val="left"/>
      <w:lvlText w:val="3"/>
      <w:numFmt w:val="bullet"/>
      <w:start w:val="1"/>
    </w:lvl>
  </w:abstractNum>
  <w:abstractNum w:abstractNumId="4">
    <w:nsid w:val="B03E0C6"/>
    <w:multiLevelType w:val="hybridMultilevel"/>
    <w:lvl w:ilvl="0">
      <w:lvlJc w:val="left"/>
      <w:lvlText w:val="4"/>
      <w:numFmt w:val="bullet"/>
      <w:start w:val="1"/>
    </w:lvl>
  </w:abstractNum>
  <w:abstractNum w:abstractNumId="5">
    <w:nsid w:val="189A769B"/>
    <w:multiLevelType w:val="hybridMultilevel"/>
    <w:lvl w:ilvl="0">
      <w:lvlJc w:val="left"/>
      <w:lvlText w:val="9"/>
      <w:numFmt w:val="bullet"/>
      <w:start w:val="1"/>
    </w:lvl>
  </w:abstractNum>
  <w:abstractNum w:abstractNumId="6">
    <w:nsid w:val="54E49EB4"/>
    <w:multiLevelType w:val="hybridMultilevel"/>
    <w:lvl w:ilvl="0">
      <w:lvlJc w:val="left"/>
      <w:lvlText w:val="%1"/>
      <w:numFmt w:val="decimal"/>
      <w:start w:val="11"/>
    </w:lvl>
  </w:abstractNum>
  <w:abstractNum w:abstractNumId="7">
    <w:nsid w:val="71F32454"/>
    <w:multiLevelType w:val="hybridMultilevel"/>
    <w:lvl w:ilvl="0">
      <w:lvlJc w:val="left"/>
      <w:lvlText w:val="1"/>
      <w:numFmt w:val="bullet"/>
      <w:start w:val="1"/>
    </w:lvl>
  </w:abstractNum>
  <w:abstractNum w:abstractNumId="8">
    <w:nsid w:val="2CA88611"/>
    <w:multiLevelType w:val="hybridMultilevel"/>
    <w:lvl w:ilvl="0">
      <w:lvlJc w:val="left"/>
      <w:lvlText w:val="2"/>
      <w:numFmt w:val="bullet"/>
      <w:start w:val="1"/>
    </w:lvl>
    <w:lvl w:ilvl="1">
      <w:lvlJc w:val="left"/>
      <w:lvlText w:val="(%2)"/>
      <w:numFmt w:val="lowerLetter"/>
      <w:start w:val="1"/>
    </w:lvl>
  </w:abstractNum>
  <w:abstractNum w:abstractNumId="9">
    <w:nsid w:val="836C40E"/>
    <w:multiLevelType w:val="hybridMultilevel"/>
    <w:lvl w:ilvl="0">
      <w:lvlJc w:val="left"/>
      <w:lvlText w:val="3"/>
      <w:numFmt w:val="bullet"/>
      <w:start w:val="1"/>
    </w:lvl>
  </w:abstractNum>
  <w:abstractNum w:abstractNumId="10">
    <w:nsid w:val="2901D82"/>
    <w:multiLevelType w:val="hybridMultilevel"/>
    <w:lvl w:ilvl="0">
      <w:lvlJc w:val="left"/>
      <w:lvlText w:val="4"/>
      <w:numFmt w:val="bullet"/>
      <w:start w:val="1"/>
    </w:lvl>
  </w:abstractNum>
  <w:abstractNum w:abstractNumId="11">
    <w:nsid w:val="3A95F874"/>
    <w:multiLevelType w:val="hybridMultilevel"/>
    <w:lvl w:ilvl="0">
      <w:lvlJc w:val="left"/>
      <w:lvlText w:val="9"/>
      <w:numFmt w:val="bullet"/>
      <w:start w:val="1"/>
    </w:lvl>
  </w:abstractNum>
  <w:abstractNum w:abstractNumId="12">
    <w:nsid w:val="8138641"/>
    <w:multiLevelType w:val="hybridMultilevel"/>
    <w:lvl w:ilvl="0">
      <w:lvlJc w:val="left"/>
      <w:lvlText w:val="%1"/>
      <w:numFmt w:val="decimal"/>
      <w:start w:val="11"/>
    </w:lvl>
  </w:abstractNum>
  <w:abstractNum w:abstractNumId="13">
    <w:nsid w:val="1E7FF521"/>
    <w:multiLevelType w:val="hybridMultilevel"/>
    <w:lvl w:ilvl="0">
      <w:lvlJc w:val="left"/>
      <w:lvlText w:val="1"/>
      <w:numFmt w:val="bullet"/>
      <w:start w:val="1"/>
    </w:lvl>
  </w:abstractNum>
  <w:abstractNum w:abstractNumId="14">
    <w:nsid w:val="7C3DBD3D"/>
    <w:multiLevelType w:val="hybridMultilevel"/>
    <w:lvl w:ilvl="0">
      <w:lvlJc w:val="left"/>
      <w:lvlText w:val="2"/>
      <w:numFmt w:val="bullet"/>
      <w:start w:val="1"/>
    </w:lvl>
    <w:lvl w:ilvl="1">
      <w:lvlJc w:val="left"/>
      <w:lvlText w:val="(%2)"/>
      <w:numFmt w:val="lowerLetter"/>
      <w:start w:val="1"/>
    </w:lvl>
  </w:abstractNum>
  <w:abstractNum w:abstractNumId="15">
    <w:nsid w:val="737B8DDC"/>
    <w:multiLevelType w:val="hybridMultilevel"/>
    <w:lvl w:ilvl="0">
      <w:lvlJc w:val="left"/>
      <w:lvlText w:val="3"/>
      <w:numFmt w:val="bullet"/>
      <w:start w:val="1"/>
    </w:lvl>
  </w:abstractNum>
  <w:abstractNum w:abstractNumId="16">
    <w:nsid w:val="6CEAF087"/>
    <w:multiLevelType w:val="hybridMultilevel"/>
    <w:lvl w:ilvl="0">
      <w:lvlJc w:val="left"/>
      <w:lvlText w:val="4"/>
      <w:numFmt w:val="bullet"/>
      <w:start w:val="1"/>
    </w:lvl>
  </w:abstractNum>
  <w:abstractNum w:abstractNumId="17">
    <w:nsid w:val="22221A70"/>
    <w:multiLevelType w:val="hybridMultilevel"/>
    <w:lvl w:ilvl="0">
      <w:lvlJc w:val="left"/>
      <w:lvlText w:val="9"/>
      <w:numFmt w:val="bullet"/>
      <w:start w:val="1"/>
    </w:lvl>
  </w:abstractNum>
  <w:abstractNum w:abstractNumId="18">
    <w:nsid w:val="4516DDE9"/>
    <w:multiLevelType w:val="hybridMultilevel"/>
    <w:lvl w:ilvl="0">
      <w:lvlJc w:val="left"/>
      <w:lvlText w:val="%1"/>
      <w:numFmt w:val="decimal"/>
      <w:start w:val="11"/>
    </w:lvl>
  </w:abstractNum>
  <w:abstractNum w:abstractNumId="19">
    <w:nsid w:val="3006C83E"/>
    <w:multiLevelType w:val="hybridMultilevel"/>
    <w:lvl w:ilvl="0">
      <w:lvlJc w:val="left"/>
      <w:lvlText w:val="1"/>
      <w:numFmt w:val="bullet"/>
      <w:start w:val="1"/>
    </w:lvl>
  </w:abstractNum>
  <w:abstractNum w:abstractNumId="20">
    <w:nsid w:val="614FD4A1"/>
    <w:multiLevelType w:val="hybridMultilevel"/>
    <w:lvl w:ilvl="0">
      <w:lvlJc w:val="left"/>
      <w:lvlText w:val="2"/>
      <w:numFmt w:val="bullet"/>
      <w:start w:val="1"/>
    </w:lvl>
    <w:lvl w:ilvl="1">
      <w:lvlJc w:val="left"/>
      <w:lvlText w:val="(%2)"/>
      <w:numFmt w:val="lowerLetter"/>
      <w:start w:val="1"/>
    </w:lvl>
  </w:abstractNum>
  <w:abstractNum w:abstractNumId="21">
    <w:nsid w:val="419AC241"/>
    <w:multiLevelType w:val="hybridMultilevel"/>
    <w:lvl w:ilvl="0">
      <w:lvlJc w:val="left"/>
      <w:lvlText w:val="3"/>
      <w:numFmt w:val="bullet"/>
      <w:start w:val="1"/>
    </w:lvl>
  </w:abstractNum>
  <w:abstractNum w:abstractNumId="22">
    <w:nsid w:val="5577F8E1"/>
    <w:multiLevelType w:val="hybridMultilevel"/>
    <w:lvl w:ilvl="0">
      <w:lvlJc w:val="left"/>
      <w:lvlText w:val="4"/>
      <w:numFmt w:val="bullet"/>
      <w:start w:val="1"/>
    </w:lvl>
  </w:abstractNum>
  <w:abstractNum w:abstractNumId="23">
    <w:nsid w:val="440BADFC"/>
    <w:multiLevelType w:val="hybridMultilevel"/>
    <w:lvl w:ilvl="0">
      <w:lvlJc w:val="left"/>
      <w:lvlText w:val="9"/>
      <w:numFmt w:val="bullet"/>
      <w:start w:val="1"/>
    </w:lvl>
  </w:abstractNum>
  <w:abstractNum w:abstractNumId="24">
    <w:nsid w:val="5072367"/>
    <w:multiLevelType w:val="hybridMultilevel"/>
    <w:lvl w:ilvl="0">
      <w:lvlJc w:val="left"/>
      <w:lvlText w:val="%1"/>
      <w:numFmt w:val="decimal"/>
      <w:start w:val="11"/>
    </w:lvl>
  </w:abstractNum>
  <w:abstractNum w:abstractNumId="25">
    <w:nsid w:val="3804823E"/>
    <w:multiLevelType w:val="hybridMultilevel"/>
    <w:lvl w:ilvl="0">
      <w:lvlJc w:val="left"/>
      <w:lvlText w:val="1"/>
      <w:numFmt w:val="bullet"/>
      <w:start w:val="1"/>
    </w:lvl>
  </w:abstractNum>
  <w:abstractNum w:abstractNumId="26">
    <w:nsid w:val="77465F01"/>
    <w:multiLevelType w:val="hybridMultilevel"/>
    <w:lvl w:ilvl="0">
      <w:lvlJc w:val="left"/>
      <w:lvlText w:val="2"/>
      <w:numFmt w:val="bullet"/>
      <w:start w:val="1"/>
    </w:lvl>
    <w:lvl w:ilvl="1">
      <w:lvlJc w:val="left"/>
      <w:lvlText w:val="(%2)"/>
      <w:numFmt w:val="lowerLetter"/>
      <w:start w:val="1"/>
    </w:lvl>
  </w:abstractNum>
  <w:abstractNum w:abstractNumId="27">
    <w:nsid w:val="7724C67E"/>
    <w:multiLevelType w:val="hybridMultilevel"/>
    <w:lvl w:ilvl="0">
      <w:lvlJc w:val="left"/>
      <w:lvlText w:val="3"/>
      <w:numFmt w:val="bullet"/>
      <w:start w:val="1"/>
    </w:lvl>
  </w:abstractNum>
  <w:abstractNum w:abstractNumId="28">
    <w:nsid w:val="5C482A97"/>
    <w:multiLevelType w:val="hybridMultilevel"/>
    <w:lvl w:ilvl="0">
      <w:lvlJc w:val="left"/>
      <w:lvlText w:val="4"/>
      <w:numFmt w:val="bullet"/>
      <w:start w:val="1"/>
    </w:lvl>
  </w:abstractNum>
  <w:abstractNum w:abstractNumId="29">
    <w:nsid w:val="2463B9EA"/>
    <w:multiLevelType w:val="hybridMultilevel"/>
    <w:lvl w:ilvl="0">
      <w:lvlJc w:val="left"/>
      <w:lvlText w:val="9"/>
      <w:numFmt w:val="bullet"/>
      <w:start w:val="1"/>
    </w:lvl>
  </w:abstractNum>
  <w:abstractNum w:abstractNumId="30">
    <w:nsid w:val="5E884ADC"/>
    <w:multiLevelType w:val="hybridMultilevel"/>
    <w:lvl w:ilvl="0">
      <w:lvlJc w:val="left"/>
      <w:lvlText w:val="%1"/>
      <w:numFmt w:val="decimal"/>
      <w:start w:val="11"/>
    </w:lvl>
  </w:abstractNum>
  <w:abstractNum w:abstractNumId="31">
    <w:nsid w:val="51EAD36B"/>
    <w:multiLevelType w:val="hybridMultilevel"/>
    <w:lvl w:ilvl="0">
      <w:lvlJc w:val="left"/>
      <w:lvlText w:val="1"/>
      <w:numFmt w:val="bullet"/>
      <w:start w:val="1"/>
    </w:lvl>
  </w:abstractNum>
  <w:abstractNum w:abstractNumId="32">
    <w:nsid w:val="2D517796"/>
    <w:multiLevelType w:val="hybridMultilevel"/>
    <w:lvl w:ilvl="0">
      <w:lvlJc w:val="left"/>
      <w:lvlText w:val="2"/>
      <w:numFmt w:val="bullet"/>
      <w:start w:val="1"/>
    </w:lvl>
    <w:lvl w:ilvl="1">
      <w:lvlJc w:val="left"/>
      <w:lvlText w:val="(%2)"/>
      <w:numFmt w:val="lowerLetter"/>
      <w:start w:val="1"/>
    </w:lvl>
  </w:abstractNum>
  <w:abstractNum w:abstractNumId="33">
    <w:nsid w:val="580BD78F"/>
    <w:multiLevelType w:val="hybridMultilevel"/>
    <w:lvl w:ilvl="0">
      <w:lvlJc w:val="left"/>
      <w:lvlText w:val="3"/>
      <w:numFmt w:val="bullet"/>
      <w:start w:val="1"/>
    </w:lvl>
  </w:abstractNum>
  <w:abstractNum w:abstractNumId="34">
    <w:nsid w:val="153EA438"/>
    <w:multiLevelType w:val="hybridMultilevel"/>
    <w:lvl w:ilvl="0">
      <w:lvlJc w:val="left"/>
      <w:lvlText w:val="4"/>
      <w:numFmt w:val="bullet"/>
      <w:start w:val="1"/>
    </w:lvl>
  </w:abstractNum>
  <w:abstractNum w:abstractNumId="35">
    <w:nsid w:val="3855585C"/>
    <w:multiLevelType w:val="hybridMultilevel"/>
    <w:lvl w:ilvl="0">
      <w:lvlJc w:val="left"/>
      <w:lvlText w:val="9"/>
      <w:numFmt w:val="bullet"/>
      <w:start w:val="1"/>
    </w:lvl>
  </w:abstractNum>
  <w:abstractNum w:abstractNumId="36">
    <w:nsid w:val="70A64E2A"/>
    <w:multiLevelType w:val="hybridMultilevel"/>
    <w:lvl w:ilvl="0">
      <w:lvlJc w:val="left"/>
      <w:lvlText w:val="%1"/>
      <w:numFmt w:val="decimal"/>
      <w:start w:val="11"/>
    </w:lvl>
  </w:abstractNum>
  <w:abstractNum w:abstractNumId="37">
    <w:nsid w:val="6A2342EC"/>
    <w:multiLevelType w:val="hybridMultilevel"/>
    <w:lvl w:ilvl="0">
      <w:lvlJc w:val="left"/>
      <w:lvlText w:val="1"/>
      <w:numFmt w:val="bullet"/>
      <w:start w:val="1"/>
    </w:lvl>
  </w:abstractNum>
  <w:abstractNum w:abstractNumId="38">
    <w:nsid w:val="2A487CB0"/>
    <w:multiLevelType w:val="hybridMultilevel"/>
    <w:lvl w:ilvl="0">
      <w:lvlJc w:val="left"/>
      <w:lvlText w:val="2"/>
      <w:numFmt w:val="bullet"/>
      <w:start w:val="1"/>
    </w:lvl>
    <w:lvl w:ilvl="1">
      <w:lvlJc w:val="left"/>
      <w:lvlText w:val="(%2)"/>
      <w:numFmt w:val="lowerLetter"/>
      <w:start w:val="1"/>
    </w:lvl>
  </w:abstractNum>
  <w:abstractNum w:abstractNumId="39">
    <w:nsid w:val="1D4ED43B"/>
    <w:multiLevelType w:val="hybridMultilevel"/>
    <w:lvl w:ilvl="0">
      <w:lvlJc w:val="left"/>
      <w:lvlText w:val="3"/>
      <w:numFmt w:val="bullet"/>
      <w:start w:val="1"/>
    </w:lvl>
  </w:abstractNum>
  <w:abstractNum w:abstractNumId="40">
    <w:nsid w:val="725A06FB"/>
    <w:multiLevelType w:val="hybridMultilevel"/>
    <w:lvl w:ilvl="0">
      <w:lvlJc w:val="left"/>
      <w:lvlText w:val="4"/>
      <w:numFmt w:val="bullet"/>
      <w:start w:val="1"/>
    </w:lvl>
  </w:abstractNum>
  <w:abstractNum w:abstractNumId="41">
    <w:nsid w:val="2CD89A32"/>
    <w:multiLevelType w:val="hybridMultilevel"/>
    <w:lvl w:ilvl="0">
      <w:lvlJc w:val="left"/>
      <w:lvlText w:val="9"/>
      <w:numFmt w:val="bullet"/>
      <w:start w:val="1"/>
    </w:lvl>
  </w:abstractNum>
  <w:abstractNum w:abstractNumId="42">
    <w:nsid w:val="57E4CCAF"/>
    <w:multiLevelType w:val="hybridMultilevel"/>
    <w:lvl w:ilvl="0">
      <w:lvlJc w:val="left"/>
      <w:lvlText w:val="%1"/>
      <w:numFmt w:val="decimal"/>
      <w:start w:val="11"/>
    </w:lvl>
  </w:abstractNum>
  <w:abstractNum w:abstractNumId="43">
    <w:nsid w:val="7A6D8D3C"/>
    <w:multiLevelType w:val="hybridMultilevel"/>
    <w:lvl w:ilvl="0">
      <w:lvlJc w:val="left"/>
      <w:lvlText w:val="(%1)"/>
      <w:numFmt w:val="lowerLetter"/>
      <w:start w:val="1"/>
    </w:lvl>
  </w:abstractNum>
  <w:abstractNum w:abstractNumId="44">
    <w:nsid w:val="4B588F54"/>
    <w:multiLevelType w:val="hybridMultilevel"/>
    <w:lvl w:ilvl="0">
      <w:lvlJc w:val="left"/>
      <w:lvlText w:val="(%1)"/>
      <w:numFmt w:val="lowerLetter"/>
      <w:start w:val="1"/>
    </w:lvl>
    <w:lvl w:ilvl="1">
      <w:lvlJc w:val="left"/>
      <w:lvlText w:val="(%2)"/>
      <w:numFmt w:val="lowerRoman"/>
      <w:start w:val="1"/>
    </w:lvl>
    <w:lvl w:ilvl="2">
      <w:lvlJc w:val="left"/>
      <w:lvlText w:val="(%3)"/>
      <w:numFmt w:val="lowerRoman"/>
      <w:start w:val="1"/>
    </w:lvl>
  </w:abstractNum>
  <w:abstractNum w:abstractNumId="45">
    <w:nsid w:val="542289EC"/>
    <w:multiLevelType w:val="hybridMultilevel"/>
    <w:lvl w:ilvl="0">
      <w:lvlJc w:val="left"/>
      <w:lvlText w:val="(%1)"/>
      <w:numFmt w:val="lowerLetter"/>
      <w:start w:val="1"/>
    </w:lvl>
  </w:abstractNum>
  <w:abstractNum w:abstractNumId="46">
    <w:nsid w:val="6DE91B1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2019-12-09T13:22:50Z</dcterms:created>
  <dcterms:modified xsi:type="dcterms:W3CDTF">2019-12-09T13:22:50Z</dcterms:modified>
</cp:coreProperties>
</file>