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4</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227,609</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19,019,827</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19,019,827</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04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3.376%</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0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19,019,827</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19,019,827</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04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2"/>
              </w:rPr>
              <w:t>3.376%</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04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ind w:left="1700"/>
        <w:spacing w:after="0" w:line="237"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LLC</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and the person filing, FMR LLC, is a parent holding company in accordance with Section 240.13d-1(b)(ii)(G). (Note: See Item 7).</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860"/>
        <w:spacing w:after="0"/>
        <w:tabs>
          <w:tab w:leader="none" w:pos="1680" w:val="left"/>
          <w:tab w:leader="none" w:pos="50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Amount Beneficially Owned:</w:t>
      </w:r>
      <w:r>
        <w:rPr>
          <w:sz w:val="20"/>
          <w:szCs w:val="20"/>
          <w:color w:val="auto"/>
        </w:rPr>
        <w:tab/>
      </w:r>
      <w:r>
        <w:rPr>
          <w:rFonts w:ascii="Courier New" w:cs="Courier New" w:eastAsia="Courier New" w:hAnsi="Courier New"/>
          <w:sz w:val="16"/>
          <w:szCs w:val="16"/>
          <w:color w:val="auto"/>
        </w:rPr>
        <w:t>19,019,827</w:t>
      </w:r>
    </w:p>
    <w:p>
      <w:pPr>
        <w:sectPr>
          <w:pgSz w:w="11900" w:h="16855" w:orient="portrait"/>
          <w:cols w:equalWidth="0" w:num="1">
            <w:col w:w="10219"/>
          </w:cols>
          <w:pgMar w:left="240" w:top="244" w:right="1440" w:bottom="0" w:gutter="0" w:footer="0" w:header="0"/>
        </w:sectPr>
      </w:pPr>
    </w:p>
    <w:bookmarkStart w:id="1" w:name="page2"/>
    <w:bookmarkEnd w:id="1"/>
    <w:p>
      <w:pPr>
        <w:ind w:left="860"/>
        <w:spacing w:after="0"/>
        <w:tabs>
          <w:tab w:leader="none" w:pos="1680" w:val="left"/>
          <w:tab w:leader="none" w:pos="4200" w:val="left"/>
        </w:tabs>
        <w:rPr>
          <w:sz w:val="20"/>
          <w:szCs w:val="20"/>
          <w:color w:val="auto"/>
        </w:rPr>
      </w:pP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Percent of Class:</w:t>
      </w:r>
      <w:r>
        <w:rPr>
          <w:sz w:val="20"/>
          <w:szCs w:val="20"/>
          <w:color w:val="auto"/>
        </w:rPr>
        <w:tab/>
      </w:r>
      <w:r>
        <w:rPr>
          <w:rFonts w:ascii="Courier New" w:cs="Courier New" w:eastAsia="Courier New" w:hAnsi="Courier New"/>
          <w:sz w:val="16"/>
          <w:szCs w:val="16"/>
          <w:color w:val="auto"/>
        </w:rPr>
        <w:t>3.376%</w:t>
      </w:r>
    </w:p>
    <w:p>
      <w:pPr>
        <w:spacing w:after="0" w:line="207"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as to which such</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334"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227,609</w:t>
      </w:r>
    </w:p>
    <w:p>
      <w:pPr>
        <w:spacing w:after="0" w:line="200" w:lineRule="exact"/>
        <w:rPr>
          <w:sz w:val="20"/>
          <w:szCs w:val="20"/>
          <w:color w:val="auto"/>
        </w:rPr>
      </w:pPr>
    </w:p>
    <w:p>
      <w:pPr>
        <w:sectPr>
          <w:pgSz w:w="11900" w:h="16838" w:orient="portrait"/>
          <w:cols w:equalWidth="0" w:num="2">
            <w:col w:w="1160" w:space="540"/>
            <w:col w:w="8519"/>
          </w:cols>
          <w:pgMar w:left="240" w:top="339" w:right="1440" w:bottom="334"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19,019,827</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7" w:lineRule="exact"/>
        <w:rPr>
          <w:sz w:val="20"/>
          <w:szCs w:val="20"/>
          <w:color w:val="auto"/>
        </w:rPr>
      </w:pPr>
    </w:p>
    <w:p>
      <w:pPr>
        <w:ind w:right="2419" w:firstLine="843"/>
        <w:spacing w:after="0" w:line="235" w:lineRule="auto"/>
        <w:rPr>
          <w:sz w:val="20"/>
          <w:szCs w:val="20"/>
          <w:color w:val="auto"/>
        </w:rPr>
      </w:pPr>
      <w:r>
        <w:rPr>
          <w:rFonts w:ascii="Courier New" w:cs="Courier New" w:eastAsia="Courier New" w:hAnsi="Courier New"/>
          <w:sz w:val="18"/>
          <w:szCs w:val="18"/>
          <w:color w:val="auto"/>
        </w:rPr>
        <w:t>If this statement is being filed to report the fact that as of the date hereof, the reporting person has ceased to be the</w:t>
      </w:r>
    </w:p>
    <w:p>
      <w:pPr>
        <w:spacing w:after="0" w:line="6" w:lineRule="exact"/>
        <w:rPr>
          <w:sz w:val="20"/>
          <w:szCs w:val="20"/>
          <w:color w:val="auto"/>
        </w:rPr>
      </w:pPr>
    </w:p>
    <w:p>
      <w:pPr>
        <w:ind w:right="4099"/>
        <w:spacing w:after="0" w:line="235" w:lineRule="auto"/>
        <w:rPr>
          <w:sz w:val="20"/>
          <w:szCs w:val="20"/>
          <w:color w:val="auto"/>
        </w:rPr>
      </w:pPr>
      <w:r>
        <w:rPr>
          <w:rFonts w:ascii="Courier New" w:cs="Courier New" w:eastAsia="Courier New" w:hAnsi="Courier New"/>
          <w:sz w:val="18"/>
          <w:szCs w:val="18"/>
          <w:color w:val="auto"/>
        </w:rPr>
        <w:t>beneficial owner of more than five percent of the class of securities, check the following (X).</w:t>
      </w:r>
    </w:p>
    <w:p>
      <w:pPr>
        <w:spacing w:after="0" w:line="208"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2839" w:firstLine="843"/>
        <w:spacing w:after="0" w:line="237" w:lineRule="auto"/>
        <w:rPr>
          <w:sz w:val="20"/>
          <w:szCs w:val="20"/>
          <w:color w:val="auto"/>
        </w:rPr>
      </w:pPr>
      <w:r>
        <w:rPr>
          <w:rFonts w:ascii="Courier New" w:cs="Courier New" w:eastAsia="Courier New" w:hAnsi="Courier New"/>
          <w:sz w:val="18"/>
          <w:szCs w:val="18"/>
          <w:color w:val="auto"/>
        </w:rPr>
        <w:t>Inasmuch as the reporting persons are no longer the beneficial owners of more than five percent of the number of shares outstanding, the reporting persons have no further reporting obligation under Section 13(d) of the Securities and Exchange Commission thereunder, and the reporting persons have no</w:t>
      </w:r>
    </w:p>
    <w:p>
      <w:pPr>
        <w:spacing w:after="0" w:line="6" w:lineRule="exact"/>
        <w:rPr>
          <w:sz w:val="20"/>
          <w:szCs w:val="20"/>
          <w:color w:val="auto"/>
        </w:rPr>
      </w:pPr>
    </w:p>
    <w:p>
      <w:pPr>
        <w:ind w:right="4199"/>
        <w:spacing w:after="0" w:line="235" w:lineRule="auto"/>
        <w:rPr>
          <w:sz w:val="20"/>
          <w:szCs w:val="20"/>
          <w:color w:val="auto"/>
        </w:rPr>
      </w:pPr>
      <w:r>
        <w:rPr>
          <w:rFonts w:ascii="Courier New" w:cs="Courier New" w:eastAsia="Courier New" w:hAnsi="Courier New"/>
          <w:sz w:val="18"/>
          <w:szCs w:val="18"/>
          <w:color w:val="auto"/>
        </w:rPr>
        <w:t>obligation to amend this Statement if any material change occurs in the facts set forth herein.</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August 09, 2012</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/s/ Scott C. Goebel</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Scott C. Goebel</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319"/>
        <w:spacing w:after="0" w:line="235" w:lineRule="auto"/>
        <w:rPr>
          <w:sz w:val="20"/>
          <w:szCs w:val="20"/>
          <w:color w:val="auto"/>
        </w:rPr>
      </w:pPr>
      <w:r>
        <w:rPr>
          <w:rFonts w:ascii="Courier New" w:cs="Courier New" w:eastAsia="Courier New" w:hAnsi="Courier New"/>
          <w:sz w:val="18"/>
          <w:szCs w:val="18"/>
          <w:color w:val="auto"/>
        </w:rPr>
        <w:t>effective as of June 1, 2008 by and on behalf of FMR LLC and its direct and indirect subsidiaries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ectPr>
          <w:pgSz w:w="11900" w:h="16838" w:orient="portrait"/>
          <w:cols w:equalWidth="0" w:num="1">
            <w:col w:w="10219"/>
          </w:cols>
          <w:pgMar w:left="240" w:top="339" w:right="1440" w:bottom="334" w:gutter="0" w:footer="0" w:header="0"/>
          <w:type w:val="continuous"/>
        </w:sectPr>
      </w:pPr>
    </w:p>
    <w:bookmarkStart w:id="2" w:name="page3"/>
    <w:bookmarkEnd w:id="2"/>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LLC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18,791,918 shares or 3.335%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LLC, through its control of Fidelity, and the funds each has sole power to dispose of the 18,791,918 shares owned by the Funds.</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Members of the family of Edward C. Johnson 3d, Chairman of FMR LLC, are the predominant owners, directly or through trusts, of Series B voting common shares of FMR LLC, representing 49% of the voting power of FMR LLC.</w:t>
      </w:r>
    </w:p>
    <w:p>
      <w:pPr>
        <w:spacing w:after="0" w:line="1"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08"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8"/>
          <w:szCs w:val="18"/>
          <w:color w:val="auto"/>
        </w:rPr>
        <w:t>Neither FMR LLC nor Edward C. Johnson 3d,</w:t>
      </w:r>
    </w:p>
    <w:p>
      <w:pPr>
        <w:spacing w:after="0" w:line="4"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6"/>
          <w:szCs w:val="16"/>
          <w:color w:val="auto"/>
        </w:rPr>
        <w:t>Chairman of FMR LLC, has the sole power to vote or direct</w:t>
      </w:r>
    </w:p>
    <w:p>
      <w:pPr>
        <w:spacing w:after="0" w:line="21" w:lineRule="exact"/>
        <w:rPr>
          <w:sz w:val="20"/>
          <w:szCs w:val="20"/>
          <w:color w:val="auto"/>
        </w:rPr>
      </w:pPr>
    </w:p>
    <w:p>
      <w:pPr>
        <w:ind w:right="3679"/>
        <w:spacing w:after="0" w:line="275" w:lineRule="auto"/>
        <w:rPr>
          <w:sz w:val="20"/>
          <w:szCs w:val="20"/>
          <w:color w:val="auto"/>
        </w:rPr>
      </w:pPr>
      <w:r>
        <w:rPr>
          <w:rFonts w:ascii="Courier New" w:cs="Courier New" w:eastAsia="Courier New" w:hAnsi="Courier New"/>
          <w:sz w:val="16"/>
          <w:szCs w:val="16"/>
          <w:color w:val="auto"/>
        </w:rPr>
        <w:t>the voting of the shares owned directly by the Fidelity Funds, which power resides with the Funds' Boards of Trustees. Fidelity carries out the voting of the shares under written guidelines established by the Funds' Boards of Trustees.</w:t>
      </w:r>
    </w:p>
    <w:p>
      <w:pPr>
        <w:spacing w:after="0" w:line="182"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Strategic Advisers, Inc., 82 Devonshire Street, Boston, MA 02109, a wholly-owned subsidiary of FMR LLC and an investment adviser registered under Section 203 of the Investment Advisers Act of 1940, provides investment advisory services to individuals. As such, FMR LLC's beneficial ownership includes 227,609 shares, or 0.040%, of the Common Stock outstanding of Marvell Technology Group Ltd., beneficially owned through Strategic Advisers, Inc.</w:t>
      </w: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Trust Company ("PGATC"),</w:t>
      </w:r>
    </w:p>
    <w:p>
      <w:pPr>
        <w:spacing w:after="0" w:line="4" w:lineRule="exact"/>
        <w:rPr>
          <w:sz w:val="20"/>
          <w:szCs w:val="20"/>
          <w:color w:val="auto"/>
        </w:rPr>
      </w:pPr>
    </w:p>
    <w:p>
      <w:pPr>
        <w:ind w:right="3679"/>
        <w:spacing w:after="0" w:line="268" w:lineRule="auto"/>
        <w:rPr>
          <w:sz w:val="20"/>
          <w:szCs w:val="20"/>
          <w:color w:val="auto"/>
        </w:rPr>
      </w:pPr>
      <w:r>
        <w:rPr>
          <w:rFonts w:ascii="Courier New" w:cs="Courier New" w:eastAsia="Courier New" w:hAnsi="Courier New"/>
          <w:sz w:val="16"/>
          <w:szCs w:val="16"/>
          <w:color w:val="auto"/>
        </w:rPr>
        <w:t>900 Salem Street, Smithfield, Rhode Island, 02917, an indirect wholly-owned subsidiary of FMR LLC and a bank as defined</w:t>
      </w:r>
    </w:p>
    <w:p>
      <w:pPr>
        <w:ind w:right="3779"/>
        <w:spacing w:after="0" w:line="237" w:lineRule="auto"/>
        <w:rPr>
          <w:sz w:val="20"/>
          <w:szCs w:val="20"/>
          <w:color w:val="auto"/>
        </w:rPr>
      </w:pPr>
      <w:r>
        <w:rPr>
          <w:rFonts w:ascii="Courier New" w:cs="Courier New" w:eastAsia="Courier New" w:hAnsi="Courier New"/>
          <w:sz w:val="18"/>
          <w:szCs w:val="18"/>
          <w:color w:val="auto"/>
        </w:rPr>
        <w:t>in Section 3(a)(6) of the Securities Exchange Act of 1934, is the beneficial owner of 300 shares or 0.000% of the outstanding Common Stock of the Marvell Technology Group Ltd. as a result of its serving as investment manager of institutional accounts owning such shares.</w:t>
      </w:r>
    </w:p>
    <w:p>
      <w:pPr>
        <w:spacing w:after="0" w:line="209" w:lineRule="exact"/>
        <w:rPr>
          <w:sz w:val="20"/>
          <w:szCs w:val="20"/>
          <w:color w:val="auto"/>
        </w:rPr>
      </w:pPr>
    </w:p>
    <w:p>
      <w:pPr>
        <w:ind w:right="377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Pyramis Global Advisors Trust Company, each has sole dispositive power over 300 shares and sole power to vote or to direct the voting of 0 shares of Common Stock owned by the institutional accounts managed by PGATC as reported above.</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The undersigned persons, on August 09, 2012, agree</w:t>
      </w:r>
    </w:p>
    <w:p>
      <w:pPr>
        <w:spacing w:after="0" w:line="4" w:lineRule="exact"/>
        <w:rPr>
          <w:sz w:val="20"/>
          <w:szCs w:val="20"/>
          <w:color w:val="auto"/>
        </w:rPr>
      </w:pPr>
    </w:p>
    <w:p>
      <w:pPr>
        <w:ind w:right="3479"/>
        <w:spacing w:after="0" w:line="237" w:lineRule="auto"/>
        <w:rPr>
          <w:sz w:val="20"/>
          <w:szCs w:val="20"/>
          <w:color w:val="auto"/>
        </w:rPr>
      </w:pPr>
      <w:r>
        <w:rPr>
          <w:rFonts w:ascii="Courier New" w:cs="Courier New" w:eastAsia="Courier New" w:hAnsi="Courier New"/>
          <w:sz w:val="18"/>
          <w:szCs w:val="18"/>
          <w:color w:val="auto"/>
        </w:rPr>
        <w:t>and consent to the joint filing on their behalf of this Schedule 13G in connection with their beneficial ownership of the Common Stock of Marvell Technology Group Ltd. at July 31, 2012.</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June 1, 2008, by and on behalf of FMR LLC and its direct</w:t>
      </w:r>
    </w:p>
    <w:p>
      <w:pPr>
        <w:sectPr>
          <w:pgSz w:w="11900" w:h="16838" w:orient="portrait"/>
          <w:cols w:equalWidth="0" w:num="1">
            <w:col w:w="10219"/>
          </w:cols>
          <w:pgMar w:left="240" w:top="142" w:right="1440" w:bottom="0" w:gutter="0" w:footer="0" w:header="0"/>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and indirect subsidiaries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June 1, 2008, by and on behalf of Edward C. Johnson 3d</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2019-12-09T12:16:28Z</dcterms:created>
  <dcterms:modified xsi:type="dcterms:W3CDTF">2019-12-09T12:16:28Z</dcterms:modified>
</cp:coreProperties>
</file>