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7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64" w:lineRule="exact"/>
        <w:rPr>
          <w:sz w:val="24"/>
          <w:szCs w:val="24"/>
          <w:color w:val="auto"/>
        </w:rPr>
      </w:pPr>
    </w:p>
    <w:p>
      <w:pPr>
        <w:spacing w:after="0"/>
        <w:rPr>
          <w:sz w:val="20"/>
          <w:szCs w:val="20"/>
          <w:color w:val="auto"/>
        </w:rPr>
      </w:pPr>
      <w:r>
        <w:rPr>
          <w:rFonts w:ascii="Arial" w:cs="Arial" w:eastAsia="Arial" w:hAnsi="Arial"/>
          <w:sz w:val="14"/>
          <w:szCs w:val="14"/>
          <w:color w:val="auto"/>
        </w:rPr>
        <w:t>(Mark One)</w:t>
      </w:r>
    </w:p>
    <w:p>
      <w:pPr>
        <w:spacing w:after="0" w:line="38" w:lineRule="exact"/>
        <w:rPr>
          <w:sz w:val="24"/>
          <w:szCs w:val="24"/>
          <w:color w:val="auto"/>
        </w:rPr>
      </w:pPr>
    </w:p>
    <w:p>
      <w:pPr>
        <w:ind w:left="460" w:right="460" w:hanging="452"/>
        <w:spacing w:after="0" w:line="256" w:lineRule="auto"/>
        <w:tabs>
          <w:tab w:leader="none" w:pos="46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2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For the quarterly period ended July 28, 2012</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40"/>
        <w:spacing w:after="0"/>
        <w:tabs>
          <w:tab w:leader="none" w:pos="676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118110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7"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sectPr>
      </w:pPr>
    </w:p>
    <w:p>
      <w:pPr>
        <w:spacing w:after="0" w:line="286" w:lineRule="exact"/>
        <w:rPr>
          <w:sz w:val="24"/>
          <w:szCs w:val="24"/>
          <w:color w:val="auto"/>
        </w:rPr>
      </w:pPr>
    </w:p>
    <w:p>
      <w:pPr>
        <w:ind w:left="254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44" w:lineRule="exact"/>
        <w:rPr>
          <w:sz w:val="24"/>
          <w:szCs w:val="24"/>
          <w:color w:val="auto"/>
        </w:rPr>
      </w:pPr>
    </w:p>
    <w:p>
      <w:pPr>
        <w:sectPr>
          <w:pgSz w:w="11900" w:h="16838" w:orient="portrait"/>
          <w:cols w:equalWidth="0" w:num="2">
            <w:col w:w="7500" w:space="720"/>
            <w:col w:w="3200"/>
          </w:cols>
          <w:pgMar w:left="240" w:top="230" w:right="239" w:bottom="1440" w:gutter="0" w:footer="0" w:header="0"/>
          <w:type w:val="continuous"/>
        </w:sectPr>
      </w:pPr>
    </w:p>
    <w:p>
      <w:pPr>
        <w:ind w:left="2040"/>
        <w:spacing w:after="0"/>
        <w:rPr>
          <w:sz w:val="20"/>
          <w:szCs w:val="20"/>
          <w:color w:val="auto"/>
        </w:rPr>
      </w:pPr>
      <w:r>
        <w:rPr>
          <w:rFonts w:ascii="Arial" w:cs="Arial" w:eastAsia="Arial" w:hAnsi="Arial"/>
          <w:sz w:val="12"/>
          <w:szCs w:val="12"/>
          <w:b w:val="1"/>
          <w:bCs w:val="1"/>
          <w:color w:val="auto"/>
        </w:rPr>
        <w:t>(State or other jurisdiction of</w:t>
      </w:r>
    </w:p>
    <w:p>
      <w:pPr>
        <w:spacing w:after="0" w:line="14" w:lineRule="exact"/>
        <w:rPr>
          <w:sz w:val="24"/>
          <w:szCs w:val="24"/>
          <w:color w:val="auto"/>
        </w:rPr>
      </w:pPr>
    </w:p>
    <w:p>
      <w:pPr>
        <w:ind w:left="2020"/>
        <w:spacing w:after="0"/>
        <w:rPr>
          <w:sz w:val="20"/>
          <w:szCs w:val="20"/>
          <w:color w:val="auto"/>
        </w:rPr>
      </w:pPr>
      <w:r>
        <w:rPr>
          <w:rFonts w:ascii="Arial" w:cs="Arial" w:eastAsia="Arial" w:hAnsi="Arial"/>
          <w:sz w:val="12"/>
          <w:szCs w:val="12"/>
          <w:b w:val="1"/>
          <w:bCs w:val="1"/>
          <w:color w:val="auto"/>
        </w:rPr>
        <w:t>incorporation or organization)</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1" w:lineRule="exact"/>
        <w:rPr>
          <w:sz w:val="24"/>
          <w:szCs w:val="24"/>
          <w:color w:val="auto"/>
        </w:rPr>
      </w:pPr>
    </w:p>
    <w:p>
      <w:pPr>
        <w:sectPr>
          <w:pgSz w:w="11900" w:h="16838" w:orient="portrait"/>
          <w:cols w:equalWidth="0" w:num="2">
            <w:col w:w="7400" w:space="720"/>
            <w:col w:w="3300"/>
          </w:cols>
          <w:pgMar w:left="240" w:top="230" w:right="239" w:bottom="1440" w:gutter="0" w:footer="0" w:header="0"/>
          <w:type w:val="continuous"/>
        </w:sectPr>
      </w:pPr>
    </w:p>
    <w:p>
      <w:pPr>
        <w:jc w:val="center"/>
        <w:spacing w:after="0"/>
        <w:rPr>
          <w:sz w:val="20"/>
          <w:szCs w:val="20"/>
          <w:color w:val="auto"/>
        </w:rPr>
      </w:pPr>
      <w:r>
        <w:rPr>
          <w:rFonts w:ascii="Arial" w:cs="Arial" w:eastAsia="Arial" w:hAnsi="Arial"/>
          <w:sz w:val="16"/>
          <w:szCs w:val="16"/>
          <w:b w:val="1"/>
          <w:bCs w:val="1"/>
          <w:color w:val="auto"/>
        </w:rPr>
        <w:t>Canon’s Court, 22 Victoria Street, Hamilton HM 12, Bermuda</w:t>
      </w:r>
    </w:p>
    <w:p>
      <w:pPr>
        <w:spacing w:after="0" w:line="4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jc w:val="center"/>
        <w:spacing w:after="0"/>
        <w:rPr>
          <w:sz w:val="20"/>
          <w:szCs w:val="20"/>
          <w:color w:val="auto"/>
        </w:rPr>
      </w:pPr>
      <w:r>
        <w:rPr>
          <w:rFonts w:ascii="Arial" w:cs="Arial" w:eastAsia="Arial" w:hAnsi="Arial"/>
          <w:sz w:val="14"/>
          <w:szCs w:val="14"/>
          <w:b w:val="1"/>
          <w:bCs w:val="1"/>
          <w:color w:val="auto"/>
        </w:rPr>
        <w:t>(Address, including Zip Code, of principal executive offices and</w:t>
      </w:r>
    </w:p>
    <w:p>
      <w:pPr>
        <w:jc w:val="center"/>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93980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type w:val="continuous"/>
        </w:sectPr>
      </w:pPr>
    </w:p>
    <w:p>
      <w:pPr>
        <w:spacing w:after="0" w:line="235"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pacing w:after="0" w:line="93"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1760" w:type="dxa"/>
            <w:vAlign w:val="bottom"/>
          </w:tcPr>
          <w:p>
            <w:pPr>
              <w:spacing w:after="0"/>
              <w:rPr>
                <w:sz w:val="20"/>
                <w:szCs w:val="20"/>
                <w:color w:val="auto"/>
              </w:rPr>
            </w:pPr>
            <w:r>
              <w:rPr>
                <w:rFonts w:ascii="Arial" w:cs="Arial" w:eastAsia="Arial" w:hAnsi="Arial"/>
                <w:sz w:val="18"/>
                <w:szCs w:val="18"/>
                <w:color w:val="auto"/>
                <w:w w:val="97"/>
              </w:rPr>
              <w:t>Large accelerated filer</w:t>
            </w:r>
          </w:p>
        </w:tc>
        <w:tc>
          <w:tcPr>
            <w:tcW w:w="6800" w:type="dxa"/>
            <w:vAlign w:val="bottom"/>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2460" w:type="dxa"/>
            <w:vAlign w:val="bottom"/>
          </w:tcPr>
          <w:p>
            <w:pPr>
              <w:ind w:left="30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Non-accelerated filer</w:t>
            </w:r>
          </w:p>
        </w:tc>
        <w:tc>
          <w:tcPr>
            <w:tcW w:w="6800" w:type="dxa"/>
            <w:vAlign w:val="bottom"/>
          </w:tcPr>
          <w:p>
            <w:pPr>
              <w:ind w:left="1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2460" w:type="dxa"/>
            <w:vAlign w:val="bottom"/>
          </w:tcPr>
          <w:p>
            <w:pPr>
              <w:ind w:left="300"/>
              <w:spacing w:after="0"/>
              <w:rPr>
                <w:sz w:val="20"/>
                <w:szCs w:val="20"/>
                <w:color w:val="auto"/>
              </w:rPr>
            </w:pPr>
            <w:r>
              <w:rPr>
                <w:rFonts w:ascii="Arial" w:cs="Arial" w:eastAsia="Arial" w:hAnsi="Arial"/>
                <w:sz w:val="18"/>
                <w:szCs w:val="18"/>
                <w:color w:val="auto"/>
                <w:w w:val="99"/>
              </w:rPr>
              <w:t>Smaller reporting company</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78"/>
        </w:trPr>
        <w:tc>
          <w:tcPr>
            <w:tcW w:w="8560" w:type="dxa"/>
            <w:vAlign w:val="bottom"/>
            <w:gridSpan w:val="2"/>
          </w:tcPr>
          <w:p>
            <w:pPr>
              <w:ind w:left="460"/>
              <w:spacing w:after="0"/>
              <w:rPr>
                <w:sz w:val="20"/>
                <w:szCs w:val="20"/>
                <w:color w:val="auto"/>
              </w:rPr>
            </w:pPr>
            <w:r>
              <w:rPr>
                <w:rFonts w:ascii="Arial" w:cs="Arial" w:eastAsia="Arial" w:hAnsi="Arial"/>
                <w:sz w:val="18"/>
                <w:szCs w:val="18"/>
                <w:color w:val="auto"/>
                <w:w w:val="89"/>
              </w:rPr>
              <w:t>Indicate by check mark whether the registrant is a shell company (as defined in Rule 12b-2 of the Exchange Act).</w:t>
            </w:r>
          </w:p>
        </w:tc>
        <w:tc>
          <w:tcPr>
            <w:tcW w:w="2460" w:type="dxa"/>
            <w:vAlign w:val="bottom"/>
          </w:tcPr>
          <w:p>
            <w:pPr>
              <w:ind w:left="1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tc>
        <w:tc>
          <w:tcPr>
            <w:tcW w:w="400" w:type="dxa"/>
            <w:vAlign w:val="bottom"/>
          </w:tcPr>
          <w:p>
            <w:pPr>
              <w:spacing w:after="0"/>
              <w:rPr>
                <w:sz w:val="24"/>
                <w:szCs w:val="24"/>
                <w:color w:val="auto"/>
              </w:rPr>
            </w:pPr>
          </w:p>
        </w:tc>
      </w:tr>
      <w:tr>
        <w:trPr>
          <w:trHeight w:val="358"/>
        </w:trPr>
        <w:tc>
          <w:tcPr>
            <w:tcW w:w="8560" w:type="dxa"/>
            <w:vAlign w:val="bottom"/>
            <w:gridSpan w:val="2"/>
          </w:tcPr>
          <w:p>
            <w:pPr>
              <w:ind w:left="460"/>
              <w:spacing w:after="0"/>
              <w:rPr>
                <w:sz w:val="20"/>
                <w:szCs w:val="20"/>
                <w:color w:val="auto"/>
              </w:rPr>
            </w:pPr>
            <w:r>
              <w:rPr>
                <w:rFonts w:ascii="Arial" w:cs="Arial" w:eastAsia="Arial" w:hAnsi="Arial"/>
                <w:sz w:val="18"/>
                <w:szCs w:val="18"/>
                <w:color w:val="auto"/>
                <w:w w:val="93"/>
              </w:rPr>
              <w:t>The number of common shares of the registrant outstanding as of August 24, 2012 was 557.8 million shares.</w:t>
            </w:r>
          </w:p>
        </w:tc>
        <w:tc>
          <w:tcPr>
            <w:tcW w:w="246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24"/>
        </w:trPr>
        <w:tc>
          <w:tcPr>
            <w:tcW w:w="1760" w:type="dxa"/>
            <w:vAlign w:val="bottom"/>
            <w:tcBorders>
              <w:bottom w:val="single" w:sz="8" w:color="auto"/>
            </w:tcBorders>
          </w:tcPr>
          <w:p>
            <w:pPr>
              <w:spacing w:after="0"/>
              <w:rPr>
                <w:sz w:val="10"/>
                <w:szCs w:val="10"/>
                <w:color w:val="auto"/>
              </w:rPr>
            </w:pPr>
          </w:p>
        </w:tc>
        <w:tc>
          <w:tcPr>
            <w:tcW w:w="6800" w:type="dxa"/>
            <w:vAlign w:val="bottom"/>
            <w:tcBorders>
              <w:bottom w:val="single" w:sz="8" w:color="auto"/>
            </w:tcBorders>
          </w:tcPr>
          <w:p>
            <w:pPr>
              <w:spacing w:after="0"/>
              <w:rPr>
                <w:sz w:val="10"/>
                <w:szCs w:val="10"/>
                <w:color w:val="auto"/>
              </w:rPr>
            </w:pPr>
          </w:p>
        </w:tc>
        <w:tc>
          <w:tcPr>
            <w:tcW w:w="2460" w:type="dxa"/>
            <w:vAlign w:val="bottom"/>
            <w:tcBorders>
              <w:bottom w:val="single" w:sz="8" w:color="auto"/>
            </w:tcBorders>
          </w:tcPr>
          <w:p>
            <w:pPr>
              <w:spacing w:after="0"/>
              <w:rPr>
                <w:sz w:val="10"/>
                <w:szCs w:val="10"/>
                <w:color w:val="auto"/>
              </w:rPr>
            </w:pPr>
          </w:p>
        </w:tc>
        <w:tc>
          <w:tcPr>
            <w:tcW w:w="400" w:type="dxa"/>
            <w:vAlign w:val="bottom"/>
            <w:tcBorders>
              <w:bottom w:val="single" w:sz="8" w:color="auto"/>
            </w:tcBorders>
          </w:tcPr>
          <w:p>
            <w:pPr>
              <w:spacing w:after="0"/>
              <w:rPr>
                <w:sz w:val="10"/>
                <w:szCs w:val="10"/>
                <w:color w:val="auto"/>
              </w:rPr>
            </w:pPr>
          </w:p>
        </w:tc>
      </w:tr>
      <w:tr>
        <w:trPr>
          <w:trHeight w:val="21"/>
        </w:trPr>
        <w:tc>
          <w:tcPr>
            <w:tcW w:w="1760" w:type="dxa"/>
            <w:vAlign w:val="bottom"/>
            <w:tcBorders>
              <w:bottom w:val="single" w:sz="8" w:color="auto"/>
            </w:tcBorders>
          </w:tcPr>
          <w:p>
            <w:pPr>
              <w:spacing w:after="0" w:line="20" w:lineRule="exact"/>
              <w:rPr>
                <w:sz w:val="1"/>
                <w:szCs w:val="1"/>
                <w:color w:val="auto"/>
              </w:rPr>
            </w:pPr>
          </w:p>
        </w:tc>
        <w:tc>
          <w:tcPr>
            <w:tcW w:w="6800" w:type="dxa"/>
            <w:vAlign w:val="bottom"/>
            <w:tcBorders>
              <w:bottom w:val="single" w:sz="8" w:color="auto"/>
            </w:tcBorders>
          </w:tcPr>
          <w:p>
            <w:pPr>
              <w:spacing w:after="0" w:line="20" w:lineRule="exact"/>
              <w:rPr>
                <w:sz w:val="1"/>
                <w:szCs w:val="1"/>
                <w:color w:val="auto"/>
              </w:rPr>
            </w:pPr>
          </w:p>
        </w:tc>
        <w:tc>
          <w:tcPr>
            <w:tcW w:w="246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100" w:type="dxa"/>
            <w:vAlign w:val="bottom"/>
            <w:gridSpan w:val="9"/>
            <w:vMerge w:val="restart"/>
          </w:tcPr>
          <w:p>
            <w:pPr>
              <w:jc w:val="center"/>
              <w:ind w:right="2640"/>
              <w:spacing w:after="0"/>
              <w:rPr>
                <w:sz w:val="20"/>
                <w:szCs w:val="20"/>
                <w:color w:val="auto"/>
              </w:rPr>
            </w:pPr>
            <w:r>
              <w:rPr>
                <w:rFonts w:ascii="Arial" w:cs="Arial" w:eastAsia="Arial" w:hAnsi="Arial"/>
                <w:sz w:val="18"/>
                <w:szCs w:val="18"/>
                <w:b w:val="1"/>
                <w:bCs w:val="1"/>
                <w:color w:val="auto"/>
                <w:w w:val="99"/>
              </w:rPr>
              <w:t>PART I. FINANCIAL INFORMATION</w:t>
            </w:r>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88"/>
        </w:trPr>
        <w:tc>
          <w:tcPr>
            <w:tcW w:w="7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100" w:type="dxa"/>
            <w:vAlign w:val="bottom"/>
            <w:gridSpan w:val="9"/>
            <w:vMerge w:val="continue"/>
          </w:tcPr>
          <w:p>
            <w:pPr>
              <w:spacing w:after="0"/>
              <w:rPr>
                <w:sz w:val="16"/>
                <w:szCs w:val="16"/>
                <w:color w:val="auto"/>
              </w:rPr>
            </w:pPr>
          </w:p>
        </w:tc>
        <w:tc>
          <w:tcPr>
            <w:tcW w:w="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4"/>
        </w:trPr>
        <w:tc>
          <w:tcPr>
            <w:tcW w:w="1220" w:type="dxa"/>
            <w:vAlign w:val="bottom"/>
            <w:gridSpan w:val="3"/>
          </w:tcPr>
          <w:p>
            <w:pPr>
              <w:spacing w:after="0" w:line="184" w:lineRule="exact"/>
              <w:rPr>
                <w:sz w:val="20"/>
                <w:szCs w:val="20"/>
                <w:color w:val="auto"/>
              </w:rPr>
            </w:pPr>
            <w:r>
              <w:rPr>
                <w:rFonts w:ascii="Arial" w:cs="Arial" w:eastAsia="Arial" w:hAnsi="Arial"/>
                <w:sz w:val="18"/>
                <w:szCs w:val="18"/>
                <w:color w:val="auto"/>
              </w:rPr>
              <w:t>Item 1.</w:t>
            </w:r>
          </w:p>
        </w:tc>
        <w:tc>
          <w:tcPr>
            <w:tcW w:w="9820" w:type="dxa"/>
            <w:vAlign w:val="bottom"/>
            <w:gridSpan w:val="16"/>
          </w:tcPr>
          <w:p>
            <w:pPr>
              <w:spacing w:after="0" w:line="184" w:lineRule="exact"/>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5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820" w:type="dxa"/>
            <w:vAlign w:val="bottom"/>
            <w:gridSpan w:val="16"/>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Balance Sheets as of July 28, 2012 and January 28, 2012</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5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6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820" w:type="dxa"/>
            <w:vAlign w:val="bottom"/>
            <w:gridSpan w:val="16"/>
          </w:tcPr>
          <w:p>
            <w:pPr>
              <w:spacing w:after="0"/>
              <w:rPr>
                <w:rFonts w:ascii="Arial" w:cs="Arial" w:eastAsia="Arial" w:hAnsi="Arial"/>
                <w:sz w:val="18"/>
                <w:szCs w:val="18"/>
                <w:color w:val="0000EE"/>
                <w:w w:val="94"/>
              </w:rPr>
            </w:pPr>
            <w:hyperlink w:anchor="page4">
              <w:r>
                <w:rPr>
                  <w:rFonts w:ascii="Arial" w:cs="Arial" w:eastAsia="Arial" w:hAnsi="Arial"/>
                  <w:sz w:val="18"/>
                  <w:szCs w:val="18"/>
                  <w:color w:val="0000EE"/>
                  <w:w w:val="94"/>
                </w:rPr>
                <w:t>Unaudited Condensed Consolidated Statements of Operations for the three and six months ended July 28, 2012 and July 30, 2011</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5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620" w:type="dxa"/>
            <w:vAlign w:val="bottom"/>
            <w:shd w:val="clear" w:color="auto" w:fill="0000EE"/>
          </w:tcPr>
          <w:p>
            <w:pPr>
              <w:spacing w:after="0" w:line="20" w:lineRule="exact"/>
              <w:rPr>
                <w:sz w:val="1"/>
                <w:szCs w:val="1"/>
                <w:color w:val="auto"/>
              </w:rPr>
            </w:pPr>
          </w:p>
        </w:tc>
        <w:tc>
          <w:tcPr>
            <w:tcW w:w="2160" w:type="dxa"/>
            <w:vAlign w:val="bottom"/>
            <w:gridSpan w:val="2"/>
            <w:shd w:val="clear" w:color="auto" w:fill="0000EE"/>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820" w:type="dxa"/>
            <w:vAlign w:val="bottom"/>
            <w:gridSpan w:val="16"/>
          </w:tcPr>
          <w:p>
            <w:pPr>
              <w:spacing w:after="0"/>
              <w:rPr>
                <w:rFonts w:ascii="Arial" w:cs="Arial" w:eastAsia="Arial" w:hAnsi="Arial"/>
                <w:sz w:val="18"/>
                <w:szCs w:val="18"/>
                <w:color w:val="0000EE"/>
                <w:w w:val="91"/>
              </w:rPr>
            </w:pPr>
            <w:hyperlink w:anchor="page5">
              <w:r>
                <w:rPr>
                  <w:rFonts w:ascii="Arial" w:cs="Arial" w:eastAsia="Arial" w:hAnsi="Arial"/>
                  <w:sz w:val="18"/>
                  <w:szCs w:val="18"/>
                  <w:color w:val="0000EE"/>
                  <w:w w:val="91"/>
                </w:rPr>
                <w:t>Unaudited Condensed Consolidated Statements of Comprehensive Income for the three and six months ended July 28, 2012 and July</w:t>
              </w:r>
            </w:hyperlink>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820" w:type="dxa"/>
            <w:vAlign w:val="bottom"/>
            <w:tcBorders>
              <w:top w:val="single" w:sz="8" w:color="0000EE"/>
            </w:tcBorders>
            <w:gridSpan w:val="3"/>
          </w:tcPr>
          <w:p>
            <w:pPr>
              <w:ind w:left="220"/>
              <w:spacing w:after="0" w:line="196" w:lineRule="exact"/>
              <w:rPr>
                <w:rFonts w:ascii="Arial" w:cs="Arial" w:eastAsia="Arial" w:hAnsi="Arial"/>
                <w:sz w:val="18"/>
                <w:szCs w:val="18"/>
                <w:color w:val="0000EE"/>
                <w:w w:val="82"/>
              </w:rPr>
            </w:pPr>
            <w:hyperlink w:anchor="page5">
              <w:r>
                <w:rPr>
                  <w:rFonts w:ascii="Arial" w:cs="Arial" w:eastAsia="Arial" w:hAnsi="Arial"/>
                  <w:sz w:val="18"/>
                  <w:szCs w:val="18"/>
                  <w:color w:val="0000EE"/>
                  <w:w w:val="82"/>
                </w:rPr>
                <w:t>30, 2011</w:t>
              </w:r>
            </w:hyperlink>
          </w:p>
        </w:tc>
        <w:tc>
          <w:tcPr>
            <w:tcW w:w="6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00" w:type="dxa"/>
            <w:vAlign w:val="bottom"/>
            <w:tcBorders>
              <w:top w:val="single" w:sz="8" w:color="0000EE"/>
            </w:tcBorders>
          </w:tcPr>
          <w:p>
            <w:pPr>
              <w:spacing w:after="0"/>
              <w:rPr>
                <w:sz w:val="17"/>
                <w:szCs w:val="17"/>
                <w:color w:val="auto"/>
              </w:rPr>
            </w:pPr>
          </w:p>
        </w:tc>
        <w:tc>
          <w:tcPr>
            <w:tcW w:w="252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1620" w:type="dxa"/>
            <w:vAlign w:val="bottom"/>
            <w:tcBorders>
              <w:top w:val="single" w:sz="8" w:color="0000EE"/>
            </w:tcBorders>
          </w:tcPr>
          <w:p>
            <w:pPr>
              <w:spacing w:after="0"/>
              <w:rPr>
                <w:sz w:val="17"/>
                <w:szCs w:val="17"/>
                <w:color w:val="auto"/>
              </w:rPr>
            </w:pPr>
          </w:p>
        </w:tc>
        <w:tc>
          <w:tcPr>
            <w:tcW w:w="260" w:type="dxa"/>
            <w:vAlign w:val="bottom"/>
            <w:tcBorders>
              <w:top w:val="single" w:sz="8" w:color="0000EE"/>
            </w:tcBorders>
          </w:tcPr>
          <w:p>
            <w:pPr>
              <w:spacing w:after="0"/>
              <w:rPr>
                <w:sz w:val="17"/>
                <w:szCs w:val="17"/>
                <w:color w:val="auto"/>
              </w:rPr>
            </w:pPr>
          </w:p>
        </w:tc>
        <w:tc>
          <w:tcPr>
            <w:tcW w:w="1900" w:type="dxa"/>
            <w:vAlign w:val="bottom"/>
            <w:tcBorders>
              <w:top w:val="single" w:sz="8" w:color="0000EE"/>
            </w:tcBorders>
          </w:tcPr>
          <w:p>
            <w:pPr>
              <w:spacing w:after="0"/>
              <w:rPr>
                <w:sz w:val="17"/>
                <w:szCs w:val="17"/>
                <w:color w:val="auto"/>
              </w:rPr>
            </w:pPr>
          </w:p>
        </w:tc>
        <w:tc>
          <w:tcPr>
            <w:tcW w:w="640" w:type="dxa"/>
            <w:vAlign w:val="bottom"/>
            <w:tcBorders>
              <w:top w:val="single" w:sz="8" w:color="0000EE"/>
            </w:tcBorders>
          </w:tcPr>
          <w:p>
            <w:pPr>
              <w:spacing w:after="0"/>
              <w:rPr>
                <w:sz w:val="17"/>
                <w:szCs w:val="17"/>
                <w:color w:val="auto"/>
              </w:rPr>
            </w:pPr>
          </w:p>
        </w:tc>
        <w:tc>
          <w:tcPr>
            <w:tcW w:w="260" w:type="dxa"/>
            <w:vAlign w:val="bottom"/>
            <w:tcBorders>
              <w:top w:val="single" w:sz="8" w:color="0000EE"/>
            </w:tcBorders>
          </w:tcPr>
          <w:p>
            <w:pPr>
              <w:spacing w:after="0"/>
              <w:rPr>
                <w:sz w:val="17"/>
                <w:szCs w:val="17"/>
                <w:color w:val="auto"/>
              </w:rPr>
            </w:pPr>
          </w:p>
        </w:tc>
        <w:tc>
          <w:tcPr>
            <w:tcW w:w="46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25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c>
          <w:tcPr>
            <w:tcW w:w="1360" w:type="dxa"/>
            <w:vAlign w:val="bottom"/>
            <w:gridSpan w:val="3"/>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820" w:type="dxa"/>
            <w:vAlign w:val="bottom"/>
            <w:gridSpan w:val="16"/>
          </w:tcPr>
          <w:p>
            <w:pPr>
              <w:spacing w:after="0"/>
              <w:rPr>
                <w:rFonts w:ascii="Arial" w:cs="Arial" w:eastAsia="Arial" w:hAnsi="Arial"/>
                <w:sz w:val="18"/>
                <w:szCs w:val="18"/>
                <w:color w:val="0000EE"/>
              </w:rPr>
            </w:pPr>
            <w:hyperlink w:anchor="page6">
              <w:r>
                <w:rPr>
                  <w:rFonts w:ascii="Arial" w:cs="Arial" w:eastAsia="Arial" w:hAnsi="Arial"/>
                  <w:sz w:val="18"/>
                  <w:szCs w:val="18"/>
                  <w:color w:val="0000EE"/>
                </w:rPr>
                <w:t>Unaudited Condensed Consolidated Statements of Cash Flows for the six months ended July 28, 2012 and July 30, 2011</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680" w:type="dxa"/>
            <w:vAlign w:val="bottom"/>
            <w:tcBorders>
              <w:top w:val="single" w:sz="8" w:color="0000EE"/>
              <w:bottom w:val="single" w:sz="8" w:color="0000EE"/>
            </w:tcBorders>
            <w:gridSpan w:val="10"/>
          </w:tcPr>
          <w:p>
            <w:pPr>
              <w:spacing w:after="0"/>
              <w:rPr>
                <w:rFonts w:ascii="Arial" w:cs="Arial" w:eastAsia="Arial" w:hAnsi="Arial"/>
                <w:sz w:val="18"/>
                <w:szCs w:val="18"/>
                <w:color w:val="0000EE"/>
                <w:w w:val="87"/>
              </w:rPr>
            </w:pPr>
            <w:hyperlink w:anchor="page7">
              <w:r>
                <w:rPr>
                  <w:rFonts w:ascii="Arial" w:cs="Arial" w:eastAsia="Arial" w:hAnsi="Arial"/>
                  <w:sz w:val="18"/>
                  <w:szCs w:val="18"/>
                  <w:color w:val="0000EE"/>
                  <w:w w:val="87"/>
                </w:rPr>
                <w:t>Notes to Unaudited Condensed Consolidated Financial Statements</w:t>
              </w:r>
            </w:hyperlink>
          </w:p>
        </w:tc>
        <w:tc>
          <w:tcPr>
            <w:tcW w:w="3780" w:type="dxa"/>
            <w:vAlign w:val="bottom"/>
            <w:tcBorders>
              <w:top w:val="single" w:sz="8" w:color="0000EE"/>
            </w:tcBorders>
            <w:gridSpan w:val="3"/>
          </w:tcPr>
          <w:p>
            <w:pPr>
              <w:spacing w:after="0"/>
              <w:rPr>
                <w:sz w:val="24"/>
                <w:szCs w:val="24"/>
                <w:color w:val="auto"/>
              </w:rPr>
            </w:pPr>
          </w:p>
        </w:tc>
        <w:tc>
          <w:tcPr>
            <w:tcW w:w="1360" w:type="dxa"/>
            <w:vAlign w:val="bottom"/>
            <w:gridSpan w:val="3"/>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304"/>
        </w:trPr>
        <w:tc>
          <w:tcPr>
            <w:tcW w:w="1220" w:type="dxa"/>
            <w:vAlign w:val="bottom"/>
            <w:gridSpan w:val="3"/>
          </w:tcPr>
          <w:p>
            <w:pPr>
              <w:spacing w:after="0"/>
              <w:rPr>
                <w:sz w:val="20"/>
                <w:szCs w:val="20"/>
                <w:color w:val="auto"/>
              </w:rPr>
            </w:pPr>
            <w:r>
              <w:rPr>
                <w:rFonts w:ascii="Arial" w:cs="Arial" w:eastAsia="Arial" w:hAnsi="Arial"/>
                <w:sz w:val="18"/>
                <w:szCs w:val="18"/>
                <w:color w:val="auto"/>
              </w:rPr>
              <w:t>Item 2.</w:t>
            </w:r>
          </w:p>
        </w:tc>
        <w:tc>
          <w:tcPr>
            <w:tcW w:w="9820" w:type="dxa"/>
            <w:vAlign w:val="bottom"/>
            <w:gridSpan w:val="16"/>
          </w:tcPr>
          <w:p>
            <w:pPr>
              <w:spacing w:after="0"/>
              <w:rPr>
                <w:rFonts w:ascii="Arial" w:cs="Arial" w:eastAsia="Arial" w:hAnsi="Arial"/>
                <w:sz w:val="18"/>
                <w:szCs w:val="18"/>
                <w:color w:val="0000EE"/>
              </w:rPr>
            </w:pPr>
            <w:hyperlink w:anchor="page22">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304"/>
        </w:trPr>
        <w:tc>
          <w:tcPr>
            <w:tcW w:w="1220" w:type="dxa"/>
            <w:vAlign w:val="bottom"/>
            <w:gridSpan w:val="3"/>
          </w:tcPr>
          <w:p>
            <w:pPr>
              <w:spacing w:after="0"/>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9"/>
          </w:tcPr>
          <w:p>
            <w:pPr>
              <w:spacing w:after="0"/>
              <w:rPr>
                <w:rFonts w:ascii="Arial" w:cs="Arial" w:eastAsia="Arial" w:hAnsi="Arial"/>
                <w:sz w:val="18"/>
                <w:szCs w:val="18"/>
                <w:color w:val="0000EE"/>
                <w:w w:val="89"/>
              </w:rPr>
            </w:pPr>
            <w:hyperlink w:anchor="page28">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2"/>
          </w:tcPr>
          <w:p>
            <w:pPr>
              <w:spacing w:after="0"/>
              <w:rPr>
                <w:sz w:val="24"/>
                <w:szCs w:val="24"/>
                <w:color w:val="auto"/>
              </w:rPr>
            </w:pPr>
          </w:p>
        </w:tc>
        <w:tc>
          <w:tcPr>
            <w:tcW w:w="3520" w:type="dxa"/>
            <w:vAlign w:val="bottom"/>
            <w:gridSpan w:val="5"/>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304"/>
        </w:trPr>
        <w:tc>
          <w:tcPr>
            <w:tcW w:w="1220" w:type="dxa"/>
            <w:vAlign w:val="bottom"/>
            <w:gridSpan w:val="3"/>
          </w:tcPr>
          <w:p>
            <w:pPr>
              <w:spacing w:after="0"/>
              <w:rPr>
                <w:sz w:val="20"/>
                <w:szCs w:val="20"/>
                <w:color w:val="auto"/>
              </w:rPr>
            </w:pPr>
            <w:r>
              <w:rPr>
                <w:rFonts w:ascii="Arial" w:cs="Arial" w:eastAsia="Arial" w:hAnsi="Arial"/>
                <w:sz w:val="18"/>
                <w:szCs w:val="18"/>
                <w:color w:val="auto"/>
              </w:rPr>
              <w:t>Item 4.</w:t>
            </w:r>
          </w:p>
        </w:tc>
        <w:tc>
          <w:tcPr>
            <w:tcW w:w="9820" w:type="dxa"/>
            <w:vAlign w:val="bottom"/>
            <w:gridSpan w:val="16"/>
          </w:tcPr>
          <w:p>
            <w:pPr>
              <w:spacing w:after="0"/>
              <w:rPr>
                <w:rFonts w:ascii="Arial" w:cs="Arial" w:eastAsia="Arial" w:hAnsi="Arial"/>
                <w:sz w:val="18"/>
                <w:szCs w:val="18"/>
                <w:color w:val="0000EE"/>
              </w:rPr>
            </w:pPr>
            <w:hyperlink w:anchor="page29">
              <w:r>
                <w:rPr>
                  <w:rFonts w:ascii="Arial" w:cs="Arial" w:eastAsia="Arial" w:hAnsi="Arial"/>
                  <w:sz w:val="18"/>
                  <w:szCs w:val="18"/>
                  <w:color w:val="0000EE"/>
                </w:rPr>
                <w:t>Controls and Procedures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228"/>
        </w:trPr>
        <w:tc>
          <w:tcPr>
            <w:tcW w:w="7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20" w:type="dxa"/>
            <w:vAlign w:val="bottom"/>
            <w:tcBorders>
              <w:top w:val="single" w:sz="8" w:color="0000EE"/>
            </w:tcBorders>
          </w:tcPr>
          <w:p>
            <w:pPr>
              <w:spacing w:after="0"/>
              <w:rPr>
                <w:sz w:val="19"/>
                <w:szCs w:val="19"/>
                <w:color w:val="auto"/>
              </w:rPr>
            </w:pPr>
          </w:p>
        </w:tc>
        <w:tc>
          <w:tcPr>
            <w:tcW w:w="360" w:type="dxa"/>
            <w:vAlign w:val="bottom"/>
            <w:tcBorders>
              <w:top w:val="single" w:sz="8" w:color="0000EE"/>
            </w:tcBorders>
          </w:tcPr>
          <w:p>
            <w:pPr>
              <w:spacing w:after="0"/>
              <w:rPr>
                <w:sz w:val="19"/>
                <w:szCs w:val="19"/>
                <w:color w:val="auto"/>
              </w:rPr>
            </w:pPr>
          </w:p>
        </w:tc>
        <w:tc>
          <w:tcPr>
            <w:tcW w:w="240" w:type="dxa"/>
            <w:vAlign w:val="bottom"/>
            <w:tcBorders>
              <w:top w:val="single" w:sz="8" w:color="0000EE"/>
            </w:tcBorders>
          </w:tcPr>
          <w:p>
            <w:pPr>
              <w:spacing w:after="0"/>
              <w:rPr>
                <w:sz w:val="19"/>
                <w:szCs w:val="19"/>
                <w:color w:val="auto"/>
              </w:rPr>
            </w:pPr>
          </w:p>
        </w:tc>
        <w:tc>
          <w:tcPr>
            <w:tcW w:w="60" w:type="dxa"/>
            <w:vAlign w:val="bottom"/>
            <w:tcBorders>
              <w:top w:val="single" w:sz="8" w:color="0000EE"/>
            </w:tcBorders>
          </w:tcPr>
          <w:p>
            <w:pPr>
              <w:spacing w:after="0"/>
              <w:rPr>
                <w:sz w:val="19"/>
                <w:szCs w:val="19"/>
                <w:color w:val="auto"/>
              </w:rPr>
            </w:pPr>
          </w:p>
        </w:tc>
        <w:tc>
          <w:tcPr>
            <w:tcW w:w="420" w:type="dxa"/>
            <w:vAlign w:val="bottom"/>
            <w:tcBorders>
              <w:top w:val="single" w:sz="8" w:color="0000EE"/>
            </w:tcBorders>
          </w:tcPr>
          <w:p>
            <w:pPr>
              <w:spacing w:after="0"/>
              <w:rPr>
                <w:sz w:val="19"/>
                <w:szCs w:val="19"/>
                <w:color w:val="auto"/>
              </w:rPr>
            </w:pPr>
          </w:p>
        </w:tc>
        <w:tc>
          <w:tcPr>
            <w:tcW w:w="220" w:type="dxa"/>
            <w:vAlign w:val="bottom"/>
            <w:tcBorders>
              <w:top w:val="single" w:sz="8" w:color="0000EE"/>
            </w:tcBorders>
          </w:tcPr>
          <w:p>
            <w:pPr>
              <w:spacing w:after="0"/>
              <w:rPr>
                <w:sz w:val="19"/>
                <w:szCs w:val="19"/>
                <w:color w:val="auto"/>
              </w:rPr>
            </w:pPr>
          </w:p>
        </w:tc>
        <w:tc>
          <w:tcPr>
            <w:tcW w:w="200" w:type="dxa"/>
            <w:vAlign w:val="bottom"/>
            <w:tcBorders>
              <w:top w:val="single" w:sz="8" w:color="0000EE"/>
            </w:tcBorders>
          </w:tcPr>
          <w:p>
            <w:pPr>
              <w:spacing w:after="0"/>
              <w:rPr>
                <w:sz w:val="19"/>
                <w:szCs w:val="19"/>
                <w:color w:val="auto"/>
              </w:rPr>
            </w:pPr>
          </w:p>
        </w:tc>
        <w:tc>
          <w:tcPr>
            <w:tcW w:w="8100" w:type="dxa"/>
            <w:vAlign w:val="bottom"/>
            <w:gridSpan w:val="9"/>
          </w:tcPr>
          <w:p>
            <w:pPr>
              <w:jc w:val="center"/>
              <w:ind w:right="2640"/>
              <w:spacing w:after="0"/>
              <w:rPr>
                <w:sz w:val="20"/>
                <w:szCs w:val="20"/>
                <w:color w:val="auto"/>
              </w:rPr>
            </w:pPr>
            <w:r>
              <w:rPr>
                <w:rFonts w:ascii="Arial" w:cs="Arial" w:eastAsia="Arial" w:hAnsi="Arial"/>
                <w:sz w:val="18"/>
                <w:szCs w:val="18"/>
                <w:b w:val="1"/>
                <w:bCs w:val="1"/>
                <w:color w:val="auto"/>
              </w:rPr>
              <w:t>PART II. OTHER INFORMATION</w:t>
            </w: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84"/>
        </w:trPr>
        <w:tc>
          <w:tcPr>
            <w:tcW w:w="1220" w:type="dxa"/>
            <w:vAlign w:val="bottom"/>
            <w:gridSpan w:val="3"/>
          </w:tcPr>
          <w:p>
            <w:pPr>
              <w:spacing w:after="0" w:line="184" w:lineRule="exact"/>
              <w:rPr>
                <w:sz w:val="20"/>
                <w:szCs w:val="20"/>
                <w:color w:val="auto"/>
              </w:rPr>
            </w:pPr>
            <w:r>
              <w:rPr>
                <w:rFonts w:ascii="Arial" w:cs="Arial" w:eastAsia="Arial" w:hAnsi="Arial"/>
                <w:sz w:val="18"/>
                <w:szCs w:val="18"/>
                <w:color w:val="auto"/>
              </w:rPr>
              <w:t>Item 1.</w:t>
            </w:r>
          </w:p>
        </w:tc>
        <w:tc>
          <w:tcPr>
            <w:tcW w:w="9820" w:type="dxa"/>
            <w:vAlign w:val="bottom"/>
            <w:gridSpan w:val="16"/>
          </w:tcPr>
          <w:p>
            <w:pPr>
              <w:spacing w:after="0" w:line="184" w:lineRule="exact"/>
              <w:rPr>
                <w:rFonts w:ascii="Arial" w:cs="Arial" w:eastAsia="Arial" w:hAnsi="Arial"/>
                <w:sz w:val="18"/>
                <w:szCs w:val="18"/>
                <w:color w:val="0000EE"/>
              </w:rPr>
            </w:pPr>
            <w:hyperlink w:anchor="page31">
              <w:r>
                <w:rPr>
                  <w:rFonts w:ascii="Arial" w:cs="Arial" w:eastAsia="Arial" w:hAnsi="Arial"/>
                  <w:sz w:val="18"/>
                  <w:szCs w:val="18"/>
                  <w:color w:val="0000EE"/>
                </w:rPr>
                <w:t>Legal Proceedings</w:t>
              </w:r>
            </w:hyperlink>
          </w:p>
        </w:tc>
        <w:tc>
          <w:tcPr>
            <w:tcW w:w="280" w:type="dxa"/>
            <w:vAlign w:val="bottom"/>
          </w:tcPr>
          <w:p>
            <w:pPr>
              <w:jc w:val="right"/>
              <w:spacing w:after="0" w:line="184"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304"/>
        </w:trPr>
        <w:tc>
          <w:tcPr>
            <w:tcW w:w="1220" w:type="dxa"/>
            <w:vAlign w:val="bottom"/>
            <w:gridSpan w:val="3"/>
          </w:tcPr>
          <w:p>
            <w:pPr>
              <w:spacing w:after="0"/>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5"/>
          </w:tcPr>
          <w:p>
            <w:pPr>
              <w:spacing w:after="0"/>
              <w:rPr>
                <w:rFonts w:ascii="Arial" w:cs="Arial" w:eastAsia="Arial" w:hAnsi="Arial"/>
                <w:sz w:val="18"/>
                <w:szCs w:val="18"/>
                <w:color w:val="0000EE"/>
              </w:rPr>
            </w:pPr>
            <w:hyperlink w:anchor="page31">
              <w:r>
                <w:rPr>
                  <w:rFonts w:ascii="Arial" w:cs="Arial" w:eastAsia="Arial" w:hAnsi="Arial"/>
                  <w:sz w:val="18"/>
                  <w:szCs w:val="18"/>
                  <w:color w:val="0000EE"/>
                </w:rPr>
                <w:t>Risk Factors</w:t>
              </w:r>
            </w:hyperlink>
          </w:p>
        </w:tc>
        <w:tc>
          <w:tcPr>
            <w:tcW w:w="8520" w:type="dxa"/>
            <w:vAlign w:val="bottom"/>
            <w:gridSpan w:val="11"/>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580" w:type="dxa"/>
            <w:vAlign w:val="bottom"/>
            <w:gridSpan w:val="2"/>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3360" w:type="dxa"/>
            <w:vAlign w:val="bottom"/>
            <w:gridSpan w:val="4"/>
          </w:tcPr>
          <w:p>
            <w:pPr>
              <w:spacing w:after="0" w:line="20" w:lineRule="exact"/>
              <w:rPr>
                <w:sz w:val="1"/>
                <w:szCs w:val="1"/>
                <w:color w:val="auto"/>
              </w:rPr>
            </w:pPr>
          </w:p>
        </w:tc>
        <w:tc>
          <w:tcPr>
            <w:tcW w:w="5580" w:type="dxa"/>
            <w:vAlign w:val="bottom"/>
            <w:gridSpan w:val="8"/>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220" w:type="dxa"/>
            <w:vAlign w:val="bottom"/>
            <w:gridSpan w:val="3"/>
          </w:tcPr>
          <w:p>
            <w:pPr>
              <w:spacing w:after="0"/>
              <w:rPr>
                <w:sz w:val="20"/>
                <w:szCs w:val="20"/>
                <w:color w:val="auto"/>
              </w:rPr>
            </w:pPr>
            <w:r>
              <w:rPr>
                <w:rFonts w:ascii="Arial" w:cs="Arial" w:eastAsia="Arial" w:hAnsi="Arial"/>
                <w:sz w:val="18"/>
                <w:szCs w:val="18"/>
                <w:color w:val="auto"/>
              </w:rPr>
              <w:t>Item 2.</w:t>
            </w:r>
          </w:p>
        </w:tc>
        <w:tc>
          <w:tcPr>
            <w:tcW w:w="9820" w:type="dxa"/>
            <w:vAlign w:val="bottom"/>
            <w:gridSpan w:val="16"/>
          </w:tcPr>
          <w:p>
            <w:pPr>
              <w:spacing w:after="0"/>
              <w:rPr>
                <w:rFonts w:ascii="Arial" w:cs="Arial" w:eastAsia="Arial" w:hAnsi="Arial"/>
                <w:sz w:val="18"/>
                <w:szCs w:val="18"/>
                <w:color w:val="0000EE"/>
              </w:rPr>
            </w:pPr>
            <w:hyperlink w:anchor="page45">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304"/>
        </w:trPr>
        <w:tc>
          <w:tcPr>
            <w:tcW w:w="1220" w:type="dxa"/>
            <w:vAlign w:val="bottom"/>
            <w:gridSpan w:val="3"/>
          </w:tcPr>
          <w:p>
            <w:pPr>
              <w:spacing w:after="0"/>
              <w:rPr>
                <w:sz w:val="20"/>
                <w:szCs w:val="20"/>
                <w:color w:val="auto"/>
              </w:rPr>
            </w:pPr>
            <w:r>
              <w:rPr>
                <w:rFonts w:ascii="Arial" w:cs="Arial" w:eastAsia="Arial" w:hAnsi="Arial"/>
                <w:sz w:val="18"/>
                <w:szCs w:val="18"/>
                <w:color w:val="auto"/>
              </w:rPr>
              <w:t>Item 6.</w:t>
            </w:r>
          </w:p>
        </w:tc>
        <w:tc>
          <w:tcPr>
            <w:tcW w:w="4240" w:type="dxa"/>
            <w:vAlign w:val="bottom"/>
            <w:tcBorders>
              <w:top w:val="single" w:sz="8" w:color="0000EE"/>
            </w:tcBorders>
            <w:gridSpan w:val="8"/>
          </w:tcPr>
          <w:p>
            <w:pPr>
              <w:spacing w:after="0"/>
              <w:rPr>
                <w:rFonts w:ascii="Arial" w:cs="Arial" w:eastAsia="Arial" w:hAnsi="Arial"/>
                <w:sz w:val="18"/>
                <w:szCs w:val="18"/>
                <w:color w:val="0000EE"/>
              </w:rPr>
            </w:pPr>
            <w:hyperlink w:anchor="page45">
              <w:r>
                <w:rPr>
                  <w:rFonts w:ascii="Arial" w:cs="Arial" w:eastAsia="Arial" w:hAnsi="Arial"/>
                  <w:sz w:val="18"/>
                  <w:szCs w:val="18"/>
                  <w:color w:val="0000EE"/>
                </w:rPr>
                <w:t>Exhibits</w:t>
              </w:r>
            </w:hyperlink>
          </w:p>
        </w:tc>
        <w:tc>
          <w:tcPr>
            <w:tcW w:w="5580" w:type="dxa"/>
            <w:vAlign w:val="bottom"/>
            <w:gridSpan w:val="8"/>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304"/>
        </w:trPr>
        <w:tc>
          <w:tcPr>
            <w:tcW w:w="1220" w:type="dxa"/>
            <w:vAlign w:val="bottom"/>
            <w:gridSpan w:val="3"/>
          </w:tcPr>
          <w:p>
            <w:pPr>
              <w:spacing w:after="0"/>
              <w:rPr>
                <w:rFonts w:ascii="Arial" w:cs="Arial" w:eastAsia="Arial" w:hAnsi="Arial"/>
                <w:sz w:val="18"/>
                <w:szCs w:val="18"/>
                <w:color w:val="0000EE"/>
              </w:rPr>
            </w:pPr>
            <w:hyperlink w:anchor="page46">
              <w:r>
                <w:rPr>
                  <w:rFonts w:ascii="Arial" w:cs="Arial" w:eastAsia="Arial" w:hAnsi="Arial"/>
                  <w:sz w:val="18"/>
                  <w:szCs w:val="18"/>
                  <w:color w:val="0000EE"/>
                </w:rPr>
                <w:t>Signatures</w:t>
              </w:r>
            </w:hyperlink>
          </w:p>
        </w:tc>
        <w:tc>
          <w:tcPr>
            <w:tcW w:w="220" w:type="dxa"/>
            <w:vAlign w:val="bottom"/>
            <w:tcBorders>
              <w:top w:val="single" w:sz="8" w:color="0000EE"/>
            </w:tcBorders>
          </w:tcPr>
          <w:p>
            <w:pPr>
              <w:spacing w:after="0"/>
              <w:rPr>
                <w:sz w:val="24"/>
                <w:szCs w:val="24"/>
                <w:color w:val="auto"/>
              </w:rPr>
            </w:pPr>
          </w:p>
        </w:tc>
        <w:tc>
          <w:tcPr>
            <w:tcW w:w="360" w:type="dxa"/>
            <w:vAlign w:val="bottom"/>
            <w:tcBorders>
              <w:top w:val="single" w:sz="8" w:color="0000EE"/>
            </w:tcBorders>
          </w:tcPr>
          <w:p>
            <w:pPr>
              <w:spacing w:after="0"/>
              <w:rPr>
                <w:sz w:val="24"/>
                <w:szCs w:val="24"/>
                <w:color w:val="auto"/>
              </w:rPr>
            </w:pPr>
          </w:p>
        </w:tc>
        <w:tc>
          <w:tcPr>
            <w:tcW w:w="2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5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220" w:type="dxa"/>
            <w:vAlign w:val="bottom"/>
            <w:gridSpan w:val="3"/>
          </w:tcPr>
          <w:p>
            <w:pPr>
              <w:spacing w:after="0"/>
              <w:rPr>
                <w:rFonts w:ascii="Arial" w:cs="Arial" w:eastAsia="Arial" w:hAnsi="Arial"/>
                <w:sz w:val="18"/>
                <w:szCs w:val="18"/>
                <w:color w:val="0000EE"/>
              </w:rPr>
            </w:pPr>
            <w:hyperlink w:anchor="page47">
              <w:r>
                <w:rPr>
                  <w:rFonts w:ascii="Arial" w:cs="Arial" w:eastAsia="Arial" w:hAnsi="Arial"/>
                  <w:sz w:val="18"/>
                  <w:szCs w:val="18"/>
                  <w:color w:val="0000EE"/>
                </w:rPr>
                <w:t>Exhibit Index</w:t>
              </w:r>
            </w:hyperlink>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260" w:type="dxa"/>
            <w:vAlign w:val="bottom"/>
          </w:tcPr>
          <w:p>
            <w:pPr>
              <w:spacing w:after="0"/>
              <w:rPr>
                <w:sz w:val="24"/>
                <w:szCs w:val="24"/>
                <w:color w:val="auto"/>
              </w:rPr>
            </w:pPr>
          </w:p>
        </w:tc>
        <w:tc>
          <w:tcPr>
            <w:tcW w:w="4680" w:type="dxa"/>
            <w:vAlign w:val="bottom"/>
            <w:gridSpan w:val="10"/>
          </w:tcPr>
          <w:p>
            <w:pPr>
              <w:ind w:left="4460"/>
              <w:spacing w:after="0"/>
              <w:rPr>
                <w:sz w:val="20"/>
                <w:szCs w:val="20"/>
                <w:color w:val="auto"/>
              </w:rPr>
            </w:pPr>
            <w:r>
              <w:rPr>
                <w:rFonts w:ascii="Arial" w:cs="Arial" w:eastAsia="Arial" w:hAnsi="Arial"/>
                <w:sz w:val="18"/>
                <w:szCs w:val="18"/>
                <w:color w:val="auto"/>
              </w:rPr>
              <w:t>1</w:t>
            </w:r>
          </w:p>
        </w:tc>
        <w:tc>
          <w:tcPr>
            <w:tcW w:w="16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 FINANCIAL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ind w:left="80"/>
              <w:spacing w:after="0"/>
              <w:rPr>
                <w:sz w:val="20"/>
                <w:szCs w:val="20"/>
                <w:color w:val="auto"/>
              </w:rPr>
            </w:pPr>
            <w:r>
              <w:rPr>
                <w:rFonts w:ascii="Arial" w:cs="Arial" w:eastAsia="Arial" w:hAnsi="Arial"/>
                <w:sz w:val="14"/>
                <w:szCs w:val="14"/>
                <w:b w:val="1"/>
                <w:bCs w:val="1"/>
                <w:color w:val="auto"/>
              </w:rPr>
              <w:t>July 28,</w:t>
            </w:r>
          </w:p>
        </w:tc>
        <w:tc>
          <w:tcPr>
            <w:tcW w:w="140" w:type="dxa"/>
            <w:vAlign w:val="bottom"/>
          </w:tcPr>
          <w:p>
            <w:pPr>
              <w:spacing w:after="0"/>
              <w:rPr>
                <w:sz w:val="14"/>
                <w:szCs w:val="14"/>
                <w:color w:val="auto"/>
              </w:rPr>
            </w:pP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1"/>
        </w:trPr>
        <w:tc>
          <w:tcPr>
            <w:tcW w:w="9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2012</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420" w:type="dxa"/>
            <w:vAlign w:val="bottom"/>
            <w:shd w:val="clear" w:color="auto" w:fill="CCEEFF"/>
          </w:tcPr>
          <w:p>
            <w:pPr>
              <w:ind w:left="4280"/>
              <w:spacing w:after="0" w:line="196"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906,108</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784,902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1,228,085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1,461,596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 net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390,772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407,263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345,712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354,119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48,269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420" w:type="dxa"/>
            <w:vAlign w:val="bottom"/>
          </w:tcPr>
          <w:p>
            <w:pPr>
              <w:ind w:left="440"/>
              <w:spacing w:after="0"/>
              <w:rPr>
                <w:sz w:val="20"/>
                <w:szCs w:val="20"/>
                <w:color w:val="auto"/>
              </w:rPr>
            </w:pPr>
            <w:r>
              <w:rPr>
                <w:rFonts w:ascii="Arial" w:cs="Arial" w:eastAsia="Arial" w:hAnsi="Arial"/>
                <w:sz w:val="18"/>
                <w:szCs w:val="18"/>
                <w:color w:val="auto"/>
              </w:rPr>
              <w:t>Deferred income taxes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10,635</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10,669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2,929,581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3,078,961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381,154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383,801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18,103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Goodwill</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2,031,991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2,031,991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114,127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141,505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42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109,596</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108,146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5,584,552</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5,767,619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420" w:type="dxa"/>
            <w:vAlign w:val="bottom"/>
            <w:vMerge w:val="restart"/>
          </w:tcPr>
          <w:p>
            <w:pPr>
              <w:ind w:left="2700"/>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942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Accounts payable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335,100</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304,695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110,944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87,655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112,564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137,245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67,840</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59,959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942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626,448</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589,554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125,901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131,579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42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29,089</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32,468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781,438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753,601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Commitments and contingencies (Note 9)</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Common shares, $0.002 par value</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1,115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1,167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Additional paid-in capital</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3,317,578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3,683,112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Accumulated other comprehensive income</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1,378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776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Retained earnings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1,483,043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1,328,963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9420" w:type="dxa"/>
            <w:vAlign w:val="bottom"/>
          </w:tcPr>
          <w:p>
            <w:pPr>
              <w:ind w:left="880"/>
              <w:spacing w:after="0"/>
              <w:rPr>
                <w:sz w:val="20"/>
                <w:szCs w:val="20"/>
                <w:color w:val="auto"/>
              </w:rPr>
            </w:pPr>
            <w:r>
              <w:rPr>
                <w:rFonts w:ascii="Arial" w:cs="Arial" w:eastAsia="Arial" w:hAnsi="Arial"/>
                <w:sz w:val="18"/>
                <w:szCs w:val="18"/>
                <w:color w:val="auto"/>
              </w:rPr>
              <w:t>Total shareholders’ equity</w:t>
            </w: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4,803,114</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5,014,018</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5,584,552</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5,767,619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4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80" w:type="dxa"/>
            <w:vAlign w:val="bottom"/>
            <w:gridSpan w:val="5"/>
          </w:tcPr>
          <w:p>
            <w:pPr>
              <w:ind w:left="12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4"/>
                <w:szCs w:val="14"/>
                <w:color w:val="auto"/>
              </w:rPr>
            </w:pPr>
          </w:p>
        </w:tc>
        <w:tc>
          <w:tcPr>
            <w:tcW w:w="1900" w:type="dxa"/>
            <w:vAlign w:val="bottom"/>
            <w:gridSpan w:val="6"/>
          </w:tcPr>
          <w:p>
            <w:pPr>
              <w:ind w:left="3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4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15"/>
              <w:spacing w:after="0" w:line="129" w:lineRule="exact"/>
              <w:rPr>
                <w:sz w:val="20"/>
                <w:szCs w:val="20"/>
                <w:color w:val="auto"/>
              </w:rPr>
            </w:pPr>
            <w:r>
              <w:rPr>
                <w:rFonts w:ascii="Arial" w:cs="Arial" w:eastAsia="Arial" w:hAnsi="Arial"/>
                <w:sz w:val="14"/>
                <w:szCs w:val="14"/>
                <w:b w:val="1"/>
                <w:bCs w:val="1"/>
                <w:color w:val="auto"/>
                <w:w w:val="89"/>
              </w:rPr>
              <w:t>July 28,</w:t>
            </w:r>
          </w:p>
        </w:tc>
        <w:tc>
          <w:tcPr>
            <w:tcW w:w="3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34"/>
              <w:spacing w:after="0" w:line="129" w:lineRule="exact"/>
              <w:rPr>
                <w:sz w:val="20"/>
                <w:szCs w:val="20"/>
                <w:color w:val="auto"/>
              </w:rPr>
            </w:pPr>
            <w:r>
              <w:rPr>
                <w:rFonts w:ascii="Arial" w:cs="Arial" w:eastAsia="Arial" w:hAnsi="Arial"/>
                <w:sz w:val="14"/>
                <w:szCs w:val="14"/>
                <w:b w:val="1"/>
                <w:bCs w:val="1"/>
                <w:color w:val="auto"/>
                <w:w w:val="85"/>
              </w:rPr>
              <w:t>July 30,</w:t>
            </w:r>
          </w:p>
        </w:tc>
        <w:tc>
          <w:tcPr>
            <w:tcW w:w="3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60" w:type="dxa"/>
            <w:vAlign w:val="bottom"/>
            <w:tcBorders>
              <w:top w:val="single" w:sz="8" w:color="auto"/>
            </w:tcBorders>
            <w:gridSpan w:val="2"/>
          </w:tcPr>
          <w:p>
            <w:pPr>
              <w:ind w:left="80"/>
              <w:spacing w:after="0" w:line="129" w:lineRule="exact"/>
              <w:rPr>
                <w:sz w:val="20"/>
                <w:szCs w:val="20"/>
                <w:color w:val="auto"/>
              </w:rPr>
            </w:pPr>
            <w:r>
              <w:rPr>
                <w:rFonts w:ascii="Arial" w:cs="Arial" w:eastAsia="Arial" w:hAnsi="Arial"/>
                <w:sz w:val="14"/>
                <w:szCs w:val="14"/>
                <w:b w:val="1"/>
                <w:bCs w:val="1"/>
                <w:color w:val="auto"/>
              </w:rPr>
              <w:t>July 28,</w:t>
            </w:r>
          </w:p>
        </w:tc>
        <w:tc>
          <w:tcPr>
            <w:tcW w:w="1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74"/>
              <w:spacing w:after="0" w:line="129" w:lineRule="exact"/>
              <w:rPr>
                <w:sz w:val="20"/>
                <w:szCs w:val="20"/>
                <w:color w:val="auto"/>
              </w:rPr>
            </w:pPr>
            <w:r>
              <w:rPr>
                <w:rFonts w:ascii="Arial" w:cs="Arial" w:eastAsia="Arial" w:hAnsi="Arial"/>
                <w:sz w:val="14"/>
                <w:szCs w:val="14"/>
                <w:b w:val="1"/>
                <w:bCs w:val="1"/>
                <w:color w:val="auto"/>
              </w:rPr>
              <w:t>July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4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2012</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2011</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5"/>
              <w:spacing w:after="0"/>
              <w:rPr>
                <w:sz w:val="20"/>
                <w:szCs w:val="20"/>
                <w:color w:val="auto"/>
              </w:rPr>
            </w:pPr>
            <w:r>
              <w:rPr>
                <w:rFonts w:ascii="Arial" w:cs="Arial" w:eastAsia="Arial" w:hAnsi="Arial"/>
                <w:sz w:val="14"/>
                <w:szCs w:val="14"/>
                <w:b w:val="1"/>
                <w:bCs w:val="1"/>
                <w:color w:val="auto"/>
              </w:rPr>
              <w:t>2012</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4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816,104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897,520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1,612,455</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1,699,922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381,839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378,117</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748,161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712,592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264,175</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249,604</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520,145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492,141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41,034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40,390</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81,100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78,542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25,718</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23,631</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51,423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48,415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13,023</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11,138</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27,378</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25,479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42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725,789</w:t>
            </w:r>
          </w:p>
        </w:tc>
        <w:tc>
          <w:tcPr>
            <w:tcW w:w="3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702,880</w:t>
            </w:r>
          </w:p>
        </w:tc>
        <w:tc>
          <w:tcPr>
            <w:tcW w:w="3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1,428,207</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1,357,169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90,315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194,640</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184,248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342,753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42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5,864</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2,064</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6,921</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1,846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96,179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196,704</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191,169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344,599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42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3,105</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4,312</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3,552</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5,346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93,074</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192,392</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187,617</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339,253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440" w:type="dxa"/>
            <w:vAlign w:val="bottom"/>
            <w:gridSpan w:val="2"/>
            <w:vMerge w:val="restart"/>
          </w:tcPr>
          <w:p>
            <w:pPr>
              <w:spacing w:after="0"/>
              <w:rPr>
                <w:sz w:val="20"/>
                <w:szCs w:val="20"/>
                <w:color w:val="auto"/>
              </w:rPr>
            </w:pPr>
            <w:r>
              <w:rPr>
                <w:rFonts w:ascii="Arial" w:cs="Arial" w:eastAsia="Arial" w:hAnsi="Arial"/>
                <w:sz w:val="18"/>
                <w:szCs w:val="18"/>
                <w:color w:val="auto"/>
              </w:rPr>
              <w:t>Net income per share:</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440" w:type="dxa"/>
            <w:vAlign w:val="bottom"/>
            <w:gridSpan w:val="2"/>
            <w:vMerge w:val="continue"/>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0.17</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0.32</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0.33</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2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420" w:type="dxa"/>
            <w:vAlign w:val="bottom"/>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0.16</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0.31</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0.32</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0.53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42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20" w:type="dxa"/>
            <w:vAlign w:val="bottom"/>
          </w:tcPr>
          <w:p>
            <w:pPr>
              <w:ind w:left="420"/>
              <w:spacing w:after="0"/>
              <w:rPr>
                <w:sz w:val="20"/>
                <w:szCs w:val="20"/>
                <w:color w:val="auto"/>
              </w:rPr>
            </w:pPr>
            <w:r>
              <w:rPr>
                <w:rFonts w:ascii="Arial" w:cs="Arial" w:eastAsia="Arial" w:hAnsi="Arial"/>
                <w:sz w:val="18"/>
                <w:szCs w:val="18"/>
                <w:color w:val="auto"/>
              </w:rPr>
              <w:t>Basic</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562,362</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608,511</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571,193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623,728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570,325</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623,132</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582,532</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640,136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440" w:type="dxa"/>
            <w:vAlign w:val="bottom"/>
            <w:gridSpan w:val="2"/>
            <w:vMerge w:val="restart"/>
          </w:tcPr>
          <w:p>
            <w:pPr>
              <w:spacing w:after="0"/>
              <w:rPr>
                <w:sz w:val="20"/>
                <w:szCs w:val="20"/>
                <w:color w:val="auto"/>
              </w:rPr>
            </w:pPr>
            <w:r>
              <w:rPr>
                <w:rFonts w:ascii="Arial" w:cs="Arial" w:eastAsia="Arial" w:hAnsi="Arial"/>
                <w:sz w:val="18"/>
                <w:szCs w:val="18"/>
                <w:color w:val="auto"/>
              </w:rPr>
              <w:t>Cash dividend declared per share:</w:t>
            </w: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440" w:type="dxa"/>
            <w:vAlign w:val="bottom"/>
            <w:gridSpan w:val="2"/>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0.06</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0.06</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740" w:type="dxa"/>
            <w:vAlign w:val="bottom"/>
            <w:gridSpan w:val="6"/>
          </w:tcPr>
          <w:p>
            <w:pPr>
              <w:jc w:val="right"/>
              <w:ind w:right="360"/>
              <w:spacing w:after="0"/>
              <w:rPr>
                <w:sz w:val="20"/>
                <w:szCs w:val="20"/>
                <w:color w:val="auto"/>
              </w:rPr>
            </w:pPr>
            <w:r>
              <w:rPr>
                <w:rFonts w:ascii="Arial" w:cs="Arial" w:eastAsia="Arial" w:hAnsi="Arial"/>
                <w:sz w:val="14"/>
                <w:szCs w:val="14"/>
                <w:b w:val="1"/>
                <w:bCs w:val="1"/>
                <w:color w:val="auto"/>
                <w:w w:val="98"/>
              </w:rPr>
              <w:t>Three Months Ended</w:t>
            </w:r>
          </w:p>
        </w:tc>
        <w:tc>
          <w:tcPr>
            <w:tcW w:w="140" w:type="dxa"/>
            <w:vAlign w:val="bottom"/>
          </w:tcPr>
          <w:p>
            <w:pPr>
              <w:spacing w:after="0"/>
              <w:rPr>
                <w:sz w:val="14"/>
                <w:szCs w:val="14"/>
                <w:color w:val="auto"/>
              </w:rPr>
            </w:pPr>
          </w:p>
        </w:tc>
        <w:tc>
          <w:tcPr>
            <w:tcW w:w="1780" w:type="dxa"/>
            <w:vAlign w:val="bottom"/>
            <w:gridSpan w:val="5"/>
          </w:tcPr>
          <w:p>
            <w:pPr>
              <w:jc w:val="right"/>
              <w:ind w:right="4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7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tcBorders>
              <w:top w:val="single" w:sz="8" w:color="auto"/>
            </w:tcBorders>
            <w:gridSpan w:val="3"/>
          </w:tcPr>
          <w:p>
            <w:pPr>
              <w:jc w:val="right"/>
              <w:ind w:right="260"/>
              <w:spacing w:after="0" w:line="129" w:lineRule="exact"/>
              <w:rPr>
                <w:sz w:val="20"/>
                <w:szCs w:val="20"/>
                <w:color w:val="auto"/>
              </w:rPr>
            </w:pPr>
            <w:r>
              <w:rPr>
                <w:rFonts w:ascii="Arial" w:cs="Arial" w:eastAsia="Arial" w:hAnsi="Arial"/>
                <w:sz w:val="14"/>
                <w:szCs w:val="14"/>
                <w:b w:val="1"/>
                <w:bCs w:val="1"/>
                <w:color w:val="auto"/>
                <w:w w:val="89"/>
              </w:rPr>
              <w:t>July 28,</w:t>
            </w:r>
          </w:p>
        </w:tc>
        <w:tc>
          <w:tcPr>
            <w:tcW w:w="14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ind w:right="39"/>
              <w:spacing w:after="0" w:line="129" w:lineRule="exact"/>
              <w:rPr>
                <w:sz w:val="20"/>
                <w:szCs w:val="20"/>
                <w:color w:val="auto"/>
              </w:rPr>
            </w:pPr>
            <w:r>
              <w:rPr>
                <w:rFonts w:ascii="Arial" w:cs="Arial" w:eastAsia="Arial" w:hAnsi="Arial"/>
                <w:sz w:val="14"/>
                <w:szCs w:val="14"/>
                <w:b w:val="1"/>
                <w:bCs w:val="1"/>
                <w:color w:val="auto"/>
              </w:rPr>
              <w:t>July 30,</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tcBorders>
              <w:top w:val="single" w:sz="8" w:color="auto"/>
            </w:tcBorders>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rPr>
              <w:t>July 28,</w:t>
            </w:r>
          </w:p>
        </w:tc>
        <w:tc>
          <w:tcPr>
            <w:tcW w:w="14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ind w:right="42"/>
              <w:spacing w:after="0" w:line="129" w:lineRule="exact"/>
              <w:rPr>
                <w:sz w:val="20"/>
                <w:szCs w:val="20"/>
                <w:color w:val="auto"/>
              </w:rPr>
            </w:pPr>
            <w:r>
              <w:rPr>
                <w:rFonts w:ascii="Arial" w:cs="Arial" w:eastAsia="Arial" w:hAnsi="Arial"/>
                <w:sz w:val="14"/>
                <w:szCs w:val="14"/>
                <w:b w:val="1"/>
                <w:bCs w:val="1"/>
                <w:color w:val="auto"/>
              </w:rPr>
              <w:t>July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740" w:type="dxa"/>
            <w:vAlign w:val="bottom"/>
          </w:tcPr>
          <w:p>
            <w:pPr>
              <w:spacing w:after="0"/>
              <w:rPr>
                <w:sz w:val="14"/>
                <w:szCs w:val="14"/>
                <w:color w:val="auto"/>
              </w:rPr>
            </w:pPr>
          </w:p>
        </w:tc>
        <w:tc>
          <w:tcPr>
            <w:tcW w:w="580" w:type="dxa"/>
            <w:vAlign w:val="bottom"/>
            <w:gridSpan w:val="2"/>
          </w:tcPr>
          <w:p>
            <w:pPr>
              <w:jc w:val="right"/>
              <w:ind w:right="80"/>
              <w:spacing w:after="0"/>
              <w:rPr>
                <w:sz w:val="20"/>
                <w:szCs w:val="20"/>
                <w:color w:val="auto"/>
              </w:rPr>
            </w:pPr>
            <w:r>
              <w:rPr>
                <w:rFonts w:ascii="Arial" w:cs="Arial" w:eastAsia="Arial" w:hAnsi="Arial"/>
                <w:sz w:val="14"/>
                <w:szCs w:val="14"/>
                <w:b w:val="1"/>
                <w:bCs w:val="1"/>
                <w:color w:val="auto"/>
              </w:rPr>
              <w:t>2012</w:t>
            </w: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20" w:type="dxa"/>
            <w:vAlign w:val="bottom"/>
            <w:gridSpan w:val="2"/>
          </w:tcPr>
          <w:p>
            <w:pPr>
              <w:jc w:val="right"/>
              <w:ind w:right="139"/>
              <w:spacing w:after="0"/>
              <w:rPr>
                <w:sz w:val="20"/>
                <w:szCs w:val="20"/>
                <w:color w:val="auto"/>
              </w:rPr>
            </w:pPr>
            <w:r>
              <w:rPr>
                <w:rFonts w:ascii="Arial" w:cs="Arial" w:eastAsia="Arial" w:hAnsi="Arial"/>
                <w:sz w:val="14"/>
                <w:szCs w:val="14"/>
                <w:b w:val="1"/>
                <w:bCs w:val="1"/>
                <w:color w:val="auto"/>
              </w:rPr>
              <w:t>2011</w:t>
            </w:r>
          </w:p>
        </w:tc>
        <w:tc>
          <w:tcPr>
            <w:tcW w:w="180" w:type="dxa"/>
            <w:vAlign w:val="bottom"/>
          </w:tcPr>
          <w:p>
            <w:pPr>
              <w:spacing w:after="0"/>
              <w:rPr>
                <w:sz w:val="14"/>
                <w:szCs w:val="14"/>
                <w:color w:val="auto"/>
              </w:rPr>
            </w:pPr>
          </w:p>
        </w:tc>
        <w:tc>
          <w:tcPr>
            <w:tcW w:w="820" w:type="dxa"/>
            <w:vAlign w:val="bottom"/>
            <w:gridSpan w:val="2"/>
          </w:tcPr>
          <w:p>
            <w:pPr>
              <w:jc w:val="right"/>
              <w:ind w:right="122"/>
              <w:spacing w:after="0"/>
              <w:rPr>
                <w:sz w:val="20"/>
                <w:szCs w:val="20"/>
                <w:color w:val="auto"/>
              </w:rPr>
            </w:pPr>
            <w:r>
              <w:rPr>
                <w:rFonts w:ascii="Arial" w:cs="Arial" w:eastAsia="Arial" w:hAnsi="Arial"/>
                <w:sz w:val="14"/>
                <w:szCs w:val="14"/>
                <w:b w:val="1"/>
                <w:bCs w:val="1"/>
                <w:color w:val="auto"/>
              </w:rPr>
              <w:t>2012</w:t>
            </w:r>
          </w:p>
        </w:tc>
        <w:tc>
          <w:tcPr>
            <w:tcW w:w="180" w:type="dxa"/>
            <w:vAlign w:val="bottom"/>
          </w:tcPr>
          <w:p>
            <w:pPr>
              <w:spacing w:after="0"/>
              <w:rPr>
                <w:sz w:val="14"/>
                <w:szCs w:val="14"/>
                <w:color w:val="auto"/>
              </w:rPr>
            </w:pPr>
          </w:p>
        </w:tc>
        <w:tc>
          <w:tcPr>
            <w:tcW w:w="820" w:type="dxa"/>
            <w:vAlign w:val="bottom"/>
            <w:gridSpan w:val="2"/>
          </w:tcPr>
          <w:p>
            <w:pPr>
              <w:jc w:val="right"/>
              <w:ind w:right="142"/>
              <w:spacing w:after="0"/>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77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Net income</w:t>
            </w:r>
          </w:p>
        </w:tc>
        <w:tc>
          <w:tcPr>
            <w:tcW w:w="2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$93,074</w:t>
            </w:r>
          </w:p>
        </w:tc>
        <w:tc>
          <w:tcPr>
            <w:tcW w:w="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$192,392</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$187,617</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$339,253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740" w:type="dxa"/>
            <w:vAlign w:val="bottom"/>
          </w:tcPr>
          <w:p>
            <w:pPr>
              <w:spacing w:after="0"/>
              <w:rPr>
                <w:sz w:val="20"/>
                <w:szCs w:val="20"/>
                <w:color w:val="auto"/>
              </w:rPr>
            </w:pPr>
            <w:r>
              <w:rPr>
                <w:rFonts w:ascii="Arial" w:cs="Arial" w:eastAsia="Arial" w:hAnsi="Arial"/>
                <w:sz w:val="18"/>
                <w:szCs w:val="18"/>
                <w:color w:val="auto"/>
              </w:rPr>
              <w:t>Other comprehensive (loss) income, net of tax:</w:t>
            </w:r>
          </w:p>
        </w:tc>
        <w:tc>
          <w:tcPr>
            <w:tcW w:w="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7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Available-for-sale securities:</w:t>
            </w:r>
          </w:p>
        </w:tc>
        <w:tc>
          <w:tcPr>
            <w:tcW w:w="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740" w:type="dxa"/>
            <w:vAlign w:val="bottom"/>
          </w:tcPr>
          <w:p>
            <w:pPr>
              <w:ind w:left="880"/>
              <w:spacing w:after="0"/>
              <w:rPr>
                <w:sz w:val="20"/>
                <w:szCs w:val="20"/>
                <w:color w:val="auto"/>
              </w:rPr>
            </w:pPr>
            <w:r>
              <w:rPr>
                <w:rFonts w:ascii="Arial" w:cs="Arial" w:eastAsia="Arial" w:hAnsi="Arial"/>
                <w:sz w:val="18"/>
                <w:szCs w:val="18"/>
                <w:color w:val="auto"/>
              </w:rPr>
              <w:t>Change in unrealized gain on marketable securities</w:t>
            </w:r>
          </w:p>
        </w:tc>
        <w:tc>
          <w:tcPr>
            <w:tcW w:w="600" w:type="dxa"/>
            <w:vAlign w:val="bottom"/>
            <w:gridSpan w:val="3"/>
          </w:tcPr>
          <w:p>
            <w:pPr>
              <w:jc w:val="right"/>
              <w:ind w:right="20"/>
              <w:spacing w:after="0"/>
              <w:rPr>
                <w:sz w:val="20"/>
                <w:szCs w:val="20"/>
                <w:color w:val="auto"/>
              </w:rPr>
            </w:pPr>
            <w:r>
              <w:rPr>
                <w:rFonts w:ascii="Arial" w:cs="Arial" w:eastAsia="Arial" w:hAnsi="Arial"/>
                <w:sz w:val="18"/>
                <w:szCs w:val="18"/>
                <w:color w:val="auto"/>
              </w:rPr>
              <w:t>795</w:t>
            </w:r>
          </w:p>
        </w:tc>
        <w:tc>
          <w:tcPr>
            <w:tcW w:w="160" w:type="dxa"/>
            <w:vAlign w:val="bottom"/>
          </w:tcPr>
          <w:p>
            <w:pPr>
              <w:spacing w:after="0"/>
              <w:rPr>
                <w:sz w:val="18"/>
                <w:szCs w:val="18"/>
                <w:color w:val="auto"/>
              </w:rPr>
            </w:pPr>
          </w:p>
        </w:tc>
        <w:tc>
          <w:tcPr>
            <w:tcW w:w="1000" w:type="dxa"/>
            <w:vAlign w:val="bottom"/>
            <w:gridSpan w:val="3"/>
          </w:tcPr>
          <w:p>
            <w:pPr>
              <w:jc w:val="right"/>
              <w:ind w:right="180"/>
              <w:spacing w:after="0"/>
              <w:rPr>
                <w:sz w:val="20"/>
                <w:szCs w:val="20"/>
                <w:color w:val="auto"/>
              </w:rPr>
            </w:pPr>
            <w:r>
              <w:rPr>
                <w:rFonts w:ascii="Arial" w:cs="Arial" w:eastAsia="Arial" w:hAnsi="Arial"/>
                <w:sz w:val="18"/>
                <w:szCs w:val="18"/>
                <w:color w:val="auto"/>
              </w:rPr>
              <w:t>1,215</w:t>
            </w:r>
          </w:p>
        </w:tc>
        <w:tc>
          <w:tcPr>
            <w:tcW w:w="1000" w:type="dxa"/>
            <w:vAlign w:val="bottom"/>
            <w:gridSpan w:val="3"/>
          </w:tcPr>
          <w:p>
            <w:pPr>
              <w:jc w:val="right"/>
              <w:ind w:right="180"/>
              <w:spacing w:after="0"/>
              <w:rPr>
                <w:sz w:val="20"/>
                <w:szCs w:val="20"/>
                <w:color w:val="auto"/>
              </w:rPr>
            </w:pPr>
            <w:r>
              <w:rPr>
                <w:rFonts w:ascii="Arial" w:cs="Arial" w:eastAsia="Arial" w:hAnsi="Arial"/>
                <w:sz w:val="18"/>
                <w:szCs w:val="18"/>
                <w:color w:val="auto"/>
              </w:rPr>
              <w:t>1,644</w:t>
            </w:r>
          </w:p>
        </w:tc>
        <w:tc>
          <w:tcPr>
            <w:tcW w:w="920" w:type="dxa"/>
            <w:vAlign w:val="bottom"/>
            <w:gridSpan w:val="3"/>
          </w:tcPr>
          <w:p>
            <w:pPr>
              <w:jc w:val="right"/>
              <w:ind w:right="100"/>
              <w:spacing w:after="0"/>
              <w:rPr>
                <w:sz w:val="20"/>
                <w:szCs w:val="20"/>
                <w:color w:val="auto"/>
              </w:rPr>
            </w:pPr>
            <w:r>
              <w:rPr>
                <w:rFonts w:ascii="Arial" w:cs="Arial" w:eastAsia="Arial" w:hAnsi="Arial"/>
                <w:sz w:val="18"/>
                <w:szCs w:val="18"/>
                <w:color w:val="auto"/>
              </w:rPr>
              <w:t>3,157</w:t>
            </w:r>
          </w:p>
        </w:tc>
        <w:tc>
          <w:tcPr>
            <w:tcW w:w="0" w:type="dxa"/>
            <w:vAlign w:val="bottom"/>
          </w:tcPr>
          <w:p>
            <w:pPr>
              <w:spacing w:after="0"/>
              <w:rPr>
                <w:sz w:val="1"/>
                <w:szCs w:val="1"/>
                <w:color w:val="auto"/>
              </w:rPr>
            </w:pPr>
          </w:p>
        </w:tc>
      </w:tr>
      <w:tr>
        <w:trPr>
          <w:trHeight w:val="208"/>
        </w:trPr>
        <w:tc>
          <w:tcPr>
            <w:tcW w:w="7740" w:type="dxa"/>
            <w:vAlign w:val="bottom"/>
            <w:shd w:val="clear" w:color="auto" w:fill="CCEEFF"/>
          </w:tcPr>
          <w:p>
            <w:pPr>
              <w:ind w:left="880"/>
              <w:spacing w:after="0"/>
              <w:rPr>
                <w:sz w:val="20"/>
                <w:szCs w:val="20"/>
                <w:color w:val="auto"/>
              </w:rPr>
            </w:pPr>
            <w:r>
              <w:rPr>
                <w:rFonts w:ascii="Arial" w:cs="Arial" w:eastAsia="Arial" w:hAnsi="Arial"/>
                <w:sz w:val="18"/>
                <w:szCs w:val="18"/>
                <w:color w:val="auto"/>
                <w:w w:val="92"/>
              </w:rPr>
              <w:t>Less: Reclassification adjustments for net realized gains on marketable securities included in</w:t>
            </w:r>
          </w:p>
        </w:tc>
        <w:tc>
          <w:tcPr>
            <w:tcW w:w="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774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net income</w:t>
            </w:r>
          </w:p>
        </w:tc>
        <w:tc>
          <w:tcPr>
            <w:tcW w:w="760" w:type="dxa"/>
            <w:vAlign w:val="bottom"/>
            <w:gridSpan w:val="4"/>
            <w:shd w:val="clear" w:color="auto" w:fill="CCEEFF"/>
          </w:tcPr>
          <w:p>
            <w:pPr>
              <w:jc w:val="right"/>
              <w:ind w:right="120"/>
              <w:spacing w:after="0"/>
              <w:rPr>
                <w:sz w:val="20"/>
                <w:szCs w:val="20"/>
                <w:color w:val="auto"/>
              </w:rPr>
            </w:pPr>
            <w:r>
              <w:rPr>
                <w:rFonts w:ascii="Arial" w:cs="Arial" w:eastAsia="Arial" w:hAnsi="Arial"/>
                <w:sz w:val="18"/>
                <w:szCs w:val="18"/>
                <w:color w:val="auto"/>
              </w:rPr>
              <w:t>(211)</w:t>
            </w:r>
          </w:p>
        </w:tc>
        <w:tc>
          <w:tcPr>
            <w:tcW w:w="100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(823)</w:t>
            </w:r>
          </w:p>
        </w:tc>
        <w:tc>
          <w:tcPr>
            <w:tcW w:w="100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(771)</w:t>
            </w:r>
          </w:p>
        </w:tc>
        <w:tc>
          <w:tcPr>
            <w:tcW w:w="92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(1,161)</w:t>
            </w:r>
          </w:p>
        </w:tc>
        <w:tc>
          <w:tcPr>
            <w:tcW w:w="0" w:type="dxa"/>
            <w:vAlign w:val="bottom"/>
          </w:tcPr>
          <w:p>
            <w:pPr>
              <w:spacing w:after="0"/>
              <w:rPr>
                <w:sz w:val="1"/>
                <w:szCs w:val="1"/>
                <w:color w:val="auto"/>
              </w:rPr>
            </w:pPr>
          </w:p>
        </w:tc>
      </w:tr>
      <w:tr>
        <w:trPr>
          <w:trHeight w:val="216"/>
        </w:trPr>
        <w:tc>
          <w:tcPr>
            <w:tcW w:w="7740" w:type="dxa"/>
            <w:vAlign w:val="bottom"/>
          </w:tcPr>
          <w:p>
            <w:pPr>
              <w:ind w:left="880"/>
              <w:spacing w:after="0"/>
              <w:rPr>
                <w:sz w:val="20"/>
                <w:szCs w:val="20"/>
                <w:color w:val="auto"/>
              </w:rPr>
            </w:pPr>
            <w:r>
              <w:rPr>
                <w:rFonts w:ascii="Arial" w:cs="Arial" w:eastAsia="Arial" w:hAnsi="Arial"/>
                <w:sz w:val="18"/>
                <w:szCs w:val="18"/>
                <w:color w:val="auto"/>
              </w:rPr>
              <w:t>Change in unrealized (loss) gain on auction rate securities</w:t>
            </w:r>
          </w:p>
        </w:tc>
        <w:tc>
          <w:tcPr>
            <w:tcW w:w="760" w:type="dxa"/>
            <w:vAlign w:val="bottom"/>
            <w:gridSpan w:val="4"/>
          </w:tcPr>
          <w:p>
            <w:pPr>
              <w:jc w:val="right"/>
              <w:ind w:right="120"/>
              <w:spacing w:after="0"/>
              <w:rPr>
                <w:sz w:val="20"/>
                <w:szCs w:val="20"/>
                <w:color w:val="auto"/>
              </w:rPr>
            </w:pPr>
            <w:r>
              <w:rPr>
                <w:rFonts w:ascii="Arial" w:cs="Arial" w:eastAsia="Arial" w:hAnsi="Arial"/>
                <w:sz w:val="18"/>
                <w:szCs w:val="18"/>
                <w:color w:val="auto"/>
              </w:rPr>
              <w:t>(112)</w:t>
            </w:r>
          </w:p>
        </w:tc>
        <w:tc>
          <w:tcPr>
            <w:tcW w:w="1000" w:type="dxa"/>
            <w:vAlign w:val="bottom"/>
            <w:gridSpan w:val="3"/>
          </w:tcPr>
          <w:p>
            <w:pPr>
              <w:jc w:val="right"/>
              <w:ind w:right="180"/>
              <w:spacing w:after="0"/>
              <w:rPr>
                <w:sz w:val="20"/>
                <w:szCs w:val="20"/>
                <w:color w:val="auto"/>
              </w:rPr>
            </w:pPr>
            <w:r>
              <w:rPr>
                <w:rFonts w:ascii="Arial" w:cs="Arial" w:eastAsia="Arial" w:hAnsi="Arial"/>
                <w:sz w:val="18"/>
                <w:szCs w:val="18"/>
                <w:color w:val="auto"/>
              </w:rPr>
              <w:t>100</w:t>
            </w:r>
          </w:p>
        </w:tc>
        <w:tc>
          <w:tcPr>
            <w:tcW w:w="1000" w:type="dxa"/>
            <w:vAlign w:val="bottom"/>
            <w:gridSpan w:val="3"/>
          </w:tcPr>
          <w:p>
            <w:pPr>
              <w:jc w:val="right"/>
              <w:ind w:right="120"/>
              <w:spacing w:after="0"/>
              <w:rPr>
                <w:sz w:val="20"/>
                <w:szCs w:val="20"/>
                <w:color w:val="auto"/>
              </w:rPr>
            </w:pPr>
            <w:r>
              <w:rPr>
                <w:rFonts w:ascii="Arial" w:cs="Arial" w:eastAsia="Arial" w:hAnsi="Arial"/>
                <w:sz w:val="18"/>
                <w:szCs w:val="18"/>
                <w:color w:val="auto"/>
              </w:rPr>
              <w:t>(112)</w:t>
            </w:r>
          </w:p>
        </w:tc>
        <w:tc>
          <w:tcPr>
            <w:tcW w:w="920" w:type="dxa"/>
            <w:vAlign w:val="bottom"/>
            <w:gridSpan w:val="3"/>
          </w:tcPr>
          <w:p>
            <w:pPr>
              <w:jc w:val="right"/>
              <w:ind w:right="100"/>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16"/>
        </w:trPr>
        <w:tc>
          <w:tcPr>
            <w:tcW w:w="77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Derivative financial instruments:</w:t>
            </w:r>
          </w:p>
        </w:tc>
        <w:tc>
          <w:tcPr>
            <w:tcW w:w="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740" w:type="dxa"/>
            <w:vAlign w:val="bottom"/>
          </w:tcPr>
          <w:p>
            <w:pPr>
              <w:ind w:left="880"/>
              <w:spacing w:after="0"/>
              <w:rPr>
                <w:sz w:val="20"/>
                <w:szCs w:val="20"/>
                <w:color w:val="auto"/>
              </w:rPr>
            </w:pPr>
            <w:r>
              <w:rPr>
                <w:rFonts w:ascii="Arial" w:cs="Arial" w:eastAsia="Arial" w:hAnsi="Arial"/>
                <w:sz w:val="18"/>
                <w:szCs w:val="18"/>
                <w:color w:val="auto"/>
              </w:rPr>
              <w:t>Change in unrealized (loss) gain on cash flow hedges</w:t>
            </w:r>
          </w:p>
        </w:tc>
        <w:tc>
          <w:tcPr>
            <w:tcW w:w="760" w:type="dxa"/>
            <w:vAlign w:val="bottom"/>
            <w:gridSpan w:val="4"/>
          </w:tcPr>
          <w:p>
            <w:pPr>
              <w:jc w:val="right"/>
              <w:ind w:right="120"/>
              <w:spacing w:after="0"/>
              <w:rPr>
                <w:sz w:val="20"/>
                <w:szCs w:val="20"/>
                <w:color w:val="auto"/>
              </w:rPr>
            </w:pPr>
            <w:r>
              <w:rPr>
                <w:rFonts w:ascii="Arial" w:cs="Arial" w:eastAsia="Arial" w:hAnsi="Arial"/>
                <w:sz w:val="18"/>
                <w:szCs w:val="18"/>
                <w:color w:val="auto"/>
              </w:rPr>
              <w:t>(2,160)</w:t>
            </w:r>
          </w:p>
        </w:tc>
        <w:tc>
          <w:tcPr>
            <w:tcW w:w="1000" w:type="dxa"/>
            <w:vAlign w:val="bottom"/>
            <w:gridSpan w:val="3"/>
          </w:tcPr>
          <w:p>
            <w:pPr>
              <w:jc w:val="right"/>
              <w:ind w:right="120"/>
              <w:spacing w:after="0"/>
              <w:rPr>
                <w:sz w:val="20"/>
                <w:szCs w:val="20"/>
                <w:color w:val="auto"/>
              </w:rPr>
            </w:pPr>
            <w:r>
              <w:rPr>
                <w:rFonts w:ascii="Arial" w:cs="Arial" w:eastAsia="Arial" w:hAnsi="Arial"/>
                <w:sz w:val="18"/>
                <w:szCs w:val="18"/>
                <w:color w:val="auto"/>
              </w:rPr>
              <w:t>(164)</w:t>
            </w:r>
          </w:p>
        </w:tc>
        <w:tc>
          <w:tcPr>
            <w:tcW w:w="1000" w:type="dxa"/>
            <w:vAlign w:val="bottom"/>
            <w:gridSpan w:val="3"/>
          </w:tcPr>
          <w:p>
            <w:pPr>
              <w:jc w:val="right"/>
              <w:ind w:right="120"/>
              <w:spacing w:after="0"/>
              <w:rPr>
                <w:sz w:val="20"/>
                <w:szCs w:val="20"/>
                <w:color w:val="auto"/>
              </w:rPr>
            </w:pPr>
            <w:r>
              <w:rPr>
                <w:rFonts w:ascii="Arial" w:cs="Arial" w:eastAsia="Arial" w:hAnsi="Arial"/>
                <w:sz w:val="18"/>
                <w:szCs w:val="18"/>
                <w:color w:val="auto"/>
              </w:rPr>
              <w:t>(2,176)</w:t>
            </w:r>
          </w:p>
        </w:tc>
        <w:tc>
          <w:tcPr>
            <w:tcW w:w="920" w:type="dxa"/>
            <w:vAlign w:val="bottom"/>
            <w:gridSpan w:val="3"/>
          </w:tcPr>
          <w:p>
            <w:pPr>
              <w:jc w:val="right"/>
              <w:ind w:right="100"/>
              <w:spacing w:after="0"/>
              <w:rPr>
                <w:sz w:val="20"/>
                <w:szCs w:val="20"/>
                <w:color w:val="auto"/>
              </w:rPr>
            </w:pPr>
            <w:r>
              <w:rPr>
                <w:rFonts w:ascii="Arial" w:cs="Arial" w:eastAsia="Arial" w:hAnsi="Arial"/>
                <w:sz w:val="18"/>
                <w:szCs w:val="18"/>
                <w:color w:val="auto"/>
              </w:rPr>
              <w:t>4,488</w:t>
            </w:r>
          </w:p>
        </w:tc>
        <w:tc>
          <w:tcPr>
            <w:tcW w:w="0" w:type="dxa"/>
            <w:vAlign w:val="bottom"/>
          </w:tcPr>
          <w:p>
            <w:pPr>
              <w:spacing w:after="0"/>
              <w:rPr>
                <w:sz w:val="1"/>
                <w:szCs w:val="1"/>
                <w:color w:val="auto"/>
              </w:rPr>
            </w:pPr>
          </w:p>
        </w:tc>
      </w:tr>
      <w:tr>
        <w:trPr>
          <w:trHeight w:val="208"/>
        </w:trPr>
        <w:tc>
          <w:tcPr>
            <w:tcW w:w="7740" w:type="dxa"/>
            <w:vAlign w:val="bottom"/>
            <w:shd w:val="clear" w:color="auto" w:fill="CCEEFF"/>
          </w:tcPr>
          <w:p>
            <w:pPr>
              <w:ind w:left="880"/>
              <w:spacing w:after="0"/>
              <w:rPr>
                <w:sz w:val="20"/>
                <w:szCs w:val="20"/>
                <w:color w:val="auto"/>
              </w:rPr>
            </w:pPr>
            <w:r>
              <w:rPr>
                <w:rFonts w:ascii="Arial" w:cs="Arial" w:eastAsia="Arial" w:hAnsi="Arial"/>
                <w:sz w:val="18"/>
                <w:szCs w:val="18"/>
                <w:color w:val="auto"/>
                <w:w w:val="91"/>
              </w:rPr>
              <w:t>Less: Reclassification adjustments for net realized loss (gain) on cash flow hedges included in</w:t>
            </w:r>
          </w:p>
        </w:tc>
        <w:tc>
          <w:tcPr>
            <w:tcW w:w="2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774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net income</w:t>
            </w:r>
          </w:p>
        </w:tc>
        <w:tc>
          <w:tcPr>
            <w:tcW w:w="60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749</w:t>
            </w:r>
          </w:p>
        </w:tc>
        <w:tc>
          <w:tcPr>
            <w:tcW w:w="160" w:type="dxa"/>
            <w:vAlign w:val="bottom"/>
            <w:shd w:val="clear" w:color="auto" w:fill="CCEEFF"/>
          </w:tcPr>
          <w:p>
            <w:pPr>
              <w:spacing w:after="0"/>
              <w:rPr>
                <w:sz w:val="19"/>
                <w:szCs w:val="19"/>
                <w:color w:val="auto"/>
              </w:rPr>
            </w:pPr>
          </w:p>
        </w:tc>
        <w:tc>
          <w:tcPr>
            <w:tcW w:w="100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(1,041)</w:t>
            </w:r>
          </w:p>
        </w:tc>
        <w:tc>
          <w:tcPr>
            <w:tcW w:w="100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2,017</w:t>
            </w:r>
          </w:p>
        </w:tc>
        <w:tc>
          <w:tcPr>
            <w:tcW w:w="92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(1,753)</w:t>
            </w:r>
          </w:p>
        </w:tc>
        <w:tc>
          <w:tcPr>
            <w:tcW w:w="0" w:type="dxa"/>
            <w:vAlign w:val="bottom"/>
          </w:tcPr>
          <w:p>
            <w:pPr>
              <w:spacing w:after="0"/>
              <w:rPr>
                <w:sz w:val="1"/>
                <w:szCs w:val="1"/>
                <w:color w:val="auto"/>
              </w:rPr>
            </w:pPr>
          </w:p>
        </w:tc>
      </w:tr>
      <w:tr>
        <w:trPr>
          <w:trHeight w:val="216"/>
        </w:trPr>
        <w:tc>
          <w:tcPr>
            <w:tcW w:w="7740" w:type="dxa"/>
            <w:vAlign w:val="bottom"/>
          </w:tcPr>
          <w:p>
            <w:pPr>
              <w:ind w:left="440"/>
              <w:spacing w:after="0"/>
              <w:rPr>
                <w:sz w:val="20"/>
                <w:szCs w:val="20"/>
                <w:color w:val="auto"/>
              </w:rPr>
            </w:pPr>
            <w:r>
              <w:rPr>
                <w:rFonts w:ascii="Arial" w:cs="Arial" w:eastAsia="Arial" w:hAnsi="Arial"/>
                <w:sz w:val="18"/>
                <w:szCs w:val="18"/>
                <w:color w:val="auto"/>
              </w:rPr>
              <w:t>Other:</w:t>
            </w:r>
          </w:p>
        </w:tc>
        <w:tc>
          <w:tcPr>
            <w:tcW w:w="20" w:type="dxa"/>
            <w:vAlign w:val="bottom"/>
          </w:tcPr>
          <w:p>
            <w:pPr>
              <w:spacing w:after="0"/>
              <w:rPr>
                <w:sz w:val="18"/>
                <w:szCs w:val="18"/>
                <w:color w:val="auto"/>
              </w:rPr>
            </w:pPr>
          </w:p>
        </w:tc>
        <w:tc>
          <w:tcPr>
            <w:tcW w:w="560" w:type="dxa"/>
            <w:vAlign w:val="bottom"/>
          </w:tcPr>
          <w:p>
            <w:pPr>
              <w:jc w:val="right"/>
              <w:ind w:right="20"/>
              <w:spacing w:after="0"/>
              <w:rPr>
                <w:sz w:val="20"/>
                <w:szCs w:val="20"/>
                <w:color w:val="auto"/>
              </w:rPr>
            </w:pPr>
            <w:r>
              <w:rPr>
                <w:rFonts w:ascii="Arial" w:cs="Arial" w:eastAsia="Arial" w:hAnsi="Arial"/>
                <w:sz w:val="18"/>
                <w:szCs w:val="18"/>
                <w:color w:val="auto"/>
              </w:rPr>
              <w:t>—</w:t>
            </w:r>
          </w:p>
        </w:tc>
        <w:tc>
          <w:tcPr>
            <w:tcW w:w="180" w:type="dxa"/>
            <w:vAlign w:val="bottom"/>
            <w:gridSpan w:val="2"/>
          </w:tcPr>
          <w:p>
            <w:pPr>
              <w:spacing w:after="0"/>
              <w:rPr>
                <w:sz w:val="18"/>
                <w:szCs w:val="18"/>
                <w:color w:val="auto"/>
              </w:rPr>
            </w:pPr>
          </w:p>
        </w:tc>
        <w:tc>
          <w:tcPr>
            <w:tcW w:w="14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8"/>
                <w:szCs w:val="18"/>
                <w:color w:val="auto"/>
              </w:rPr>
              <w:t>(115)</w:t>
            </w:r>
          </w:p>
        </w:tc>
        <w:tc>
          <w:tcPr>
            <w:tcW w:w="14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920" w:type="dxa"/>
            <w:vAlign w:val="bottom"/>
            <w:gridSpan w:val="3"/>
          </w:tcPr>
          <w:p>
            <w:pPr>
              <w:jc w:val="right"/>
              <w:ind w:right="40"/>
              <w:spacing w:after="0"/>
              <w:rPr>
                <w:sz w:val="20"/>
                <w:szCs w:val="20"/>
                <w:color w:val="auto"/>
              </w:rPr>
            </w:pPr>
            <w:r>
              <w:rPr>
                <w:rFonts w:ascii="Arial" w:cs="Arial" w:eastAsia="Arial" w:hAnsi="Arial"/>
                <w:sz w:val="18"/>
                <w:szCs w:val="18"/>
                <w:color w:val="auto"/>
              </w:rPr>
              <w:t>(115)</w:t>
            </w:r>
          </w:p>
        </w:tc>
        <w:tc>
          <w:tcPr>
            <w:tcW w:w="0" w:type="dxa"/>
            <w:vAlign w:val="bottom"/>
          </w:tcPr>
          <w:p>
            <w:pPr>
              <w:spacing w:after="0"/>
              <w:rPr>
                <w:sz w:val="1"/>
                <w:szCs w:val="1"/>
                <w:color w:val="auto"/>
              </w:rPr>
            </w:pPr>
          </w:p>
        </w:tc>
      </w:tr>
      <w:tr>
        <w:trPr>
          <w:trHeight w:val="27"/>
        </w:trPr>
        <w:tc>
          <w:tcPr>
            <w:tcW w:w="7740" w:type="dxa"/>
            <w:vAlign w:val="bottom"/>
          </w:tcPr>
          <w:p>
            <w:pPr>
              <w:spacing w:after="0"/>
              <w:rPr>
                <w:sz w:val="2"/>
                <w:szCs w:val="2"/>
                <w:color w:val="auto"/>
              </w:rPr>
            </w:pPr>
          </w:p>
        </w:tc>
        <w:tc>
          <w:tcPr>
            <w:tcW w:w="2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74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Other comprehensive (loss) income, net</w:t>
            </w:r>
          </w:p>
        </w:tc>
        <w:tc>
          <w:tcPr>
            <w:tcW w:w="20" w:type="dxa"/>
            <w:vAlign w:val="bottom"/>
            <w:shd w:val="clear" w:color="auto" w:fill="CCEEFF"/>
          </w:tcPr>
          <w:p>
            <w:pPr>
              <w:spacing w:after="0"/>
              <w:rPr>
                <w:sz w:val="18"/>
                <w:szCs w:val="18"/>
                <w:color w:val="auto"/>
              </w:rPr>
            </w:pPr>
          </w:p>
        </w:tc>
        <w:tc>
          <w:tcPr>
            <w:tcW w:w="74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(939)</w:t>
            </w:r>
          </w:p>
        </w:tc>
        <w:tc>
          <w:tcPr>
            <w:tcW w:w="100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(828)</w:t>
            </w:r>
          </w:p>
        </w:tc>
        <w:tc>
          <w:tcPr>
            <w:tcW w:w="100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602</w:t>
            </w:r>
          </w:p>
        </w:tc>
        <w:tc>
          <w:tcPr>
            <w:tcW w:w="9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4,660</w:t>
            </w:r>
          </w:p>
        </w:tc>
        <w:tc>
          <w:tcPr>
            <w:tcW w:w="0" w:type="dxa"/>
            <w:vAlign w:val="bottom"/>
          </w:tcPr>
          <w:p>
            <w:pPr>
              <w:spacing w:after="0"/>
              <w:rPr>
                <w:sz w:val="1"/>
                <w:szCs w:val="1"/>
                <w:color w:val="auto"/>
              </w:rPr>
            </w:pPr>
          </w:p>
        </w:tc>
      </w:tr>
      <w:tr>
        <w:trPr>
          <w:trHeight w:val="20"/>
        </w:trPr>
        <w:tc>
          <w:tcPr>
            <w:tcW w:w="7740" w:type="dxa"/>
            <w:vAlign w:val="bottom"/>
            <w:vMerge w:val="restart"/>
          </w:tcPr>
          <w:p>
            <w:pPr>
              <w:spacing w:after="0"/>
              <w:rPr>
                <w:sz w:val="20"/>
                <w:szCs w:val="20"/>
                <w:color w:val="auto"/>
              </w:rPr>
            </w:pPr>
            <w:r>
              <w:rPr>
                <w:rFonts w:ascii="Arial" w:cs="Arial" w:eastAsia="Arial" w:hAnsi="Arial"/>
                <w:sz w:val="18"/>
                <w:szCs w:val="18"/>
                <w:color w:val="auto"/>
              </w:rPr>
              <w:t>Comprehensive income</w:t>
            </w:r>
          </w:p>
        </w:tc>
        <w:tc>
          <w:tcPr>
            <w:tcW w:w="2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740" w:type="dxa"/>
            <w:vAlign w:val="bottom"/>
            <w:vMerge w:val="continue"/>
          </w:tcPr>
          <w:p>
            <w:pPr>
              <w:spacing w:after="0"/>
              <w:rPr>
                <w:sz w:val="19"/>
                <w:szCs w:val="19"/>
                <w:color w:val="auto"/>
              </w:rPr>
            </w:pPr>
          </w:p>
        </w:tc>
        <w:tc>
          <w:tcPr>
            <w:tcW w:w="600" w:type="dxa"/>
            <w:vAlign w:val="bottom"/>
            <w:gridSpan w:val="3"/>
          </w:tcPr>
          <w:p>
            <w:pPr>
              <w:jc w:val="right"/>
              <w:ind w:right="2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92,135</w:t>
            </w:r>
          </w:p>
        </w:tc>
        <w:tc>
          <w:tcPr>
            <w:tcW w:w="160" w:type="dxa"/>
            <w:vAlign w:val="bottom"/>
          </w:tcPr>
          <w:p>
            <w:pPr>
              <w:spacing w:after="0"/>
              <w:rPr>
                <w:sz w:val="19"/>
                <w:szCs w:val="19"/>
                <w:color w:val="auto"/>
              </w:rPr>
            </w:pPr>
          </w:p>
        </w:tc>
        <w:tc>
          <w:tcPr>
            <w:tcW w:w="1000" w:type="dxa"/>
            <w:vAlign w:val="bottom"/>
            <w:gridSpan w:val="3"/>
          </w:tcPr>
          <w:p>
            <w:pPr>
              <w:jc w:val="right"/>
              <w:ind w:right="18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191,564</w:t>
            </w:r>
          </w:p>
        </w:tc>
        <w:tc>
          <w:tcPr>
            <w:tcW w:w="1000" w:type="dxa"/>
            <w:vAlign w:val="bottom"/>
            <w:gridSpan w:val="3"/>
          </w:tcPr>
          <w:p>
            <w:pPr>
              <w:jc w:val="right"/>
              <w:ind w:right="18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188,219</w:t>
            </w:r>
          </w:p>
        </w:tc>
        <w:tc>
          <w:tcPr>
            <w:tcW w:w="920" w:type="dxa"/>
            <w:vAlign w:val="bottom"/>
            <w:gridSpan w:val="3"/>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343,913</w:t>
            </w:r>
          </w:p>
        </w:tc>
        <w:tc>
          <w:tcPr>
            <w:tcW w:w="0" w:type="dxa"/>
            <w:vAlign w:val="bottom"/>
          </w:tcPr>
          <w:p>
            <w:pPr>
              <w:spacing w:after="0"/>
              <w:rPr>
                <w:sz w:val="1"/>
                <w:szCs w:val="1"/>
                <w:color w:val="auto"/>
              </w:rPr>
            </w:pPr>
          </w:p>
        </w:tc>
      </w:tr>
      <w:tr>
        <w:trPr>
          <w:trHeight w:val="20"/>
        </w:trPr>
        <w:tc>
          <w:tcPr>
            <w:tcW w:w="77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80" w:type="dxa"/>
            <w:vAlign w:val="bottom"/>
          </w:tcPr>
          <w:p>
            <w:pPr>
              <w:spacing w:after="0"/>
              <w:rPr>
                <w:sz w:val="14"/>
                <w:szCs w:val="14"/>
                <w:color w:val="auto"/>
              </w:rPr>
            </w:pPr>
          </w:p>
        </w:tc>
        <w:tc>
          <w:tcPr>
            <w:tcW w:w="2140" w:type="dxa"/>
            <w:vAlign w:val="bottom"/>
            <w:gridSpan w:val="5"/>
          </w:tcPr>
          <w:p>
            <w:pPr>
              <w:jc w:val="right"/>
              <w:ind w:right="58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9280" w:type="dxa"/>
            <w:vAlign w:val="bottom"/>
          </w:tcPr>
          <w:p>
            <w:pPr>
              <w:spacing w:after="0"/>
              <w:rPr>
                <w:sz w:val="11"/>
                <w:szCs w:val="11"/>
                <w:color w:val="auto"/>
              </w:rPr>
            </w:pPr>
          </w:p>
        </w:tc>
        <w:tc>
          <w:tcPr>
            <w:tcW w:w="1160" w:type="dxa"/>
            <w:vAlign w:val="bottom"/>
            <w:tcBorders>
              <w:top w:val="single" w:sz="8" w:color="auto"/>
            </w:tcBorders>
            <w:gridSpan w:val="2"/>
          </w:tcPr>
          <w:p>
            <w:pPr>
              <w:jc w:val="right"/>
              <w:ind w:right="560"/>
              <w:spacing w:after="0" w:line="129" w:lineRule="exact"/>
              <w:rPr>
                <w:sz w:val="20"/>
                <w:szCs w:val="20"/>
                <w:color w:val="auto"/>
              </w:rPr>
            </w:pPr>
            <w:r>
              <w:rPr>
                <w:rFonts w:ascii="Arial" w:cs="Arial" w:eastAsia="Arial" w:hAnsi="Arial"/>
                <w:sz w:val="14"/>
                <w:szCs w:val="14"/>
                <w:b w:val="1"/>
                <w:bCs w:val="1"/>
                <w:color w:val="auto"/>
              </w:rPr>
              <w:t>July 28,</w:t>
            </w:r>
          </w:p>
        </w:tc>
        <w:tc>
          <w:tcPr>
            <w:tcW w:w="10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right"/>
              <w:ind w:right="133"/>
              <w:spacing w:after="0" w:line="129" w:lineRule="exact"/>
              <w:rPr>
                <w:sz w:val="20"/>
                <w:szCs w:val="20"/>
                <w:color w:val="auto"/>
              </w:rPr>
            </w:pPr>
            <w:r>
              <w:rPr>
                <w:rFonts w:ascii="Arial" w:cs="Arial" w:eastAsia="Arial" w:hAnsi="Arial"/>
                <w:sz w:val="14"/>
                <w:szCs w:val="14"/>
                <w:b w:val="1"/>
                <w:bCs w:val="1"/>
                <w:color w:val="auto"/>
              </w:rPr>
              <w:t>July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80" w:type="dxa"/>
            <w:vAlign w:val="bottom"/>
            <w:tcBorders>
              <w:bottom w:val="single" w:sz="8" w:color="CCEEFF"/>
            </w:tcBorders>
          </w:tcPr>
          <w:p>
            <w:pPr>
              <w:spacing w:after="0"/>
              <w:rPr>
                <w:sz w:val="14"/>
                <w:szCs w:val="14"/>
                <w:color w:val="auto"/>
              </w:rPr>
            </w:pPr>
          </w:p>
        </w:tc>
        <w:tc>
          <w:tcPr>
            <w:tcW w:w="74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2012</w:t>
            </w:r>
          </w:p>
        </w:tc>
        <w:tc>
          <w:tcPr>
            <w:tcW w:w="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2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7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$ 187,617</w:t>
            </w:r>
          </w:p>
        </w:tc>
        <w:tc>
          <w:tcPr>
            <w:tcW w:w="4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339,253</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7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880"/>
              <w:spacing w:after="0"/>
              <w:rPr>
                <w:sz w:val="20"/>
                <w:szCs w:val="20"/>
                <w:color w:val="auto"/>
              </w:rPr>
            </w:pPr>
            <w:r>
              <w:rPr>
                <w:rFonts w:ascii="Arial" w:cs="Arial" w:eastAsia="Arial" w:hAnsi="Arial"/>
                <w:sz w:val="18"/>
                <w:szCs w:val="18"/>
                <w:color w:val="auto"/>
              </w:rPr>
              <w:t>Depreciation and amortization</w:t>
            </w:r>
          </w:p>
        </w:tc>
        <w:tc>
          <w:tcPr>
            <w:tcW w:w="740" w:type="dxa"/>
            <w:vAlign w:val="bottom"/>
          </w:tcPr>
          <w:p>
            <w:pPr>
              <w:jc w:val="right"/>
              <w:spacing w:after="0"/>
              <w:rPr>
                <w:sz w:val="20"/>
                <w:szCs w:val="20"/>
                <w:color w:val="auto"/>
              </w:rPr>
            </w:pPr>
            <w:r>
              <w:rPr>
                <w:rFonts w:ascii="Arial" w:cs="Arial" w:eastAsia="Arial" w:hAnsi="Arial"/>
                <w:sz w:val="18"/>
                <w:szCs w:val="18"/>
                <w:color w:val="auto"/>
              </w:rPr>
              <w:t>42,484</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46,474</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Stock-based compensation</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60,420</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57,835</w:t>
            </w:r>
          </w:p>
        </w:tc>
        <w:tc>
          <w:tcPr>
            <w:tcW w:w="0" w:type="dxa"/>
            <w:vAlign w:val="bottom"/>
          </w:tcPr>
          <w:p>
            <w:pPr>
              <w:spacing w:after="0"/>
              <w:rPr>
                <w:sz w:val="1"/>
                <w:szCs w:val="1"/>
                <w:color w:val="auto"/>
              </w:rPr>
            </w:pPr>
          </w:p>
        </w:tc>
      </w:tr>
      <w:tr>
        <w:trPr>
          <w:trHeight w:val="216"/>
        </w:trPr>
        <w:tc>
          <w:tcPr>
            <w:tcW w:w="9280" w:type="dxa"/>
            <w:vAlign w:val="bottom"/>
          </w:tcPr>
          <w:p>
            <w:pPr>
              <w:ind w:left="880"/>
              <w:spacing w:after="0"/>
              <w:rPr>
                <w:sz w:val="20"/>
                <w:szCs w:val="20"/>
                <w:color w:val="auto"/>
              </w:rPr>
            </w:pPr>
            <w:r>
              <w:rPr>
                <w:rFonts w:ascii="Arial" w:cs="Arial" w:eastAsia="Arial" w:hAnsi="Arial"/>
                <w:sz w:val="18"/>
                <w:szCs w:val="18"/>
                <w:color w:val="auto"/>
              </w:rPr>
              <w:t>Amortization and write-off of acquired intangible assets</w:t>
            </w:r>
          </w:p>
        </w:tc>
        <w:tc>
          <w:tcPr>
            <w:tcW w:w="740" w:type="dxa"/>
            <w:vAlign w:val="bottom"/>
          </w:tcPr>
          <w:p>
            <w:pPr>
              <w:jc w:val="right"/>
              <w:spacing w:after="0"/>
              <w:rPr>
                <w:sz w:val="20"/>
                <w:szCs w:val="20"/>
                <w:color w:val="auto"/>
              </w:rPr>
            </w:pPr>
            <w:r>
              <w:rPr>
                <w:rFonts w:ascii="Arial" w:cs="Arial" w:eastAsia="Arial" w:hAnsi="Arial"/>
                <w:sz w:val="18"/>
                <w:szCs w:val="18"/>
                <w:color w:val="auto"/>
              </w:rPr>
              <w:t>27,378</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25,479</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Other expense, net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5,175</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7,145</w:t>
            </w:r>
          </w:p>
        </w:tc>
        <w:tc>
          <w:tcPr>
            <w:tcW w:w="0" w:type="dxa"/>
            <w:vAlign w:val="bottom"/>
          </w:tcPr>
          <w:p>
            <w:pPr>
              <w:spacing w:after="0"/>
              <w:rPr>
                <w:sz w:val="1"/>
                <w:szCs w:val="1"/>
                <w:color w:val="auto"/>
              </w:rPr>
            </w:pPr>
          </w:p>
        </w:tc>
      </w:tr>
      <w:tr>
        <w:trPr>
          <w:trHeight w:val="216"/>
        </w:trPr>
        <w:tc>
          <w:tcPr>
            <w:tcW w:w="9280" w:type="dxa"/>
            <w:vAlign w:val="bottom"/>
          </w:tcPr>
          <w:p>
            <w:pPr>
              <w:ind w:left="880"/>
              <w:spacing w:after="0"/>
              <w:rPr>
                <w:sz w:val="20"/>
                <w:szCs w:val="20"/>
                <w:color w:val="auto"/>
              </w:rPr>
            </w:pPr>
            <w:r>
              <w:rPr>
                <w:rFonts w:ascii="Arial" w:cs="Arial" w:eastAsia="Arial" w:hAnsi="Arial"/>
                <w:sz w:val="18"/>
                <w:szCs w:val="18"/>
                <w:color w:val="auto"/>
              </w:rPr>
              <w:t>Excess tax benefits from stock-based compensation</w:t>
            </w:r>
          </w:p>
        </w:tc>
        <w:tc>
          <w:tcPr>
            <w:tcW w:w="1160" w:type="dxa"/>
            <w:vAlign w:val="bottom"/>
            <w:gridSpan w:val="2"/>
          </w:tcPr>
          <w:p>
            <w:pPr>
              <w:jc w:val="right"/>
              <w:ind w:right="360"/>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Changes in assets and liabilities:</w:t>
            </w:r>
          </w:p>
        </w:tc>
        <w:tc>
          <w:tcPr>
            <w:tcW w:w="7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1300"/>
              <w:spacing w:after="0"/>
              <w:rPr>
                <w:sz w:val="20"/>
                <w:szCs w:val="20"/>
                <w:color w:val="auto"/>
              </w:rPr>
            </w:pPr>
            <w:r>
              <w:rPr>
                <w:rFonts w:ascii="Arial" w:cs="Arial" w:eastAsia="Arial" w:hAnsi="Arial"/>
                <w:sz w:val="18"/>
                <w:szCs w:val="18"/>
                <w:color w:val="auto"/>
              </w:rPr>
              <w:t>Accounts receivable</w:t>
            </w:r>
          </w:p>
        </w:tc>
        <w:tc>
          <w:tcPr>
            <w:tcW w:w="740" w:type="dxa"/>
            <w:vAlign w:val="bottom"/>
          </w:tcPr>
          <w:p>
            <w:pPr>
              <w:jc w:val="right"/>
              <w:spacing w:after="0"/>
              <w:rPr>
                <w:sz w:val="20"/>
                <w:szCs w:val="20"/>
                <w:color w:val="auto"/>
              </w:rPr>
            </w:pPr>
            <w:r>
              <w:rPr>
                <w:rFonts w:ascii="Arial" w:cs="Arial" w:eastAsia="Arial" w:hAnsi="Arial"/>
                <w:sz w:val="18"/>
                <w:szCs w:val="18"/>
                <w:color w:val="auto"/>
              </w:rPr>
              <w:t>16,491</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53,649</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Inventories</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8,033</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(76,004)</w:t>
            </w:r>
          </w:p>
        </w:tc>
        <w:tc>
          <w:tcPr>
            <w:tcW w:w="0" w:type="dxa"/>
            <w:vAlign w:val="bottom"/>
          </w:tcPr>
          <w:p>
            <w:pPr>
              <w:spacing w:after="0"/>
              <w:rPr>
                <w:sz w:val="1"/>
                <w:szCs w:val="1"/>
                <w:color w:val="auto"/>
              </w:rPr>
            </w:pPr>
          </w:p>
        </w:tc>
      </w:tr>
      <w:tr>
        <w:trPr>
          <w:trHeight w:val="216"/>
        </w:trPr>
        <w:tc>
          <w:tcPr>
            <w:tcW w:w="9280" w:type="dxa"/>
            <w:vAlign w:val="bottom"/>
          </w:tcPr>
          <w:p>
            <w:pPr>
              <w:ind w:left="1300"/>
              <w:spacing w:after="0"/>
              <w:rPr>
                <w:sz w:val="20"/>
                <w:szCs w:val="20"/>
                <w:color w:val="auto"/>
              </w:rPr>
            </w:pPr>
            <w:r>
              <w:rPr>
                <w:rFonts w:ascii="Arial" w:cs="Arial" w:eastAsia="Arial" w:hAnsi="Arial"/>
                <w:sz w:val="18"/>
                <w:szCs w:val="18"/>
                <w:color w:val="auto"/>
              </w:rPr>
              <w:t>Prepaid expenses and other assets</w:t>
            </w:r>
          </w:p>
        </w:tc>
        <w:tc>
          <w:tcPr>
            <w:tcW w:w="740" w:type="dxa"/>
            <w:vAlign w:val="bottom"/>
          </w:tcPr>
          <w:p>
            <w:pPr>
              <w:jc w:val="right"/>
              <w:spacing w:after="0"/>
              <w:rPr>
                <w:sz w:val="20"/>
                <w:szCs w:val="20"/>
                <w:color w:val="auto"/>
              </w:rPr>
            </w:pPr>
            <w:r>
              <w:rPr>
                <w:rFonts w:ascii="Arial" w:cs="Arial" w:eastAsia="Arial" w:hAnsi="Arial"/>
                <w:sz w:val="18"/>
                <w:szCs w:val="18"/>
                <w:color w:val="auto"/>
              </w:rPr>
              <w:t>15,635</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17,438</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Accounts payable</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27,537</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6,999</w:t>
            </w:r>
          </w:p>
        </w:tc>
        <w:tc>
          <w:tcPr>
            <w:tcW w:w="0" w:type="dxa"/>
            <w:vAlign w:val="bottom"/>
          </w:tcPr>
          <w:p>
            <w:pPr>
              <w:spacing w:after="0"/>
              <w:rPr>
                <w:sz w:val="1"/>
                <w:szCs w:val="1"/>
                <w:color w:val="auto"/>
              </w:rPr>
            </w:pPr>
          </w:p>
        </w:tc>
      </w:tr>
      <w:tr>
        <w:trPr>
          <w:trHeight w:val="216"/>
        </w:trPr>
        <w:tc>
          <w:tcPr>
            <w:tcW w:w="9280" w:type="dxa"/>
            <w:vAlign w:val="bottom"/>
          </w:tcPr>
          <w:p>
            <w:pPr>
              <w:ind w:left="1300"/>
              <w:spacing w:after="0"/>
              <w:rPr>
                <w:sz w:val="20"/>
                <w:szCs w:val="20"/>
                <w:color w:val="auto"/>
              </w:rPr>
            </w:pPr>
            <w:r>
              <w:rPr>
                <w:rFonts w:ascii="Arial" w:cs="Arial" w:eastAsia="Arial" w:hAnsi="Arial"/>
                <w:sz w:val="18"/>
                <w:szCs w:val="18"/>
                <w:color w:val="auto"/>
              </w:rPr>
              <w:t>Accrued liabilities and other</w:t>
            </w:r>
          </w:p>
        </w:tc>
        <w:tc>
          <w:tcPr>
            <w:tcW w:w="740" w:type="dxa"/>
            <w:vAlign w:val="bottom"/>
          </w:tcPr>
          <w:p>
            <w:pPr>
              <w:jc w:val="right"/>
              <w:spacing w:after="0"/>
              <w:rPr>
                <w:sz w:val="20"/>
                <w:szCs w:val="20"/>
                <w:color w:val="auto"/>
              </w:rPr>
            </w:pPr>
            <w:r>
              <w:rPr>
                <w:rFonts w:ascii="Arial" w:cs="Arial" w:eastAsia="Arial" w:hAnsi="Arial"/>
                <w:sz w:val="18"/>
                <w:szCs w:val="18"/>
                <w:color w:val="auto"/>
              </w:rPr>
              <w:t>13,939</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(91)</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Accrued employee compensation</w:t>
            </w: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(24,681)</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(29,267)</w:t>
            </w:r>
          </w:p>
        </w:tc>
        <w:tc>
          <w:tcPr>
            <w:tcW w:w="0" w:type="dxa"/>
            <w:vAlign w:val="bottom"/>
          </w:tcPr>
          <w:p>
            <w:pPr>
              <w:spacing w:after="0"/>
              <w:rPr>
                <w:sz w:val="1"/>
                <w:szCs w:val="1"/>
                <w:color w:val="auto"/>
              </w:rPr>
            </w:pPr>
          </w:p>
        </w:tc>
      </w:tr>
      <w:tr>
        <w:trPr>
          <w:trHeight w:val="223"/>
        </w:trPr>
        <w:tc>
          <w:tcPr>
            <w:tcW w:w="9280" w:type="dxa"/>
            <w:vAlign w:val="bottom"/>
          </w:tcPr>
          <w:p>
            <w:pPr>
              <w:ind w:left="1300"/>
              <w:spacing w:after="0"/>
              <w:rPr>
                <w:sz w:val="20"/>
                <w:szCs w:val="20"/>
                <w:color w:val="auto"/>
              </w:rPr>
            </w:pPr>
            <w:r>
              <w:rPr>
                <w:rFonts w:ascii="Arial" w:cs="Arial" w:eastAsia="Arial" w:hAnsi="Arial"/>
                <w:sz w:val="18"/>
                <w:szCs w:val="18"/>
                <w:color w:val="auto"/>
              </w:rPr>
              <w:t>Deferred income</w:t>
            </w:r>
          </w:p>
        </w:tc>
        <w:tc>
          <w:tcPr>
            <w:tcW w:w="740" w:type="dxa"/>
            <w:vAlign w:val="bottom"/>
          </w:tcPr>
          <w:p>
            <w:pPr>
              <w:jc w:val="right"/>
              <w:spacing w:after="0"/>
              <w:rPr>
                <w:sz w:val="20"/>
                <w:szCs w:val="20"/>
                <w:color w:val="auto"/>
              </w:rPr>
            </w:pPr>
            <w:r>
              <w:rPr>
                <w:rFonts w:ascii="Arial" w:cs="Arial" w:eastAsia="Arial" w:hAnsi="Arial"/>
                <w:sz w:val="18"/>
                <w:szCs w:val="18"/>
                <w:color w:val="auto"/>
              </w:rPr>
              <w:t>7,881</w:t>
            </w: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(8,334)</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operating activities</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387,865</w:t>
            </w:r>
          </w:p>
        </w:tc>
        <w:tc>
          <w:tcPr>
            <w:tcW w:w="4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440,562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80" w:type="dxa"/>
            <w:vAlign w:val="bottom"/>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7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marketable securities</w:t>
            </w: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(646,907)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(1,139,884)</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Purchases of strategic investments</w:t>
            </w:r>
          </w:p>
        </w:tc>
        <w:tc>
          <w:tcPr>
            <w:tcW w:w="1160" w:type="dxa"/>
            <w:vAlign w:val="bottom"/>
            <w:gridSpan w:val="2"/>
          </w:tcPr>
          <w:p>
            <w:pPr>
              <w:jc w:val="right"/>
              <w:ind w:right="360"/>
              <w:spacing w:after="0"/>
              <w:rPr>
                <w:sz w:val="20"/>
                <w:szCs w:val="20"/>
                <w:color w:val="auto"/>
              </w:rPr>
            </w:pPr>
            <w:r>
              <w:rPr>
                <w:rFonts w:ascii="Arial" w:cs="Arial" w:eastAsia="Arial" w:hAnsi="Arial"/>
                <w:sz w:val="18"/>
                <w:szCs w:val="18"/>
                <w:color w:val="auto"/>
              </w:rPr>
              <w:t>(5,750)</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(2,253)</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Sales and maturities of investments</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881,309</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681,069</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Cash paid for acquisition, net</w:t>
            </w:r>
          </w:p>
        </w:tc>
        <w:tc>
          <w:tcPr>
            <w:tcW w:w="116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(16,760)</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technology licenses</w:t>
            </w: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(6,452)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(6,615)</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Purchases of property and equipment</w:t>
            </w:r>
          </w:p>
        </w:tc>
        <w:tc>
          <w:tcPr>
            <w:tcW w:w="1160" w:type="dxa"/>
            <w:vAlign w:val="bottom"/>
            <w:gridSpan w:val="2"/>
          </w:tcPr>
          <w:p>
            <w:pPr>
              <w:jc w:val="right"/>
              <w:ind w:right="360"/>
              <w:spacing w:after="0"/>
              <w:rPr>
                <w:sz w:val="20"/>
                <w:szCs w:val="20"/>
                <w:color w:val="auto"/>
              </w:rPr>
            </w:pPr>
            <w:r>
              <w:rPr>
                <w:rFonts w:ascii="Arial" w:cs="Arial" w:eastAsia="Arial" w:hAnsi="Arial"/>
                <w:sz w:val="18"/>
                <w:szCs w:val="18"/>
                <w:color w:val="auto"/>
              </w:rPr>
              <w:t>(29,734)</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(42,245)</w:t>
            </w:r>
          </w:p>
        </w:tc>
        <w:tc>
          <w:tcPr>
            <w:tcW w:w="0" w:type="dxa"/>
            <w:vAlign w:val="bottom"/>
          </w:tcPr>
          <w:p>
            <w:pPr>
              <w:spacing w:after="0"/>
              <w:rPr>
                <w:sz w:val="1"/>
                <w:szCs w:val="1"/>
                <w:color w:val="auto"/>
              </w:rPr>
            </w:pPr>
          </w:p>
        </w:tc>
      </w:tr>
      <w:tr>
        <w:trPr>
          <w:trHeight w:val="27"/>
        </w:trPr>
        <w:tc>
          <w:tcPr>
            <w:tcW w:w="928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28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(used in) investing activities</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192,466</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(526,688)</w:t>
            </w:r>
          </w:p>
        </w:tc>
        <w:tc>
          <w:tcPr>
            <w:tcW w:w="0" w:type="dxa"/>
            <w:vAlign w:val="bottom"/>
          </w:tcPr>
          <w:p>
            <w:pPr>
              <w:spacing w:after="0"/>
              <w:rPr>
                <w:sz w:val="1"/>
                <w:szCs w:val="1"/>
                <w:color w:val="auto"/>
              </w:rPr>
            </w:pPr>
          </w:p>
        </w:tc>
      </w:tr>
      <w:tr>
        <w:trPr>
          <w:trHeight w:val="222"/>
        </w:trPr>
        <w:tc>
          <w:tcPr>
            <w:tcW w:w="9280" w:type="dxa"/>
            <w:vAlign w:val="bottom"/>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740" w:type="dxa"/>
            <w:vAlign w:val="bottom"/>
            <w:tcBorders>
              <w:top w:val="single" w:sz="8" w:color="auto"/>
            </w:tcBorders>
          </w:tcPr>
          <w:p>
            <w:pPr>
              <w:spacing w:after="0"/>
              <w:rPr>
                <w:sz w:val="19"/>
                <w:szCs w:val="19"/>
                <w:color w:val="auto"/>
              </w:rPr>
            </w:pPr>
          </w:p>
        </w:tc>
        <w:tc>
          <w:tcPr>
            <w:tcW w:w="4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Repurchase of common stock</w:t>
            </w: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(473,484)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(939,241)</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Proceeds from employee stock plans</w:t>
            </w:r>
          </w:p>
        </w:tc>
        <w:tc>
          <w:tcPr>
            <w:tcW w:w="740" w:type="dxa"/>
            <w:vAlign w:val="bottom"/>
          </w:tcPr>
          <w:p>
            <w:pPr>
              <w:jc w:val="right"/>
              <w:spacing w:after="0"/>
              <w:rPr>
                <w:sz w:val="20"/>
                <w:szCs w:val="20"/>
                <w:color w:val="auto"/>
              </w:rPr>
            </w:pPr>
            <w:r>
              <w:rPr>
                <w:rFonts w:ascii="Arial" w:cs="Arial" w:eastAsia="Arial" w:hAnsi="Arial"/>
                <w:sz w:val="18"/>
                <w:szCs w:val="18"/>
                <w:color w:val="auto"/>
              </w:rPr>
              <w:t>57,329</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46,623</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(9,477)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(4,868)</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Dividend payments to shareholders</w:t>
            </w:r>
          </w:p>
        </w:tc>
        <w:tc>
          <w:tcPr>
            <w:tcW w:w="1160" w:type="dxa"/>
            <w:vAlign w:val="bottom"/>
            <w:gridSpan w:val="2"/>
          </w:tcPr>
          <w:p>
            <w:pPr>
              <w:jc w:val="right"/>
              <w:ind w:right="360"/>
              <w:spacing w:after="0"/>
              <w:rPr>
                <w:sz w:val="20"/>
                <w:szCs w:val="20"/>
                <w:color w:val="auto"/>
              </w:rPr>
            </w:pPr>
            <w:r>
              <w:rPr>
                <w:rFonts w:ascii="Arial" w:cs="Arial" w:eastAsia="Arial" w:hAnsi="Arial"/>
                <w:sz w:val="18"/>
                <w:szCs w:val="18"/>
                <w:color w:val="auto"/>
              </w:rPr>
              <w:t>(33,537)</w:t>
            </w:r>
          </w:p>
        </w:tc>
        <w:tc>
          <w:tcPr>
            <w:tcW w:w="10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Principal payments on capital lease obligations</w:t>
            </w:r>
          </w:p>
        </w:tc>
        <w:tc>
          <w:tcPr>
            <w:tcW w:w="116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23"/>
        </w:trPr>
        <w:tc>
          <w:tcPr>
            <w:tcW w:w="9280" w:type="dxa"/>
            <w:vAlign w:val="bottom"/>
          </w:tcPr>
          <w:p>
            <w:pPr>
              <w:ind w:left="440"/>
              <w:spacing w:after="0"/>
              <w:rPr>
                <w:sz w:val="20"/>
                <w:szCs w:val="20"/>
                <w:color w:val="auto"/>
              </w:rPr>
            </w:pPr>
            <w:r>
              <w:rPr>
                <w:rFonts w:ascii="Arial" w:cs="Arial" w:eastAsia="Arial" w:hAnsi="Arial"/>
                <w:sz w:val="18"/>
                <w:szCs w:val="18"/>
                <w:color w:val="auto"/>
              </w:rPr>
              <w:t>Excess tax benefits from stock-based compensation</w:t>
            </w: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w:t>
            </w:r>
          </w:p>
        </w:tc>
        <w:tc>
          <w:tcPr>
            <w:tcW w:w="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used in financing activities</w:t>
            </w:r>
          </w:p>
        </w:tc>
        <w:tc>
          <w:tcPr>
            <w:tcW w:w="11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(459,125)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(897,983)</w:t>
            </w:r>
          </w:p>
        </w:tc>
        <w:tc>
          <w:tcPr>
            <w:tcW w:w="0" w:type="dxa"/>
            <w:vAlign w:val="bottom"/>
          </w:tcPr>
          <w:p>
            <w:pPr>
              <w:spacing w:after="0"/>
              <w:rPr>
                <w:sz w:val="1"/>
                <w:szCs w:val="1"/>
                <w:color w:val="auto"/>
              </w:rPr>
            </w:pPr>
          </w:p>
        </w:tc>
      </w:tr>
      <w:tr>
        <w:trPr>
          <w:trHeight w:val="20"/>
        </w:trPr>
        <w:tc>
          <w:tcPr>
            <w:tcW w:w="9280" w:type="dxa"/>
            <w:vAlign w:val="bottom"/>
            <w:vMerge w:val="restart"/>
          </w:tcPr>
          <w:p>
            <w:pPr>
              <w:spacing w:after="0"/>
              <w:rPr>
                <w:sz w:val="20"/>
                <w:szCs w:val="20"/>
                <w:color w:val="auto"/>
              </w:rPr>
            </w:pPr>
            <w:r>
              <w:rPr>
                <w:rFonts w:ascii="Arial" w:cs="Arial" w:eastAsia="Arial" w:hAnsi="Arial"/>
                <w:sz w:val="18"/>
                <w:szCs w:val="18"/>
                <w:color w:val="auto"/>
              </w:rPr>
              <w:t>Net increase (decrease) in cash and cash equivalents</w:t>
            </w:r>
          </w:p>
        </w:tc>
        <w:tc>
          <w:tcPr>
            <w:tcW w:w="74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9280" w:type="dxa"/>
            <w:vAlign w:val="bottom"/>
            <w:vMerge w:val="continue"/>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121,206</w:t>
            </w: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(984,109)</w:t>
            </w:r>
          </w:p>
        </w:tc>
        <w:tc>
          <w:tcPr>
            <w:tcW w:w="0" w:type="dxa"/>
            <w:vAlign w:val="bottom"/>
          </w:tcPr>
          <w:p>
            <w:pPr>
              <w:spacing w:after="0"/>
              <w:rPr>
                <w:sz w:val="1"/>
                <w:szCs w:val="1"/>
                <w:color w:val="auto"/>
              </w:rPr>
            </w:pPr>
          </w:p>
        </w:tc>
      </w:tr>
      <w:tr>
        <w:trPr>
          <w:trHeight w:val="218"/>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784,902</w:t>
            </w:r>
          </w:p>
        </w:tc>
        <w:tc>
          <w:tcPr>
            <w:tcW w:w="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1,847,074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8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$ 906,108</w:t>
            </w:r>
          </w:p>
        </w:tc>
        <w:tc>
          <w:tcPr>
            <w:tcW w:w="42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862,965</w:t>
            </w:r>
          </w:p>
        </w:tc>
        <w:tc>
          <w:tcPr>
            <w:tcW w:w="0" w:type="dxa"/>
            <w:vAlign w:val="bottom"/>
          </w:tcPr>
          <w:p>
            <w:pPr>
              <w:spacing w:after="0"/>
              <w:rPr>
                <w:sz w:val="1"/>
                <w:szCs w:val="1"/>
                <w:color w:val="auto"/>
              </w:rPr>
            </w:pPr>
          </w:p>
        </w:tc>
      </w:tr>
      <w:tr>
        <w:trPr>
          <w:trHeight w:val="20"/>
        </w:trPr>
        <w:tc>
          <w:tcPr>
            <w:tcW w:w="928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 performance application specific standard products. The Company’s core strength of expertise is the development of complex System-on-a-Chip devices leveraging its extensive technology portfolio of intellectual property in the areas of analog, mixed-signal, digital signal processing and embedded ARM-based microprocessor integrated circuits. The Company also develops platforms that it defines as integrated hardware and software that incorporate digital computing technologies designed and configured to provide an optimal computing solution compared to individual components. The Company’s broad product portfolio includes devices for data storage, enterprise-class Ethernet data switching, Ethernet physical-layer transceivers, handheld cellular, Ethernet-based wireless networking, personal area networking, Ethernet-based PC connectivity, control plane communications controllers, video-image processing and power management solutions.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Reclassification</w:t>
      </w:r>
    </w:p>
    <w:p>
      <w:pPr>
        <w:spacing w:after="0" w:line="90"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Certain amounts in the unaudited condensed consolidated financial statements and notes to the unaudited condensed consolidated financial statements for prior years have been reclassified to conform to the fiscal 2013 presentation. Net operating results have not been affected by these reclassifications.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2013 has a 53-week period and fiscal 2012 had a 52-week period.</w:t>
      </w:r>
    </w:p>
    <w:p>
      <w:pPr>
        <w:spacing w:after="0" w:line="140" w:lineRule="exact"/>
        <w:rPr>
          <w:sz w:val="20"/>
          <w:szCs w:val="20"/>
          <w:color w:val="auto"/>
        </w:rPr>
      </w:pPr>
    </w:p>
    <w:p>
      <w:pPr>
        <w:ind w:firstLine="456"/>
        <w:spacing w:after="0" w:line="312" w:lineRule="auto"/>
        <w:rPr>
          <w:sz w:val="20"/>
          <w:szCs w:val="20"/>
          <w:color w:val="auto"/>
        </w:rPr>
      </w:pPr>
      <w:r>
        <w:rPr>
          <w:rFonts w:ascii="Arial" w:cs="Arial" w:eastAsia="Arial" w:hAnsi="Arial"/>
          <w:sz w:val="15"/>
          <w:szCs w:val="15"/>
          <w:color w:val="auto"/>
        </w:rPr>
        <w:t>The unaudited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balance sheet as of July 28, 2012, the results of its operations for the three and six months ended July 28, 2012 and July 30, 2011, and its cash flows for the six months ended July 28, 2012 and July 30, 2011. The January 28, 2012 condensed consolidated balance sheet data was derived from the audited consolidated financial statements included in the Company’s Annual Report on Form 10-K for the fiscal year ended January 28, 2012 but does not include all disclosures required for annual periods.</w:t>
      </w:r>
    </w:p>
    <w:p>
      <w:pPr>
        <w:spacing w:after="0" w:line="105"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These condensed consolidated financial statements and related notes are unaudited and should be read in conjunction with the Company’s audited financial statements and related notes included in the Company’s Annual Report on Form 10-K for the fiscal year ended January 28, 2012 as filed on March 27, 2012 with the Securities and Exchange Commission. The results of operations for the three and six months ended July 28, 2012 are not necessarily indicative of the results that may be expected for any other interim period or for the full fiscal year.</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income taxes, litigation and other contingencies. In addition, the Company uses assumptions when employing the Monte Carlo simulation and Black-Scholes valuation models to calculate the fair value of share-based awards that are granted. When carrying values of certain assets and liabilities are not readily available from other sources, their carrying values are estimated based on historical experience and on various other assumptions that are believed to be reasonable under the circumstances. Actual results could differ from these estimates, and such differences could affect the results of operations reported in future periods.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United States dollar.</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adopted the new accounting standard that provides additional guidance on fair value measurements and related disclosures at the beginning of fiscal 2013. This guidance clarifies the application of existing guidance on fair value measurement for non-financial assets and requires the disclosure of quantitative information about the unobservable inputs used in a fair value measurement. The adoption of this guidance had no impact on the Company’s financial statements.</w:t>
      </w:r>
    </w:p>
    <w:p>
      <w:pPr>
        <w:spacing w:after="0" w:line="143"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Company also adopted the new accounting standard that permits an entity the option to present the total of comprehensive income, the components of net income and the components of other comprehensive income either in a single continuous statement of comprehensive income or in two separate but consecutive statements at the beginning of fiscal 2013. This amended guidance eliminates the option to present the components of other comprehensive income as part of the statement of changes in shareholders’ equity. As a result, the Company has separately presented the Statements of Comprehensive Income as part of its unaudited condensed consolidated financial statements and has elected to defer separate disclosure of reclassifications adjustments out of accumulated other comprehensive income.</w:t>
      </w:r>
    </w:p>
    <w:p>
      <w:pPr>
        <w:spacing w:after="0" w:line="144" w:lineRule="exact"/>
        <w:rPr>
          <w:sz w:val="20"/>
          <w:szCs w:val="20"/>
          <w:color w:val="auto"/>
        </w:rPr>
      </w:pPr>
    </w:p>
    <w:p>
      <w:pPr>
        <w:ind w:right="240" w:firstLine="456"/>
        <w:spacing w:after="0" w:line="255" w:lineRule="auto"/>
        <w:rPr>
          <w:sz w:val="20"/>
          <w:szCs w:val="20"/>
          <w:color w:val="auto"/>
        </w:rPr>
      </w:pPr>
      <w:r>
        <w:rPr>
          <w:rFonts w:ascii="Arial" w:cs="Arial" w:eastAsia="Arial" w:hAnsi="Arial"/>
          <w:sz w:val="18"/>
          <w:szCs w:val="18"/>
          <w:color w:val="auto"/>
        </w:rPr>
        <w:t>The Company also adopted the new accounting standard that amends the previous guidance regarding the testing of goodwill for impairment at the beginning of fiscal 2013. This amended guidance allows an entity to first assess qualitative factors to determine whether it is necessary to perform the two-step quantitative goodwill impairment test. An entity no longer is required to calculate the fair value of a reporting unit unless the entity determines, based on a qualitative assessment, that it is more likely than not that its fair value is less than its carrying amount. The adoption of this guidance had no impact on the Company’s financial statements.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90"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In July 2012, the Financial Accounting Standards Board issued an amendment to its guidance regarding the testing of indefinite-lived intangible assets for impairment. This amended guidance allows an entity first to assess qualitative factors to determine whether it is more likely than not that an indefinite-lived intangible asset is impaired as a basis for determining whether it is necessary to perform the quantitative impairment test in accordance with the guidance on the impairment of intangible assets other than goodwill. This amended guidance is effective for annual and interim impairment tests performed for fiscal years beginning after September 15, 2012. The adoption of this guidance is not expected to have an impact on the Company’s financial statements.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10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600"/>
              <w:spacing w:after="0"/>
              <w:rPr>
                <w:sz w:val="20"/>
                <w:szCs w:val="20"/>
                <w:color w:val="auto"/>
              </w:rPr>
            </w:pPr>
            <w:r>
              <w:rPr>
                <w:rFonts w:ascii="Arial" w:cs="Arial" w:eastAsia="Arial" w:hAnsi="Arial"/>
                <w:sz w:val="14"/>
                <w:szCs w:val="14"/>
                <w:b w:val="1"/>
                <w:bCs w:val="1"/>
                <w:color w:val="auto"/>
              </w:rPr>
              <w:t>As of July 28, 2012</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100" w:type="dxa"/>
            <w:vAlign w:val="bottom"/>
          </w:tcPr>
          <w:p>
            <w:pPr>
              <w:spacing w:after="0"/>
              <w:rPr>
                <w:sz w:val="11"/>
                <w:szCs w:val="11"/>
                <w:color w:val="auto"/>
              </w:rPr>
            </w:pPr>
          </w:p>
        </w:tc>
        <w:tc>
          <w:tcPr>
            <w:tcW w:w="19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8"/>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100" w:type="dxa"/>
            <w:vAlign w:val="bottom"/>
          </w:tcPr>
          <w:p>
            <w:pPr>
              <w:spacing w:after="0"/>
              <w:rPr>
                <w:sz w:val="12"/>
                <w:szCs w:val="12"/>
                <w:color w:val="auto"/>
              </w:rPr>
            </w:pPr>
          </w:p>
        </w:tc>
        <w:tc>
          <w:tcPr>
            <w:tcW w:w="19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7"/>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410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7"/>
              <w:spacing w:after="0"/>
              <w:rPr>
                <w:sz w:val="20"/>
                <w:szCs w:val="20"/>
                <w:color w:val="auto"/>
              </w:rPr>
            </w:pPr>
            <w:r>
              <w:rPr>
                <w:rFonts w:ascii="Arial" w:cs="Arial" w:eastAsia="Arial" w:hAnsi="Arial"/>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8"/>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41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98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100" w:type="dxa"/>
            <w:vAlign w:val="bottom"/>
          </w:tcPr>
          <w:p>
            <w:pPr>
              <w:spacing w:after="0"/>
              <w:rPr>
                <w:sz w:val="20"/>
                <w:szCs w:val="20"/>
                <w:color w:val="auto"/>
              </w:rPr>
            </w:pPr>
            <w:r>
              <w:rPr>
                <w:rFonts w:ascii="Arial" w:cs="Arial" w:eastAsia="Arial" w:hAnsi="Arial"/>
                <w:sz w:val="18"/>
                <w:szCs w:val="18"/>
                <w:color w:val="auto"/>
              </w:rPr>
              <w:t>Available-for-sale:</w:t>
            </w:r>
          </w:p>
        </w:tc>
        <w:tc>
          <w:tcPr>
            <w:tcW w:w="19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2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612,749</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3,775</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(55)</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616,469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00" w:type="dxa"/>
            <w:vAlign w:val="bottom"/>
          </w:tcPr>
          <w:p>
            <w:pPr>
              <w:ind w:left="440"/>
              <w:spacing w:after="0"/>
              <w:rPr>
                <w:sz w:val="20"/>
                <w:szCs w:val="20"/>
                <w:color w:val="auto"/>
              </w:rPr>
            </w:pPr>
            <w:r>
              <w:rPr>
                <w:rFonts w:ascii="Arial" w:cs="Arial" w:eastAsia="Arial" w:hAnsi="Arial"/>
                <w:sz w:val="18"/>
                <w:szCs w:val="18"/>
                <w:color w:val="auto"/>
              </w:rPr>
              <w:t>Foreign government</w:t>
            </w:r>
          </w:p>
        </w:tc>
        <w:tc>
          <w:tcPr>
            <w:tcW w:w="19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2,026</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10</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2,036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U.S. federal and state debt securities</w:t>
            </w:r>
          </w:p>
        </w:tc>
        <w:tc>
          <w:tcPr>
            <w:tcW w:w="19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608,735</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864</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(19)</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609,580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00" w:type="dxa"/>
            <w:vAlign w:val="bottom"/>
            <w:vMerge w:val="restart"/>
          </w:tcPr>
          <w:p>
            <w:pPr>
              <w:spacing w:after="0"/>
              <w:rPr>
                <w:sz w:val="20"/>
                <w:szCs w:val="20"/>
                <w:color w:val="auto"/>
              </w:rPr>
            </w:pPr>
            <w:r>
              <w:rPr>
                <w:rFonts w:ascii="Arial" w:cs="Arial" w:eastAsia="Arial" w:hAnsi="Arial"/>
                <w:sz w:val="18"/>
                <w:szCs w:val="18"/>
                <w:color w:val="auto"/>
              </w:rPr>
              <w:t>Total short-term investments</w:t>
            </w:r>
          </w:p>
        </w:tc>
        <w:tc>
          <w:tcPr>
            <w:tcW w:w="19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100" w:type="dxa"/>
            <w:vAlign w:val="bottom"/>
            <w:vMerge w:val="continue"/>
          </w:tcPr>
          <w:p>
            <w:pPr>
              <w:spacing w:after="0"/>
              <w:rPr>
                <w:sz w:val="19"/>
                <w:szCs w:val="19"/>
                <w:color w:val="auto"/>
              </w:rPr>
            </w:pPr>
          </w:p>
        </w:tc>
        <w:tc>
          <w:tcPr>
            <w:tcW w:w="20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1,223,510</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4,649</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(74)</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1,228,085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4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9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00" w:type="dxa"/>
            <w:vAlign w:val="bottom"/>
          </w:tcPr>
          <w:p>
            <w:pPr>
              <w:spacing w:after="0"/>
              <w:rPr>
                <w:sz w:val="20"/>
                <w:szCs w:val="20"/>
                <w:color w:val="auto"/>
              </w:rPr>
            </w:pPr>
            <w:r>
              <w:rPr>
                <w:rFonts w:ascii="Arial" w:cs="Arial" w:eastAsia="Arial" w:hAnsi="Arial"/>
                <w:sz w:val="18"/>
                <w:szCs w:val="18"/>
                <w:color w:val="auto"/>
              </w:rPr>
              <w:t>Available-for-sale:</w:t>
            </w:r>
          </w:p>
        </w:tc>
        <w:tc>
          <w:tcPr>
            <w:tcW w:w="19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2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19,500</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(1,397)</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18,103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00" w:type="dxa"/>
            <w:vAlign w:val="bottom"/>
            <w:vMerge w:val="restart"/>
          </w:tcPr>
          <w:p>
            <w:pPr>
              <w:spacing w:after="0"/>
              <w:rPr>
                <w:sz w:val="20"/>
                <w:szCs w:val="20"/>
                <w:color w:val="auto"/>
              </w:rPr>
            </w:pPr>
            <w:r>
              <w:rPr>
                <w:rFonts w:ascii="Arial" w:cs="Arial" w:eastAsia="Arial" w:hAnsi="Arial"/>
                <w:sz w:val="18"/>
                <w:szCs w:val="18"/>
                <w:color w:val="auto"/>
              </w:rPr>
              <w:t>Total long-term investments</w:t>
            </w:r>
          </w:p>
        </w:tc>
        <w:tc>
          <w:tcPr>
            <w:tcW w:w="19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100" w:type="dxa"/>
            <w:vAlign w:val="bottom"/>
            <w:vMerge w:val="continue"/>
          </w:tcPr>
          <w:p>
            <w:pPr>
              <w:spacing w:after="0"/>
              <w:rPr>
                <w:sz w:val="19"/>
                <w:szCs w:val="19"/>
                <w:color w:val="auto"/>
              </w:rPr>
            </w:pPr>
          </w:p>
        </w:tc>
        <w:tc>
          <w:tcPr>
            <w:tcW w:w="20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19,500</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(1,397)</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18,103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10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20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1,243,010</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4,649</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(1,471)</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1,246,188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00" w:type="dxa"/>
            <w:vAlign w:val="bottom"/>
          </w:tcPr>
          <w:p>
            <w:pPr>
              <w:spacing w:after="0" w:line="20" w:lineRule="exact"/>
              <w:rPr>
                <w:sz w:val="1"/>
                <w:szCs w:val="1"/>
                <w:color w:val="auto"/>
              </w:rPr>
            </w:pPr>
          </w:p>
        </w:tc>
        <w:tc>
          <w:tcPr>
            <w:tcW w:w="1980" w:type="dxa"/>
            <w:vAlign w:val="bottom"/>
            <w:vMerge w:val="restart"/>
          </w:tcPr>
          <w:p>
            <w:pPr>
              <w:jc w:val="right"/>
              <w:ind w:right="692"/>
              <w:spacing w:after="0"/>
              <w:rPr>
                <w:sz w:val="20"/>
                <w:szCs w:val="20"/>
                <w:color w:val="auto"/>
              </w:rPr>
            </w:pPr>
            <w:r>
              <w:rPr>
                <w:rFonts w:ascii="Arial" w:cs="Arial" w:eastAsia="Arial" w:hAnsi="Arial"/>
                <w:sz w:val="18"/>
                <w:szCs w:val="18"/>
                <w:color w:val="auto"/>
              </w:rPr>
              <w:t>7</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100" w:type="dxa"/>
            <w:vAlign w:val="bottom"/>
          </w:tcPr>
          <w:p>
            <w:pPr>
              <w:spacing w:after="0"/>
              <w:rPr>
                <w:sz w:val="24"/>
                <w:szCs w:val="24"/>
                <w:color w:val="auto"/>
              </w:rPr>
            </w:pPr>
          </w:p>
        </w:tc>
        <w:tc>
          <w:tcPr>
            <w:tcW w:w="198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54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480"/>
              <w:spacing w:after="0"/>
              <w:rPr>
                <w:sz w:val="20"/>
                <w:szCs w:val="20"/>
                <w:color w:val="auto"/>
              </w:rPr>
            </w:pPr>
            <w:r>
              <w:rPr>
                <w:rFonts w:ascii="Arial" w:cs="Arial" w:eastAsia="Arial" w:hAnsi="Arial"/>
                <w:sz w:val="14"/>
                <w:szCs w:val="14"/>
                <w:b w:val="1"/>
                <w:bCs w:val="1"/>
                <w:color w:val="auto"/>
                <w:w w:val="92"/>
              </w:rPr>
              <w:t>As of January 28, 2012</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540" w:type="dxa"/>
            <w:vAlign w:val="bottom"/>
          </w:tcPr>
          <w:p>
            <w:pPr>
              <w:spacing w:after="0"/>
              <w:rPr>
                <w:sz w:val="11"/>
                <w:szCs w:val="11"/>
                <w:color w:val="auto"/>
              </w:rPr>
            </w:pPr>
          </w:p>
        </w:tc>
        <w:tc>
          <w:tcPr>
            <w:tcW w:w="1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8"/>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54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7"/>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454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7"/>
              <w:spacing w:after="0"/>
              <w:rPr>
                <w:sz w:val="20"/>
                <w:szCs w:val="20"/>
                <w:color w:val="auto"/>
              </w:rPr>
            </w:pPr>
            <w:r>
              <w:rPr>
                <w:rFonts w:ascii="Arial" w:cs="Arial" w:eastAsia="Arial" w:hAnsi="Arial"/>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8"/>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45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5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685,563</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3,081</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(799)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687,845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ind w:left="440"/>
              <w:spacing w:after="0"/>
              <w:rPr>
                <w:sz w:val="20"/>
                <w:szCs w:val="20"/>
                <w:color w:val="auto"/>
              </w:rPr>
            </w:pPr>
            <w:r>
              <w:rPr>
                <w:rFonts w:ascii="Arial" w:cs="Arial" w:eastAsia="Arial" w:hAnsi="Arial"/>
                <w:sz w:val="18"/>
                <w:szCs w:val="18"/>
                <w:color w:val="auto"/>
              </w:rPr>
              <w:t>Foreign government</w:t>
            </w:r>
          </w:p>
        </w:tc>
        <w:tc>
          <w:tcPr>
            <w:tcW w:w="1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2,033</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2,036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U.S. federal and state debt securities</w:t>
            </w:r>
          </w:p>
        </w:tc>
        <w:tc>
          <w:tcPr>
            <w:tcW w:w="1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770,298</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1,437</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(20)</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771,715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40" w:type="dxa"/>
            <w:vAlign w:val="bottom"/>
            <w:vMerge w:val="restart"/>
          </w:tcPr>
          <w:p>
            <w:pPr>
              <w:spacing w:after="0"/>
              <w:rPr>
                <w:sz w:val="20"/>
                <w:szCs w:val="20"/>
                <w:color w:val="auto"/>
              </w:rPr>
            </w:pPr>
            <w:r>
              <w:rPr>
                <w:rFonts w:ascii="Arial" w:cs="Arial" w:eastAsia="Arial" w:hAnsi="Arial"/>
                <w:sz w:val="18"/>
                <w:szCs w:val="18"/>
                <w:color w:val="auto"/>
              </w:rPr>
              <w:t>Total short-term investments</w:t>
            </w:r>
          </w:p>
        </w:tc>
        <w:tc>
          <w:tcPr>
            <w:tcW w:w="15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540" w:type="dxa"/>
            <w:vAlign w:val="bottom"/>
            <w:vMerge w:val="continue"/>
          </w:tcPr>
          <w:p>
            <w:pPr>
              <w:spacing w:after="0"/>
              <w:rPr>
                <w:sz w:val="19"/>
                <w:szCs w:val="19"/>
                <w:color w:val="auto"/>
              </w:rPr>
            </w:pPr>
          </w:p>
        </w:tc>
        <w:tc>
          <w:tcPr>
            <w:tcW w:w="16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1,457,894</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4,521</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(819)</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1,461,596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45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24,500</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(1,285)</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40" w:type="dxa"/>
            <w:vAlign w:val="bottom"/>
            <w:vMerge w:val="restart"/>
          </w:tcPr>
          <w:p>
            <w:pPr>
              <w:spacing w:after="0"/>
              <w:rPr>
                <w:sz w:val="20"/>
                <w:szCs w:val="20"/>
                <w:color w:val="auto"/>
              </w:rPr>
            </w:pPr>
            <w:r>
              <w:rPr>
                <w:rFonts w:ascii="Arial" w:cs="Arial" w:eastAsia="Arial" w:hAnsi="Arial"/>
                <w:sz w:val="18"/>
                <w:szCs w:val="18"/>
                <w:color w:val="auto"/>
              </w:rPr>
              <w:t>Total long-term investments</w:t>
            </w:r>
          </w:p>
        </w:tc>
        <w:tc>
          <w:tcPr>
            <w:tcW w:w="15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540" w:type="dxa"/>
            <w:vAlign w:val="bottom"/>
            <w:vMerge w:val="continue"/>
          </w:tcPr>
          <w:p>
            <w:pPr>
              <w:spacing w:after="0"/>
              <w:rPr>
                <w:sz w:val="19"/>
                <w:szCs w:val="19"/>
                <w:color w:val="auto"/>
              </w:rPr>
            </w:pPr>
          </w:p>
        </w:tc>
        <w:tc>
          <w:tcPr>
            <w:tcW w:w="16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24,500</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(1,285)</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54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1,482,394</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4,521</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(2,104)</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1,484,811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4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0" w:firstLine="456"/>
        <w:spacing w:after="0" w:line="310" w:lineRule="auto"/>
        <w:rPr>
          <w:sz w:val="20"/>
          <w:szCs w:val="20"/>
          <w:color w:val="auto"/>
        </w:rPr>
      </w:pPr>
      <w:r>
        <w:rPr>
          <w:rFonts w:ascii="Arial" w:cs="Arial" w:eastAsia="Arial" w:hAnsi="Arial"/>
          <w:sz w:val="15"/>
          <w:szCs w:val="15"/>
          <w:color w:val="auto"/>
        </w:rPr>
        <w:t>As of July 28, 2012, the Company’s investment portfolio included auction rate securities with an aggregate par value of $19.5 million. To estimate the fair value of the auction rate securities, the Company uses a discounted cash flow model based on estimated timing and amount of future interest and principal payments. In developing the cash flow model, the Company considers the credit quality and liquidity of the underlying securities and related issuer, the collateralization of underlying security investments and other considerations. The fair value of the auction rate securities as of July 28, 2012 was $1.4 million less than the par value and was recorded in long-term investments. Based on the Company’s balance of approximately $2.1 billion in cash, cash equivalents and short-term investments, and the fact that the Company continues to generate positive cash flow from operations on a quarterly basis, the Company does not anticipate having to sell these securities below par value and does not have the intent to sell these auction rate securities until recovery. Since the Company considers the impairment to be temporary, the Company recorded the unrealized loss to accumulated other comprehensive income, a component of shareholders’ equity.</w:t>
      </w:r>
    </w:p>
    <w:p>
      <w:pPr>
        <w:spacing w:after="0" w:line="108"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contractual maturities of available-for-sale securities at July 28, 2012 and January 28, 2012 are presented in the following table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00" w:type="dxa"/>
            <w:vAlign w:val="bottom"/>
            <w:gridSpan w:val="6"/>
          </w:tcPr>
          <w:p>
            <w:pPr>
              <w:jc w:val="right"/>
              <w:ind w:right="820"/>
              <w:spacing w:after="0"/>
              <w:rPr>
                <w:sz w:val="20"/>
                <w:szCs w:val="20"/>
                <w:color w:val="auto"/>
              </w:rPr>
            </w:pPr>
            <w:r>
              <w:rPr>
                <w:rFonts w:ascii="Arial" w:cs="Arial" w:eastAsia="Arial" w:hAnsi="Arial"/>
                <w:sz w:val="14"/>
                <w:szCs w:val="14"/>
                <w:b w:val="1"/>
                <w:bCs w:val="1"/>
                <w:color w:val="auto"/>
              </w:rPr>
              <w:t>July 28, 2012</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0" w:type="dxa"/>
            <w:vAlign w:val="bottom"/>
            <w:gridSpan w:val="5"/>
          </w:tcPr>
          <w:p>
            <w:pPr>
              <w:ind w:left="420"/>
              <w:spacing w:after="0"/>
              <w:rPr>
                <w:sz w:val="20"/>
                <w:szCs w:val="20"/>
                <w:color w:val="auto"/>
              </w:rPr>
            </w:pPr>
            <w:r>
              <w:rPr>
                <w:rFonts w:ascii="Arial" w:cs="Arial" w:eastAsia="Arial" w:hAnsi="Arial"/>
                <w:sz w:val="14"/>
                <w:szCs w:val="14"/>
                <w:b w:val="1"/>
                <w:bCs w:val="1"/>
                <w:color w:val="auto"/>
              </w:rPr>
              <w:t>January 28, 2012</w:t>
            </w:r>
          </w:p>
        </w:tc>
      </w:tr>
      <w:tr>
        <w:trPr>
          <w:trHeight w:val="129"/>
        </w:trPr>
        <w:tc>
          <w:tcPr>
            <w:tcW w:w="60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gridSpan w:val="3"/>
          </w:tcPr>
          <w:p>
            <w:pPr>
              <w:jc w:val="center"/>
              <w:ind w:right="500"/>
              <w:spacing w:after="0" w:line="129" w:lineRule="exact"/>
              <w:rPr>
                <w:sz w:val="20"/>
                <w:szCs w:val="20"/>
                <w:color w:val="auto"/>
              </w:rPr>
            </w:pPr>
            <w:r>
              <w:rPr>
                <w:rFonts w:ascii="Arial" w:cs="Arial" w:eastAsia="Arial" w:hAnsi="Arial"/>
                <w:sz w:val="14"/>
                <w:szCs w:val="14"/>
                <w:b w:val="1"/>
                <w:bCs w:val="1"/>
                <w:color w:val="auto"/>
                <w:w w:val="87"/>
              </w:rPr>
              <w:t>Amortized</w:t>
            </w: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9"/>
              <w:spacing w:after="0" w:line="129" w:lineRule="exact"/>
              <w:rPr>
                <w:sz w:val="20"/>
                <w:szCs w:val="20"/>
                <w:color w:val="auto"/>
              </w:rPr>
            </w:pPr>
            <w:r>
              <w:rPr>
                <w:rFonts w:ascii="Arial" w:cs="Arial" w:eastAsia="Arial" w:hAnsi="Arial"/>
                <w:sz w:val="14"/>
                <w:szCs w:val="14"/>
                <w:b w:val="1"/>
                <w:bCs w:val="1"/>
                <w:color w:val="auto"/>
                <w:w w:val="86"/>
              </w:rPr>
              <w:t>Estimated</w:t>
            </w: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
              <w:spacing w:after="0" w:line="129" w:lineRule="exact"/>
              <w:rPr>
                <w:sz w:val="20"/>
                <w:szCs w:val="20"/>
                <w:color w:val="auto"/>
              </w:rPr>
            </w:pPr>
            <w:r>
              <w:rPr>
                <w:rFonts w:ascii="Arial" w:cs="Arial" w:eastAsia="Arial" w:hAnsi="Arial"/>
                <w:sz w:val="14"/>
                <w:szCs w:val="14"/>
                <w:b w:val="1"/>
                <w:bCs w:val="1"/>
                <w:color w:val="auto"/>
                <w:w w:val="87"/>
              </w:rPr>
              <w:t>Amortized</w:t>
            </w:r>
          </w:p>
        </w:tc>
        <w:tc>
          <w:tcPr>
            <w:tcW w:w="4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w w:val="98"/>
              </w:rPr>
              <w:t>Estimated</w:t>
            </w:r>
          </w:p>
        </w:tc>
        <w:tc>
          <w:tcPr>
            <w:tcW w:w="100" w:type="dxa"/>
            <w:vAlign w:val="bottom"/>
          </w:tcPr>
          <w:p>
            <w:pPr>
              <w:spacing w:after="0"/>
              <w:rPr>
                <w:sz w:val="11"/>
                <w:szCs w:val="11"/>
                <w:color w:val="auto"/>
              </w:rPr>
            </w:pPr>
          </w:p>
        </w:tc>
      </w:tr>
      <w:tr>
        <w:trPr>
          <w:trHeight w:val="161"/>
        </w:trPr>
        <w:tc>
          <w:tcPr>
            <w:tcW w:w="6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3"/>
          </w:tcPr>
          <w:p>
            <w:pPr>
              <w:jc w:val="center"/>
              <w:ind w:right="480"/>
              <w:spacing w:after="0"/>
              <w:rPr>
                <w:sz w:val="20"/>
                <w:szCs w:val="20"/>
                <w:color w:val="auto"/>
              </w:rPr>
            </w:pPr>
            <w:r>
              <w:rPr>
                <w:rFonts w:ascii="Arial" w:cs="Arial" w:eastAsia="Arial" w:hAnsi="Arial"/>
                <w:sz w:val="14"/>
                <w:szCs w:val="14"/>
                <w:b w:val="1"/>
                <w:bCs w:val="1"/>
                <w:color w:val="auto"/>
                <w:w w:val="83"/>
              </w:rPr>
              <w:t>Cost</w:t>
            </w:r>
          </w:p>
        </w:tc>
        <w:tc>
          <w:tcPr>
            <w:tcW w:w="100" w:type="dxa"/>
            <w:vAlign w:val="bottom"/>
          </w:tcPr>
          <w:p>
            <w:pPr>
              <w:spacing w:after="0"/>
              <w:rPr>
                <w:sz w:val="14"/>
                <w:szCs w:val="14"/>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6"/>
              </w:rPr>
              <w:t>Fair Value</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181"/>
              <w:spacing w:after="0"/>
              <w:rPr>
                <w:sz w:val="20"/>
                <w:szCs w:val="20"/>
                <w:color w:val="auto"/>
              </w:rPr>
            </w:pPr>
            <w:r>
              <w:rPr>
                <w:rFonts w:ascii="Arial" w:cs="Arial" w:eastAsia="Arial" w:hAnsi="Arial"/>
                <w:sz w:val="14"/>
                <w:szCs w:val="14"/>
                <w:b w:val="1"/>
                <w:bCs w:val="1"/>
                <w:color w:val="auto"/>
              </w:rPr>
              <w:t>Cost</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60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565,566</w:t>
            </w:r>
          </w:p>
        </w:tc>
        <w:tc>
          <w:tcPr>
            <w:tcW w:w="2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566,593</w:t>
            </w:r>
          </w:p>
        </w:tc>
        <w:tc>
          <w:tcPr>
            <w:tcW w:w="2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641,433</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642,317</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00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00" w:type="dxa"/>
            <w:vAlign w:val="bottom"/>
          </w:tcPr>
          <w:p>
            <w:pPr>
              <w:spacing w:after="0"/>
              <w:rPr>
                <w:sz w:val="18"/>
                <w:szCs w:val="18"/>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655,445</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658,976</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816,461</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819,279</w:t>
            </w:r>
          </w:p>
        </w:tc>
        <w:tc>
          <w:tcPr>
            <w:tcW w:w="100" w:type="dxa"/>
            <w:vAlign w:val="bottom"/>
          </w:tcPr>
          <w:p>
            <w:pPr>
              <w:spacing w:after="0"/>
              <w:rPr>
                <w:sz w:val="18"/>
                <w:szCs w:val="18"/>
                <w:color w:val="auto"/>
              </w:rPr>
            </w:pPr>
          </w:p>
        </w:tc>
      </w:tr>
      <w:tr>
        <w:trPr>
          <w:trHeight w:val="216"/>
        </w:trPr>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21,999</w:t>
            </w: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20,619</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24,500</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shd w:val="clear" w:color="auto" w:fill="CCEEFF"/>
          </w:tcPr>
          <w:p>
            <w:pPr>
              <w:spacing w:after="0"/>
              <w:rPr>
                <w:sz w:val="18"/>
                <w:szCs w:val="18"/>
                <w:color w:val="auto"/>
              </w:rPr>
            </w:pPr>
          </w:p>
        </w:tc>
      </w:tr>
      <w:tr>
        <w:trPr>
          <w:trHeight w:val="20"/>
        </w:trPr>
        <w:tc>
          <w:tcPr>
            <w:tcW w:w="60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22"/>
        </w:trPr>
        <w:tc>
          <w:tcPr>
            <w:tcW w:w="60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1,243,010</w:t>
            </w: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1,246,188</w:t>
            </w:r>
          </w:p>
        </w:tc>
        <w:tc>
          <w:tcPr>
            <w:tcW w:w="3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1,482,394</w:t>
            </w:r>
          </w:p>
        </w:tc>
        <w:tc>
          <w:tcPr>
            <w:tcW w:w="5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1,484,811</w:t>
            </w:r>
          </w:p>
        </w:tc>
        <w:tc>
          <w:tcPr>
            <w:tcW w:w="100" w:type="dxa"/>
            <w:vAlign w:val="bottom"/>
          </w:tcPr>
          <w:p>
            <w:pPr>
              <w:spacing w:after="0"/>
              <w:rPr>
                <w:sz w:val="19"/>
                <w:szCs w:val="19"/>
                <w:color w:val="auto"/>
              </w:rPr>
            </w:pPr>
          </w:p>
        </w:tc>
      </w:tr>
      <w:tr>
        <w:trPr>
          <w:trHeight w:val="20"/>
        </w:trPr>
        <w:tc>
          <w:tcPr>
            <w:tcW w:w="60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40" w:firstLine="456"/>
        <w:spacing w:after="0" w:line="370" w:lineRule="auto"/>
        <w:rPr>
          <w:sz w:val="20"/>
          <w:szCs w:val="20"/>
          <w:color w:val="auto"/>
        </w:rPr>
      </w:pPr>
      <w:r>
        <w:rPr>
          <w:rFonts w:ascii="Arial" w:cs="Arial" w:eastAsia="Arial" w:hAnsi="Arial"/>
          <w:sz w:val="15"/>
          <w:szCs w:val="15"/>
          <w:color w:val="auto"/>
        </w:rPr>
        <w:t>For individual securities that have been in a continuous unrealized loss position, the fair value and gross unrealized loss at July 28, 2012 and January 28, 2012 for these securities aggregated by investment category and length of time in an unrealized position are presented in the following tables (in thousands):</w:t>
      </w:r>
    </w:p>
    <w:p>
      <w:pPr>
        <w:spacing w:after="0" w:line="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12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720" w:type="dxa"/>
            <w:vAlign w:val="bottom"/>
            <w:tcBorders>
              <w:bottom w:val="single" w:sz="8" w:color="auto"/>
            </w:tcBorders>
            <w:gridSpan w:val="6"/>
          </w:tcPr>
          <w:p>
            <w:pPr>
              <w:jc w:val="right"/>
              <w:ind w:right="680"/>
              <w:spacing w:after="0"/>
              <w:rPr>
                <w:sz w:val="20"/>
                <w:szCs w:val="20"/>
                <w:color w:val="auto"/>
              </w:rPr>
            </w:pPr>
            <w:r>
              <w:rPr>
                <w:rFonts w:ascii="Arial" w:cs="Arial" w:eastAsia="Arial" w:hAnsi="Arial"/>
                <w:sz w:val="14"/>
                <w:szCs w:val="14"/>
                <w:b w:val="1"/>
                <w:bCs w:val="1"/>
                <w:color w:val="auto"/>
              </w:rPr>
              <w:t>July 28, 2012</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12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20" w:type="dxa"/>
            <w:vAlign w:val="bottom"/>
            <w:gridSpan w:val="6"/>
          </w:tcPr>
          <w:p>
            <w:pPr>
              <w:ind w:left="120"/>
              <w:spacing w:after="0" w:line="142" w:lineRule="exact"/>
              <w:rPr>
                <w:sz w:val="20"/>
                <w:szCs w:val="20"/>
                <w:color w:val="auto"/>
              </w:rPr>
            </w:pPr>
            <w:r>
              <w:rPr>
                <w:rFonts w:ascii="Arial" w:cs="Arial" w:eastAsia="Arial" w:hAnsi="Arial"/>
                <w:sz w:val="14"/>
                <w:szCs w:val="14"/>
                <w:b w:val="1"/>
                <w:bCs w:val="1"/>
                <w:color w:val="auto"/>
              </w:rPr>
              <w:t>Less than 12 months</w:t>
            </w:r>
          </w:p>
        </w:tc>
        <w:tc>
          <w:tcPr>
            <w:tcW w:w="100" w:type="dxa"/>
            <w:vAlign w:val="bottom"/>
          </w:tcPr>
          <w:p>
            <w:pPr>
              <w:spacing w:after="0"/>
              <w:rPr>
                <w:sz w:val="12"/>
                <w:szCs w:val="12"/>
                <w:color w:val="auto"/>
              </w:rPr>
            </w:pPr>
          </w:p>
        </w:tc>
        <w:tc>
          <w:tcPr>
            <w:tcW w:w="1720" w:type="dxa"/>
            <w:vAlign w:val="bottom"/>
            <w:gridSpan w:val="6"/>
          </w:tcPr>
          <w:p>
            <w:pPr>
              <w:jc w:val="right"/>
              <w:ind w:right="520"/>
              <w:spacing w:after="0" w:line="142" w:lineRule="exact"/>
              <w:rPr>
                <w:sz w:val="20"/>
                <w:szCs w:val="20"/>
                <w:color w:val="auto"/>
              </w:rPr>
            </w:pPr>
            <w:r>
              <w:rPr>
                <w:rFonts w:ascii="Arial" w:cs="Arial" w:eastAsia="Arial" w:hAnsi="Arial"/>
                <w:sz w:val="14"/>
                <w:szCs w:val="14"/>
                <w:b w:val="1"/>
                <w:bCs w:val="1"/>
                <w:color w:val="auto"/>
                <w:w w:val="93"/>
              </w:rPr>
              <w:t>12 months or more</w:t>
            </w:r>
          </w:p>
        </w:tc>
        <w:tc>
          <w:tcPr>
            <w:tcW w:w="100" w:type="dxa"/>
            <w:vAlign w:val="bottom"/>
          </w:tcPr>
          <w:p>
            <w:pPr>
              <w:spacing w:after="0"/>
              <w:rPr>
                <w:sz w:val="12"/>
                <w:szCs w:val="12"/>
                <w:color w:val="auto"/>
              </w:rPr>
            </w:pPr>
          </w:p>
        </w:tc>
        <w:tc>
          <w:tcPr>
            <w:tcW w:w="880" w:type="dxa"/>
            <w:vAlign w:val="bottom"/>
            <w:gridSpan w:val="2"/>
          </w:tcPr>
          <w:p>
            <w:pPr>
              <w:ind w:left="560"/>
              <w:spacing w:after="0" w:line="142" w:lineRule="exact"/>
              <w:rPr>
                <w:sz w:val="20"/>
                <w:szCs w:val="20"/>
                <w:color w:val="auto"/>
              </w:rPr>
            </w:pPr>
            <w:r>
              <w:rPr>
                <w:rFonts w:ascii="Arial" w:cs="Arial" w:eastAsia="Arial" w:hAnsi="Arial"/>
                <w:sz w:val="14"/>
                <w:szCs w:val="14"/>
                <w:b w:val="1"/>
                <w:bCs w:val="1"/>
                <w:color w:val="auto"/>
                <w:w w:val="89"/>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412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gridSpan w:val="2"/>
          </w:tcPr>
          <w:p>
            <w:pPr>
              <w:ind w:left="120"/>
              <w:spacing w:after="0" w:line="129" w:lineRule="exact"/>
              <w:rPr>
                <w:sz w:val="20"/>
                <w:szCs w:val="20"/>
                <w:color w:val="auto"/>
              </w:rPr>
            </w:pPr>
            <w:r>
              <w:rPr>
                <w:rFonts w:ascii="Arial" w:cs="Arial" w:eastAsia="Arial" w:hAnsi="Arial"/>
                <w:sz w:val="14"/>
                <w:szCs w:val="14"/>
                <w:b w:val="1"/>
                <w:bCs w:val="1"/>
                <w:color w:val="auto"/>
              </w:rPr>
              <w:t>Fair</w:t>
            </w:r>
          </w:p>
        </w:tc>
        <w:tc>
          <w:tcPr>
            <w:tcW w:w="16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3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rPr>
              <w:t>Fair</w:t>
            </w:r>
          </w:p>
        </w:tc>
        <w:tc>
          <w:tcPr>
            <w:tcW w:w="1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3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12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gridSpan w:val="2"/>
          </w:tcPr>
          <w:p>
            <w:pPr>
              <w:ind w:left="80"/>
              <w:spacing w:after="0"/>
              <w:rPr>
                <w:sz w:val="20"/>
                <w:szCs w:val="20"/>
                <w:color w:val="auto"/>
              </w:rPr>
            </w:pPr>
            <w:r>
              <w:rPr>
                <w:rFonts w:ascii="Arial" w:cs="Arial" w:eastAsia="Arial" w:hAnsi="Arial"/>
                <w:sz w:val="14"/>
                <w:szCs w:val="14"/>
                <w:b w:val="1"/>
                <w:bCs w:val="1"/>
                <w:color w:val="auto"/>
              </w:rPr>
              <w:t>Value</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gridSpan w:val="2"/>
          </w:tcPr>
          <w:p>
            <w:pPr>
              <w:ind w:left="40"/>
              <w:spacing w:after="0"/>
              <w:rPr>
                <w:sz w:val="20"/>
                <w:szCs w:val="20"/>
                <w:color w:val="auto"/>
              </w:rPr>
            </w:pPr>
            <w:r>
              <w:rPr>
                <w:rFonts w:ascii="Arial" w:cs="Arial" w:eastAsia="Arial" w:hAnsi="Arial"/>
                <w:sz w:val="14"/>
                <w:szCs w:val="14"/>
                <w:b w:val="1"/>
                <w:bCs w:val="1"/>
                <w:color w:val="auto"/>
              </w:rPr>
              <w:t>Loss</w:t>
            </w:r>
          </w:p>
        </w:tc>
        <w:tc>
          <w:tcPr>
            <w:tcW w:w="100" w:type="dxa"/>
            <w:vAlign w:val="bottom"/>
          </w:tcPr>
          <w:p>
            <w:pPr>
              <w:spacing w:after="0"/>
              <w:rPr>
                <w:sz w:val="14"/>
                <w:szCs w:val="14"/>
                <w:color w:val="auto"/>
              </w:rPr>
            </w:pPr>
          </w:p>
        </w:tc>
        <w:tc>
          <w:tcPr>
            <w:tcW w:w="64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w w:val="90"/>
              </w:rPr>
              <w:t>Value</w:t>
            </w: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85"/>
              </w:rPr>
              <w:t>Loss</w:t>
            </w:r>
          </w:p>
        </w:tc>
        <w:tc>
          <w:tcPr>
            <w:tcW w:w="100" w:type="dxa"/>
            <w:vAlign w:val="bottom"/>
          </w:tcPr>
          <w:p>
            <w:pPr>
              <w:spacing w:after="0"/>
              <w:rPr>
                <w:sz w:val="14"/>
                <w:szCs w:val="14"/>
                <w:color w:val="auto"/>
              </w:rPr>
            </w:pPr>
          </w:p>
        </w:tc>
        <w:tc>
          <w:tcPr>
            <w:tcW w:w="88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41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18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36,290</w:t>
            </w: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ind w:left="260"/>
              <w:spacing w:after="0"/>
              <w:rPr>
                <w:sz w:val="20"/>
                <w:szCs w:val="20"/>
                <w:color w:val="auto"/>
              </w:rPr>
            </w:pPr>
            <w:r>
              <w:rPr>
                <w:rFonts w:ascii="Arial" w:cs="Arial" w:eastAsia="Arial" w:hAnsi="Arial"/>
                <w:sz w:val="16"/>
                <w:szCs w:val="16"/>
                <w:color w:val="auto"/>
                <w:w w:val="77"/>
              </w:rPr>
              <w:t>(32)</w:t>
            </w:r>
          </w:p>
        </w:tc>
        <w:tc>
          <w:tcPr>
            <w:tcW w:w="3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4,852</w:t>
            </w: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3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41,142</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U.S. federal and state debt securities</w:t>
            </w:r>
          </w:p>
        </w:tc>
        <w:tc>
          <w:tcPr>
            <w:tcW w:w="18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91,791</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ind w:left="260"/>
              <w:spacing w:after="0"/>
              <w:rPr>
                <w:sz w:val="20"/>
                <w:szCs w:val="20"/>
                <w:color w:val="auto"/>
              </w:rPr>
            </w:pPr>
            <w:r>
              <w:rPr>
                <w:rFonts w:ascii="Arial" w:cs="Arial" w:eastAsia="Arial" w:hAnsi="Arial"/>
                <w:sz w:val="18"/>
                <w:szCs w:val="18"/>
                <w:color w:val="auto"/>
              </w:rPr>
              <w:t>(19)</w:t>
            </w:r>
          </w:p>
        </w:tc>
        <w:tc>
          <w:tcPr>
            <w:tcW w:w="100" w:type="dxa"/>
            <w:vAlign w:val="bottom"/>
          </w:tcPr>
          <w:p>
            <w:pPr>
              <w:spacing w:after="0"/>
              <w:rPr>
                <w:sz w:val="18"/>
                <w:szCs w:val="18"/>
                <w:color w:val="auto"/>
              </w:rPr>
            </w:pPr>
          </w:p>
        </w:tc>
        <w:tc>
          <w:tcPr>
            <w:tcW w:w="6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91,791</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18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3"/>
              </w:rPr>
              <w:t>18,103</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4"/>
              </w:rPr>
              <w:t>(1,397)</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18,103</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(1,397)</w:t>
            </w:r>
          </w:p>
        </w:tc>
        <w:tc>
          <w:tcPr>
            <w:tcW w:w="0" w:type="dxa"/>
            <w:vAlign w:val="bottom"/>
          </w:tcPr>
          <w:p>
            <w:pPr>
              <w:spacing w:after="0"/>
              <w:rPr>
                <w:sz w:val="1"/>
                <w:szCs w:val="1"/>
                <w:color w:val="auto"/>
              </w:rPr>
            </w:pPr>
          </w:p>
        </w:tc>
      </w:tr>
      <w:tr>
        <w:trPr>
          <w:trHeight w:val="20"/>
        </w:trPr>
        <w:tc>
          <w:tcPr>
            <w:tcW w:w="412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18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120" w:type="dxa"/>
            <w:vAlign w:val="bottom"/>
            <w:vMerge w:val="continue"/>
          </w:tcPr>
          <w:p>
            <w:pPr>
              <w:spacing w:after="0"/>
              <w:rPr>
                <w:sz w:val="19"/>
                <w:szCs w:val="19"/>
                <w:color w:val="auto"/>
              </w:rPr>
            </w:pPr>
          </w:p>
        </w:tc>
        <w:tc>
          <w:tcPr>
            <w:tcW w:w="184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128,081</w:t>
            </w:r>
          </w:p>
        </w:tc>
        <w:tc>
          <w:tcPr>
            <w:tcW w:w="140" w:type="dxa"/>
            <w:vAlign w:val="bottom"/>
          </w:tcPr>
          <w:p>
            <w:pPr>
              <w:spacing w:after="0"/>
              <w:rPr>
                <w:sz w:val="19"/>
                <w:szCs w:val="19"/>
                <w:color w:val="auto"/>
              </w:rPr>
            </w:pPr>
          </w:p>
        </w:tc>
        <w:tc>
          <w:tcPr>
            <w:tcW w:w="30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800" w:type="dxa"/>
            <w:vAlign w:val="bottom"/>
            <w:gridSpan w:val="2"/>
          </w:tcPr>
          <w:p>
            <w:pPr>
              <w:ind w:left="260"/>
              <w:spacing w:after="0"/>
              <w:rPr>
                <w:sz w:val="20"/>
                <w:szCs w:val="20"/>
                <w:color w:val="auto"/>
              </w:rPr>
            </w:pPr>
            <w:r>
              <w:rPr>
                <w:rFonts w:ascii="Arial" w:cs="Arial" w:eastAsia="Arial" w:hAnsi="Arial"/>
                <w:sz w:val="18"/>
                <w:szCs w:val="18"/>
                <w:color w:val="auto"/>
              </w:rPr>
              <w:t>(51)</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640" w:type="dxa"/>
            <w:vAlign w:val="bottom"/>
            <w:gridSpan w:val="2"/>
          </w:tcPr>
          <w:p>
            <w:pPr>
              <w:jc w:val="right"/>
              <w:ind w:right="160"/>
              <w:spacing w:after="0"/>
              <w:rPr>
                <w:sz w:val="20"/>
                <w:szCs w:val="20"/>
                <w:color w:val="auto"/>
              </w:rPr>
            </w:pPr>
            <w:r>
              <w:rPr>
                <w:rFonts w:ascii="Arial" w:cs="Arial" w:eastAsia="Arial" w:hAnsi="Arial"/>
                <w:sz w:val="18"/>
                <w:szCs w:val="18"/>
                <w:color w:val="auto"/>
                <w:w w:val="83"/>
              </w:rPr>
              <w:t>22,955</w:t>
            </w:r>
          </w:p>
        </w:tc>
        <w:tc>
          <w:tcPr>
            <w:tcW w:w="28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240"/>
              <w:spacing w:after="0"/>
              <w:rPr>
                <w:sz w:val="20"/>
                <w:szCs w:val="20"/>
                <w:color w:val="auto"/>
              </w:rPr>
            </w:pPr>
            <w:r>
              <w:rPr>
                <w:rFonts w:ascii="Arial" w:cs="Arial" w:eastAsia="Arial" w:hAnsi="Arial"/>
                <w:sz w:val="18"/>
                <w:szCs w:val="18"/>
                <w:color w:val="auto"/>
                <w:w w:val="94"/>
              </w:rPr>
              <w:t>(1,420)</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151,036</w:t>
            </w:r>
          </w:p>
        </w:tc>
        <w:tc>
          <w:tcPr>
            <w:tcW w:w="30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(1,471)</w:t>
            </w:r>
          </w:p>
        </w:tc>
        <w:tc>
          <w:tcPr>
            <w:tcW w:w="0" w:type="dxa"/>
            <w:vAlign w:val="bottom"/>
          </w:tcPr>
          <w:p>
            <w:pPr>
              <w:spacing w:after="0"/>
              <w:rPr>
                <w:sz w:val="1"/>
                <w:szCs w:val="1"/>
                <w:color w:val="auto"/>
              </w:rPr>
            </w:pPr>
          </w:p>
        </w:tc>
      </w:tr>
      <w:tr>
        <w:trPr>
          <w:trHeight w:val="20"/>
        </w:trPr>
        <w:tc>
          <w:tcPr>
            <w:tcW w:w="4120" w:type="dxa"/>
            <w:vAlign w:val="bottom"/>
          </w:tcPr>
          <w:p>
            <w:pPr>
              <w:spacing w:after="0" w:line="20" w:lineRule="exact"/>
              <w:rPr>
                <w:sz w:val="1"/>
                <w:szCs w:val="1"/>
                <w:color w:val="auto"/>
              </w:rPr>
            </w:pPr>
          </w:p>
        </w:tc>
        <w:tc>
          <w:tcPr>
            <w:tcW w:w="1840" w:type="dxa"/>
            <w:vAlign w:val="bottom"/>
            <w:vMerge w:val="restart"/>
          </w:tcPr>
          <w:p>
            <w:pPr>
              <w:jc w:val="right"/>
              <w:ind w:right="112"/>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120" w:type="dxa"/>
            <w:vAlign w:val="bottom"/>
          </w:tcPr>
          <w:p>
            <w:pPr>
              <w:spacing w:after="0"/>
              <w:rPr>
                <w:sz w:val="24"/>
                <w:szCs w:val="24"/>
                <w:color w:val="auto"/>
              </w:rPr>
            </w:pPr>
          </w:p>
        </w:tc>
        <w:tc>
          <w:tcPr>
            <w:tcW w:w="18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90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5"/>
          </w:tcPr>
          <w:p>
            <w:pPr>
              <w:jc w:val="center"/>
              <w:ind w:right="280"/>
              <w:spacing w:after="0"/>
              <w:rPr>
                <w:sz w:val="20"/>
                <w:szCs w:val="20"/>
                <w:color w:val="auto"/>
              </w:rPr>
            </w:pPr>
            <w:r>
              <w:rPr>
                <w:rFonts w:ascii="Arial" w:cs="Arial" w:eastAsia="Arial" w:hAnsi="Arial"/>
                <w:sz w:val="14"/>
                <w:szCs w:val="14"/>
                <w:b w:val="1"/>
                <w:bCs w:val="1"/>
                <w:color w:val="auto"/>
                <w:w w:val="87"/>
              </w:rPr>
              <w:t>January 28, 2012</w:t>
            </w: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900" w:type="dxa"/>
            <w:vAlign w:val="bottom"/>
          </w:tcPr>
          <w:p>
            <w:pPr>
              <w:spacing w:after="0"/>
              <w:rPr>
                <w:sz w:val="12"/>
                <w:szCs w:val="12"/>
                <w:color w:val="auto"/>
              </w:rPr>
            </w:pPr>
          </w:p>
        </w:tc>
        <w:tc>
          <w:tcPr>
            <w:tcW w:w="1920" w:type="dxa"/>
            <w:vAlign w:val="bottom"/>
            <w:gridSpan w:val="6"/>
          </w:tcPr>
          <w:p>
            <w:pPr>
              <w:jc w:val="right"/>
              <w:ind w:right="520"/>
              <w:spacing w:after="0" w:line="142" w:lineRule="exact"/>
              <w:rPr>
                <w:sz w:val="20"/>
                <w:szCs w:val="20"/>
                <w:color w:val="auto"/>
              </w:rPr>
            </w:pPr>
            <w:r>
              <w:rPr>
                <w:rFonts w:ascii="Arial" w:cs="Arial" w:eastAsia="Arial" w:hAnsi="Arial"/>
                <w:sz w:val="14"/>
                <w:szCs w:val="14"/>
                <w:b w:val="1"/>
                <w:bCs w:val="1"/>
                <w:color w:val="auto"/>
                <w:w w:val="99"/>
              </w:rPr>
              <w:t>Less than 12 months</w:t>
            </w:r>
          </w:p>
        </w:tc>
        <w:tc>
          <w:tcPr>
            <w:tcW w:w="120" w:type="dxa"/>
            <w:vAlign w:val="bottom"/>
          </w:tcPr>
          <w:p>
            <w:pPr>
              <w:spacing w:after="0"/>
              <w:rPr>
                <w:sz w:val="12"/>
                <w:szCs w:val="12"/>
                <w:color w:val="auto"/>
              </w:rPr>
            </w:pPr>
          </w:p>
        </w:tc>
        <w:tc>
          <w:tcPr>
            <w:tcW w:w="1620" w:type="dxa"/>
            <w:vAlign w:val="bottom"/>
            <w:gridSpan w:val="5"/>
          </w:tcPr>
          <w:p>
            <w:pPr>
              <w:jc w:val="center"/>
              <w:ind w:right="30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98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900" w:type="dxa"/>
            <w:vAlign w:val="bottom"/>
          </w:tcPr>
          <w:p>
            <w:pPr>
              <w:spacing w:after="0"/>
              <w:rPr>
                <w:sz w:val="11"/>
                <w:szCs w:val="11"/>
                <w:color w:val="auto"/>
              </w:rPr>
            </w:pPr>
          </w:p>
        </w:tc>
        <w:tc>
          <w:tcPr>
            <w:tcW w:w="680" w:type="dxa"/>
            <w:vAlign w:val="bottom"/>
            <w:tcBorders>
              <w:top w:val="single" w:sz="8" w:color="auto"/>
            </w:tcBorders>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30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Borders>
              <w:top w:val="single" w:sz="8" w:color="auto"/>
            </w:tcBorders>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900" w:type="dxa"/>
            <w:vAlign w:val="bottom"/>
          </w:tcPr>
          <w:p>
            <w:pPr>
              <w:spacing w:after="0"/>
              <w:rPr>
                <w:sz w:val="14"/>
                <w:szCs w:val="14"/>
                <w:color w:val="auto"/>
              </w:rPr>
            </w:pPr>
          </w:p>
        </w:tc>
        <w:tc>
          <w:tcPr>
            <w:tcW w:w="700" w:type="dxa"/>
            <w:vAlign w:val="bottom"/>
            <w:gridSpan w:val="2"/>
          </w:tcPr>
          <w:p>
            <w:pPr>
              <w:ind w:left="40"/>
              <w:spacing w:after="0"/>
              <w:rPr>
                <w:sz w:val="20"/>
                <w:szCs w:val="20"/>
                <w:color w:val="auto"/>
              </w:rPr>
            </w:pPr>
            <w:r>
              <w:rPr>
                <w:rFonts w:ascii="Arial" w:cs="Arial" w:eastAsia="Arial" w:hAnsi="Arial"/>
                <w:sz w:val="14"/>
                <w:szCs w:val="14"/>
                <w:b w:val="1"/>
                <w:bCs w:val="1"/>
                <w:color w:val="auto"/>
                <w:w w:val="95"/>
              </w:rPr>
              <w:t>Fair Value</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w w:val="91"/>
              </w:rPr>
              <w:t>Loss</w:t>
            </w:r>
          </w:p>
        </w:tc>
        <w:tc>
          <w:tcPr>
            <w:tcW w:w="920" w:type="dxa"/>
            <w:vAlign w:val="bottom"/>
            <w:gridSpan w:val="3"/>
          </w:tcPr>
          <w:p>
            <w:pPr>
              <w:ind w:left="20"/>
              <w:spacing w:after="0"/>
              <w:rPr>
                <w:sz w:val="20"/>
                <w:szCs w:val="20"/>
                <w:color w:val="auto"/>
              </w:rPr>
            </w:pPr>
            <w:r>
              <w:rPr>
                <w:rFonts w:ascii="Arial" w:cs="Arial" w:eastAsia="Arial" w:hAnsi="Arial"/>
                <w:sz w:val="14"/>
                <w:szCs w:val="14"/>
                <w:b w:val="1"/>
                <w:bCs w:val="1"/>
                <w:color w:val="auto"/>
              </w:rPr>
              <w:t>Fair Value</w:t>
            </w:r>
          </w:p>
        </w:tc>
        <w:tc>
          <w:tcPr>
            <w:tcW w:w="14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140" w:type="dxa"/>
            <w:vAlign w:val="bottom"/>
          </w:tcPr>
          <w:p>
            <w:pPr>
              <w:spacing w:after="0"/>
              <w:rPr>
                <w:sz w:val="14"/>
                <w:szCs w:val="14"/>
                <w:color w:val="auto"/>
              </w:rPr>
            </w:pPr>
          </w:p>
        </w:tc>
        <w:tc>
          <w:tcPr>
            <w:tcW w:w="98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92"/>
              </w:rPr>
              <w:t>Fair 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59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$146,963</w:t>
            </w:r>
          </w:p>
        </w:tc>
        <w:tc>
          <w:tcPr>
            <w:tcW w:w="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(799)</w:t>
            </w:r>
          </w:p>
        </w:tc>
        <w:tc>
          <w:tcPr>
            <w:tcW w:w="3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00" w:type="dxa"/>
            <w:vAlign w:val="bottom"/>
            <w:tcBorders>
              <w:top w:val="single" w:sz="8" w:color="auto"/>
            </w:tcBorders>
            <w:shd w:val="clear" w:color="auto" w:fill="CCEEFF"/>
          </w:tcPr>
          <w:p>
            <w:pPr>
              <w:jc w:val="right"/>
              <w:ind w:right="19"/>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$146,963</w:t>
            </w: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900" w:type="dxa"/>
            <w:vAlign w:val="bottom"/>
          </w:tcPr>
          <w:p>
            <w:pPr>
              <w:spacing w:after="0"/>
              <w:rPr>
                <w:sz w:val="20"/>
                <w:szCs w:val="20"/>
                <w:color w:val="auto"/>
              </w:rPr>
            </w:pPr>
            <w:r>
              <w:rPr>
                <w:rFonts w:ascii="Arial" w:cs="Arial" w:eastAsia="Arial" w:hAnsi="Arial"/>
                <w:sz w:val="18"/>
                <w:szCs w:val="18"/>
                <w:color w:val="auto"/>
              </w:rPr>
              <w:t>U.S. federal and state debt securities</w:t>
            </w: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107,603</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40"/>
              <w:spacing w:after="0"/>
              <w:rPr>
                <w:sz w:val="20"/>
                <w:szCs w:val="20"/>
                <w:color w:val="auto"/>
              </w:rPr>
            </w:pPr>
            <w:r>
              <w:rPr>
                <w:rFonts w:ascii="Arial" w:cs="Arial" w:eastAsia="Arial" w:hAnsi="Arial"/>
                <w:sz w:val="18"/>
                <w:szCs w:val="18"/>
                <w:color w:val="auto"/>
              </w:rPr>
              <w:t>(20)</w:t>
            </w:r>
          </w:p>
        </w:tc>
        <w:tc>
          <w:tcPr>
            <w:tcW w:w="120" w:type="dxa"/>
            <w:vAlign w:val="bottom"/>
          </w:tcPr>
          <w:p>
            <w:pPr>
              <w:spacing w:after="0"/>
              <w:rPr>
                <w:sz w:val="18"/>
                <w:szCs w:val="18"/>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107,603</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68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23,215</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(1,285)</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23,215</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(1,285)</w:t>
            </w:r>
          </w:p>
        </w:tc>
        <w:tc>
          <w:tcPr>
            <w:tcW w:w="0" w:type="dxa"/>
            <w:vAlign w:val="bottom"/>
          </w:tcPr>
          <w:p>
            <w:pPr>
              <w:spacing w:after="0"/>
              <w:rPr>
                <w:sz w:val="1"/>
                <w:szCs w:val="1"/>
                <w:color w:val="auto"/>
              </w:rPr>
            </w:pPr>
          </w:p>
        </w:tc>
      </w:tr>
      <w:tr>
        <w:trPr>
          <w:trHeight w:val="20"/>
        </w:trPr>
        <w:tc>
          <w:tcPr>
            <w:tcW w:w="590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900" w:type="dxa"/>
            <w:vAlign w:val="bottom"/>
            <w:vMerge w:val="continue"/>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254,566</w:t>
            </w: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240"/>
              <w:spacing w:after="0"/>
              <w:rPr>
                <w:sz w:val="20"/>
                <w:szCs w:val="20"/>
                <w:color w:val="auto"/>
              </w:rPr>
            </w:pPr>
            <w:r>
              <w:rPr>
                <w:rFonts w:ascii="Arial" w:cs="Arial" w:eastAsia="Arial" w:hAnsi="Arial"/>
                <w:sz w:val="18"/>
                <w:szCs w:val="18"/>
                <w:color w:val="auto"/>
              </w:rPr>
              <w:t>(819)</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w w:val="87"/>
              </w:rPr>
              <w:t>23,215</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80" w:type="dxa"/>
            <w:vAlign w:val="bottom"/>
            <w:gridSpan w:val="2"/>
          </w:tcPr>
          <w:p>
            <w:pPr>
              <w:ind w:left="40"/>
              <w:spacing w:after="0"/>
              <w:rPr>
                <w:sz w:val="20"/>
                <w:szCs w:val="20"/>
                <w:color w:val="auto"/>
              </w:rPr>
            </w:pPr>
            <w:r>
              <w:rPr>
                <w:rFonts w:ascii="Arial" w:cs="Arial" w:eastAsia="Arial" w:hAnsi="Arial"/>
                <w:sz w:val="18"/>
                <w:szCs w:val="18"/>
                <w:color w:val="auto"/>
              </w:rPr>
              <w:t>(1,285)</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277,781</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(2,104)</w:t>
            </w:r>
          </w:p>
        </w:tc>
        <w:tc>
          <w:tcPr>
            <w:tcW w:w="0" w:type="dxa"/>
            <w:vAlign w:val="bottom"/>
          </w:tcPr>
          <w:p>
            <w:pPr>
              <w:spacing w:after="0"/>
              <w:rPr>
                <w:sz w:val="1"/>
                <w:szCs w:val="1"/>
                <w:color w:val="auto"/>
              </w:rPr>
            </w:pPr>
          </w:p>
        </w:tc>
      </w:tr>
      <w:tr>
        <w:trPr>
          <w:trHeight w:val="20"/>
        </w:trPr>
        <w:tc>
          <w:tcPr>
            <w:tcW w:w="59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Supplemental Financial Information (in thousands)</w:t>
      </w:r>
    </w:p>
    <w:p>
      <w:pPr>
        <w:spacing w:after="0" w:line="20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90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2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9"/>
              </w:rPr>
              <w:t>July 28,</w:t>
            </w:r>
          </w:p>
        </w:tc>
        <w:tc>
          <w:tcPr>
            <w:tcW w:w="240" w:type="dxa"/>
            <w:vAlign w:val="bottom"/>
          </w:tcPr>
          <w:p>
            <w:pPr>
              <w:spacing w:after="0"/>
              <w:rPr>
                <w:sz w:val="14"/>
                <w:szCs w:val="14"/>
                <w:color w:val="auto"/>
              </w:rPr>
            </w:pPr>
          </w:p>
        </w:tc>
        <w:tc>
          <w:tcPr>
            <w:tcW w:w="8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8"/>
              </w:rPr>
              <w:t>January 28,</w:t>
            </w:r>
          </w:p>
        </w:tc>
        <w:tc>
          <w:tcPr>
            <w:tcW w:w="0" w:type="dxa"/>
            <w:vAlign w:val="bottom"/>
          </w:tcPr>
          <w:p>
            <w:pPr>
              <w:spacing w:after="0"/>
              <w:rPr>
                <w:sz w:val="1"/>
                <w:szCs w:val="1"/>
                <w:color w:val="auto"/>
              </w:rPr>
            </w:pPr>
          </w:p>
        </w:tc>
      </w:tr>
      <w:tr>
        <w:trPr>
          <w:trHeight w:val="161"/>
        </w:trPr>
        <w:tc>
          <w:tcPr>
            <w:tcW w:w="390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jc w:val="center"/>
              <w:ind w:right="17"/>
              <w:spacing w:after="0"/>
              <w:rPr>
                <w:sz w:val="20"/>
                <w:szCs w:val="20"/>
                <w:color w:val="auto"/>
              </w:rPr>
            </w:pPr>
            <w:r>
              <w:rPr>
                <w:rFonts w:ascii="Arial" w:cs="Arial" w:eastAsia="Arial" w:hAnsi="Arial"/>
                <w:sz w:val="14"/>
                <w:szCs w:val="14"/>
                <w:b w:val="1"/>
                <w:bCs w:val="1"/>
                <w:color w:val="auto"/>
                <w:w w:val="83"/>
              </w:rPr>
              <w:t>2012</w:t>
            </w:r>
          </w:p>
        </w:tc>
        <w:tc>
          <w:tcPr>
            <w:tcW w:w="280" w:type="dxa"/>
            <w:vAlign w:val="bottom"/>
          </w:tcPr>
          <w:p>
            <w:pPr>
              <w:spacing w:after="0"/>
              <w:rPr>
                <w:sz w:val="14"/>
                <w:szCs w:val="14"/>
                <w:color w:val="auto"/>
              </w:rPr>
            </w:pPr>
          </w:p>
        </w:tc>
        <w:tc>
          <w:tcPr>
            <w:tcW w:w="960" w:type="dxa"/>
            <w:vAlign w:val="bottom"/>
            <w:gridSpan w:val="2"/>
          </w:tcPr>
          <w:p>
            <w:pPr>
              <w:jc w:val="center"/>
              <w:ind w:left="155"/>
              <w:spacing w:after="0"/>
              <w:rPr>
                <w:sz w:val="20"/>
                <w:szCs w:val="20"/>
                <w:color w:val="auto"/>
              </w:rPr>
            </w:pPr>
            <w:r>
              <w:rPr>
                <w:rFonts w:ascii="Arial" w:cs="Arial" w:eastAsia="Arial" w:hAnsi="Arial"/>
                <w:sz w:val="14"/>
                <w:szCs w:val="14"/>
                <w:b w:val="1"/>
                <w:bCs w:val="1"/>
                <w:color w:val="auto"/>
                <w:w w:val="89"/>
              </w:rPr>
              <w:t>2012</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Inventories:</w:t>
            </w:r>
          </w:p>
        </w:tc>
        <w:tc>
          <w:tcPr>
            <w:tcW w:w="27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Work-in-process</w:t>
            </w:r>
          </w:p>
        </w:tc>
        <w:tc>
          <w:tcPr>
            <w:tcW w:w="27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160,575</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$ 190,779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27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185,137</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163,340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900" w:type="dxa"/>
            <w:vAlign w:val="bottom"/>
          </w:tcPr>
          <w:p>
            <w:pPr>
              <w:spacing w:after="0"/>
              <w:rPr>
                <w:sz w:val="20"/>
                <w:szCs w:val="20"/>
                <w:color w:val="auto"/>
              </w:rPr>
            </w:pPr>
            <w:r>
              <w:rPr>
                <w:rFonts w:ascii="Arial" w:cs="Arial" w:eastAsia="Arial" w:hAnsi="Arial"/>
                <w:sz w:val="18"/>
                <w:szCs w:val="18"/>
                <w:color w:val="auto"/>
              </w:rPr>
              <w:t>Inventories</w:t>
            </w:r>
          </w:p>
        </w:tc>
        <w:tc>
          <w:tcPr>
            <w:tcW w:w="27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345,712</w:t>
            </w:r>
          </w:p>
        </w:tc>
        <w:tc>
          <w:tcPr>
            <w:tcW w:w="280" w:type="dxa"/>
            <w:vAlign w:val="bottom"/>
          </w:tcPr>
          <w:p>
            <w:pPr>
              <w:spacing w:after="0"/>
              <w:rPr>
                <w:sz w:val="19"/>
                <w:szCs w:val="19"/>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$ 354,119</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7"/>
        </w:trPr>
        <w:tc>
          <w:tcPr>
            <w:tcW w:w="390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92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9"/>
              </w:rPr>
              <w:t>July 28,</w:t>
            </w:r>
          </w:p>
        </w:tc>
        <w:tc>
          <w:tcPr>
            <w:tcW w:w="240" w:type="dxa"/>
            <w:vAlign w:val="bottom"/>
          </w:tcPr>
          <w:p>
            <w:pPr>
              <w:spacing w:after="0"/>
              <w:rPr>
                <w:sz w:val="24"/>
                <w:szCs w:val="24"/>
                <w:color w:val="auto"/>
              </w:rPr>
            </w:pPr>
          </w:p>
        </w:tc>
        <w:tc>
          <w:tcPr>
            <w:tcW w:w="8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8"/>
              </w:rPr>
              <w:t>January 28,</w:t>
            </w:r>
          </w:p>
        </w:tc>
        <w:tc>
          <w:tcPr>
            <w:tcW w:w="0" w:type="dxa"/>
            <w:vAlign w:val="bottom"/>
          </w:tcPr>
          <w:p>
            <w:pPr>
              <w:spacing w:after="0"/>
              <w:rPr>
                <w:sz w:val="1"/>
                <w:szCs w:val="1"/>
                <w:color w:val="auto"/>
              </w:rPr>
            </w:pPr>
          </w:p>
        </w:tc>
      </w:tr>
      <w:tr>
        <w:trPr>
          <w:trHeight w:val="161"/>
        </w:trPr>
        <w:tc>
          <w:tcPr>
            <w:tcW w:w="390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jc w:val="center"/>
              <w:ind w:right="17"/>
              <w:spacing w:after="0"/>
              <w:rPr>
                <w:sz w:val="20"/>
                <w:szCs w:val="20"/>
                <w:color w:val="auto"/>
              </w:rPr>
            </w:pPr>
            <w:r>
              <w:rPr>
                <w:rFonts w:ascii="Arial" w:cs="Arial" w:eastAsia="Arial" w:hAnsi="Arial"/>
                <w:sz w:val="14"/>
                <w:szCs w:val="14"/>
                <w:b w:val="1"/>
                <w:bCs w:val="1"/>
                <w:color w:val="auto"/>
                <w:w w:val="83"/>
              </w:rPr>
              <w:t>2012</w:t>
            </w:r>
          </w:p>
        </w:tc>
        <w:tc>
          <w:tcPr>
            <w:tcW w:w="280" w:type="dxa"/>
            <w:vAlign w:val="bottom"/>
          </w:tcPr>
          <w:p>
            <w:pPr>
              <w:spacing w:after="0"/>
              <w:rPr>
                <w:sz w:val="14"/>
                <w:szCs w:val="14"/>
                <w:color w:val="auto"/>
              </w:rPr>
            </w:pPr>
          </w:p>
        </w:tc>
        <w:tc>
          <w:tcPr>
            <w:tcW w:w="960" w:type="dxa"/>
            <w:vAlign w:val="bottom"/>
            <w:gridSpan w:val="2"/>
          </w:tcPr>
          <w:p>
            <w:pPr>
              <w:jc w:val="center"/>
              <w:ind w:left="155"/>
              <w:spacing w:after="0"/>
              <w:rPr>
                <w:sz w:val="20"/>
                <w:szCs w:val="20"/>
                <w:color w:val="auto"/>
              </w:rPr>
            </w:pPr>
            <w:r>
              <w:rPr>
                <w:rFonts w:ascii="Arial" w:cs="Arial" w:eastAsia="Arial" w:hAnsi="Arial"/>
                <w:sz w:val="14"/>
                <w:szCs w:val="14"/>
                <w:b w:val="1"/>
                <w:bCs w:val="1"/>
                <w:color w:val="auto"/>
                <w:w w:val="89"/>
              </w:rPr>
              <w:t>2012</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27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27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510,320</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$ 489,481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27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144,596</w:t>
            </w: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144,596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Computer software</w:t>
            </w:r>
          </w:p>
        </w:tc>
        <w:tc>
          <w:tcPr>
            <w:tcW w:w="27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86,819</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81,852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27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69,246</w:t>
            </w: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69,246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Building improvements</w:t>
            </w:r>
          </w:p>
        </w:tc>
        <w:tc>
          <w:tcPr>
            <w:tcW w:w="27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42,200</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42,083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27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38,879</w:t>
            </w: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37,237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Furniture and fixtures</w:t>
            </w:r>
          </w:p>
        </w:tc>
        <w:tc>
          <w:tcPr>
            <w:tcW w:w="27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22,840</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24,450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27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10,409</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9,846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900" w:type="dxa"/>
            <w:vAlign w:val="bottom"/>
          </w:tcPr>
          <w:p>
            <w:pPr>
              <w:spacing w:after="0"/>
              <w:rPr>
                <w:sz w:val="19"/>
                <w:szCs w:val="19"/>
                <w:color w:val="auto"/>
              </w:rPr>
            </w:pPr>
          </w:p>
        </w:tc>
        <w:tc>
          <w:tcPr>
            <w:tcW w:w="27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925,309</w:t>
            </w:r>
          </w:p>
        </w:tc>
        <w:tc>
          <w:tcPr>
            <w:tcW w:w="280" w:type="dxa"/>
            <w:vAlign w:val="bottom"/>
          </w:tcPr>
          <w:p>
            <w:pPr>
              <w:spacing w:after="0"/>
              <w:rPr>
                <w:sz w:val="19"/>
                <w:szCs w:val="19"/>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898,791</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w w:val="98"/>
              </w:rPr>
              <w:t>Less: Accumulated depreciation and amortization</w:t>
            </w:r>
          </w:p>
        </w:tc>
        <w:tc>
          <w:tcPr>
            <w:tcW w:w="27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8"/>
              </w:rPr>
              <w:t>(544,155)</w:t>
            </w:r>
          </w:p>
        </w:tc>
        <w:tc>
          <w:tcPr>
            <w:tcW w:w="10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(514,990)</w:t>
            </w:r>
          </w:p>
        </w:tc>
        <w:tc>
          <w:tcPr>
            <w:tcW w:w="0" w:type="dxa"/>
            <w:vAlign w:val="bottom"/>
          </w:tcPr>
          <w:p>
            <w:pPr>
              <w:spacing w:after="0"/>
              <w:rPr>
                <w:sz w:val="1"/>
                <w:szCs w:val="1"/>
                <w:color w:val="auto"/>
              </w:rPr>
            </w:pPr>
          </w:p>
        </w:tc>
      </w:tr>
      <w:tr>
        <w:trPr>
          <w:trHeight w:val="20"/>
        </w:trPr>
        <w:tc>
          <w:tcPr>
            <w:tcW w:w="3900" w:type="dxa"/>
            <w:vAlign w:val="bottom"/>
            <w:vMerge w:val="restart"/>
          </w:tcPr>
          <w:p>
            <w:pPr>
              <w:spacing w:after="0"/>
              <w:rPr>
                <w:sz w:val="20"/>
                <w:szCs w:val="20"/>
                <w:color w:val="auto"/>
              </w:rPr>
            </w:pPr>
            <w:r>
              <w:rPr>
                <w:rFonts w:ascii="Arial" w:cs="Arial" w:eastAsia="Arial" w:hAnsi="Arial"/>
                <w:sz w:val="18"/>
                <w:szCs w:val="18"/>
                <w:color w:val="auto"/>
              </w:rPr>
              <w:t>Property and equipment, net</w:t>
            </w:r>
          </w:p>
        </w:tc>
        <w:tc>
          <w:tcPr>
            <w:tcW w:w="27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3900" w:type="dxa"/>
            <w:vAlign w:val="bottom"/>
            <w:vMerge w:val="continue"/>
          </w:tcPr>
          <w:p>
            <w:pPr>
              <w:spacing w:after="0"/>
              <w:rPr>
                <w:sz w:val="19"/>
                <w:szCs w:val="19"/>
                <w:color w:val="auto"/>
              </w:rPr>
            </w:pPr>
          </w:p>
        </w:tc>
        <w:tc>
          <w:tcPr>
            <w:tcW w:w="27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381,154</w:t>
            </w:r>
          </w:p>
        </w:tc>
        <w:tc>
          <w:tcPr>
            <w:tcW w:w="280" w:type="dxa"/>
            <w:vAlign w:val="bottom"/>
          </w:tcPr>
          <w:p>
            <w:pPr>
              <w:spacing w:after="0"/>
              <w:rPr>
                <w:sz w:val="19"/>
                <w:szCs w:val="19"/>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$ 383,801</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7"/>
        </w:trPr>
        <w:tc>
          <w:tcPr>
            <w:tcW w:w="390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92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9"/>
              </w:rPr>
              <w:t>July 28,</w:t>
            </w:r>
          </w:p>
        </w:tc>
        <w:tc>
          <w:tcPr>
            <w:tcW w:w="240" w:type="dxa"/>
            <w:vAlign w:val="bottom"/>
          </w:tcPr>
          <w:p>
            <w:pPr>
              <w:spacing w:after="0"/>
              <w:rPr>
                <w:sz w:val="24"/>
                <w:szCs w:val="24"/>
                <w:color w:val="auto"/>
              </w:rPr>
            </w:pPr>
          </w:p>
        </w:tc>
        <w:tc>
          <w:tcPr>
            <w:tcW w:w="8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8"/>
              </w:rPr>
              <w:t>January 28,</w:t>
            </w:r>
          </w:p>
        </w:tc>
        <w:tc>
          <w:tcPr>
            <w:tcW w:w="0" w:type="dxa"/>
            <w:vAlign w:val="bottom"/>
          </w:tcPr>
          <w:p>
            <w:pPr>
              <w:spacing w:after="0"/>
              <w:rPr>
                <w:sz w:val="1"/>
                <w:szCs w:val="1"/>
                <w:color w:val="auto"/>
              </w:rPr>
            </w:pPr>
          </w:p>
        </w:tc>
      </w:tr>
      <w:tr>
        <w:trPr>
          <w:trHeight w:val="161"/>
        </w:trPr>
        <w:tc>
          <w:tcPr>
            <w:tcW w:w="390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jc w:val="center"/>
              <w:ind w:right="17"/>
              <w:spacing w:after="0"/>
              <w:rPr>
                <w:sz w:val="20"/>
                <w:szCs w:val="20"/>
                <w:color w:val="auto"/>
              </w:rPr>
            </w:pPr>
            <w:r>
              <w:rPr>
                <w:rFonts w:ascii="Arial" w:cs="Arial" w:eastAsia="Arial" w:hAnsi="Arial"/>
                <w:sz w:val="14"/>
                <w:szCs w:val="14"/>
                <w:b w:val="1"/>
                <w:bCs w:val="1"/>
                <w:color w:val="auto"/>
                <w:w w:val="83"/>
              </w:rPr>
              <w:t>2012</w:t>
            </w:r>
          </w:p>
        </w:tc>
        <w:tc>
          <w:tcPr>
            <w:tcW w:w="280" w:type="dxa"/>
            <w:vAlign w:val="bottom"/>
          </w:tcPr>
          <w:p>
            <w:pPr>
              <w:spacing w:after="0"/>
              <w:rPr>
                <w:sz w:val="14"/>
                <w:szCs w:val="14"/>
                <w:color w:val="auto"/>
              </w:rPr>
            </w:pPr>
          </w:p>
        </w:tc>
        <w:tc>
          <w:tcPr>
            <w:tcW w:w="960" w:type="dxa"/>
            <w:vAlign w:val="bottom"/>
            <w:gridSpan w:val="2"/>
          </w:tcPr>
          <w:p>
            <w:pPr>
              <w:jc w:val="center"/>
              <w:ind w:left="155"/>
              <w:spacing w:after="0"/>
              <w:rPr>
                <w:sz w:val="20"/>
                <w:szCs w:val="20"/>
                <w:color w:val="auto"/>
              </w:rPr>
            </w:pPr>
            <w:r>
              <w:rPr>
                <w:rFonts w:ascii="Arial" w:cs="Arial" w:eastAsia="Arial" w:hAnsi="Arial"/>
                <w:sz w:val="14"/>
                <w:szCs w:val="14"/>
                <w:b w:val="1"/>
                <w:bCs w:val="1"/>
                <w:color w:val="auto"/>
                <w:w w:val="89"/>
              </w:rPr>
              <w:t>2012</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assets:</w:t>
            </w:r>
          </w:p>
        </w:tc>
        <w:tc>
          <w:tcPr>
            <w:tcW w:w="27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Technology and other licenses</w:t>
            </w:r>
          </w:p>
        </w:tc>
        <w:tc>
          <w:tcPr>
            <w:tcW w:w="27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46,384</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  50,212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27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30,966</w:t>
            </w: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31,064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Deposits</w:t>
            </w:r>
          </w:p>
        </w:tc>
        <w:tc>
          <w:tcPr>
            <w:tcW w:w="27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12,082</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11,532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Investments in privately held companies</w:t>
            </w:r>
          </w:p>
        </w:tc>
        <w:tc>
          <w:tcPr>
            <w:tcW w:w="27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11,676</w:t>
            </w: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6,309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Deferred compensation</w:t>
            </w:r>
          </w:p>
        </w:tc>
        <w:tc>
          <w:tcPr>
            <w:tcW w:w="27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2,910</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5,419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7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5,578</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3,610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90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27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109,596</w:t>
            </w:r>
          </w:p>
        </w:tc>
        <w:tc>
          <w:tcPr>
            <w:tcW w:w="280" w:type="dxa"/>
            <w:vAlign w:val="bottom"/>
          </w:tcPr>
          <w:p>
            <w:pPr>
              <w:spacing w:after="0"/>
              <w:rPr>
                <w:sz w:val="19"/>
                <w:szCs w:val="19"/>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$ 108,146</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700" w:type="dxa"/>
            <w:vAlign w:val="bottom"/>
            <w:vMerge w:val="restart"/>
          </w:tcPr>
          <w:p>
            <w:pPr>
              <w:jc w:val="right"/>
              <w:ind w:right="2132"/>
              <w:spacing w:after="0"/>
              <w:rPr>
                <w:sz w:val="20"/>
                <w:szCs w:val="20"/>
                <w:color w:val="auto"/>
              </w:rPr>
            </w:pPr>
            <w:r>
              <w:rPr>
                <w:rFonts w:ascii="Arial" w:cs="Arial" w:eastAsia="Arial" w:hAnsi="Arial"/>
                <w:sz w:val="18"/>
                <w:szCs w:val="18"/>
                <w:color w:val="auto"/>
              </w:rPr>
              <w:t>9</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900" w:type="dxa"/>
            <w:vAlign w:val="bottom"/>
          </w:tcPr>
          <w:p>
            <w:pPr>
              <w:spacing w:after="0"/>
              <w:rPr>
                <w:sz w:val="24"/>
                <w:szCs w:val="24"/>
                <w:color w:val="auto"/>
              </w:rPr>
            </w:pPr>
          </w:p>
        </w:tc>
        <w:tc>
          <w:tcPr>
            <w:tcW w:w="270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9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9"/>
              </w:rPr>
              <w:t>July 28,</w:t>
            </w:r>
          </w:p>
        </w:tc>
        <w:tc>
          <w:tcPr>
            <w:tcW w:w="1080" w:type="dxa"/>
            <w:vAlign w:val="bottom"/>
            <w:gridSpan w:val="4"/>
          </w:tcPr>
          <w:p>
            <w:pPr>
              <w:ind w:left="28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900" w:type="dxa"/>
            <w:vAlign w:val="bottom"/>
            <w:tcBorders>
              <w:bottom w:val="single" w:sz="8" w:color="CCEEFF"/>
            </w:tcBorders>
          </w:tcPr>
          <w:p>
            <w:pPr>
              <w:spacing w:after="0"/>
              <w:rPr>
                <w:sz w:val="14"/>
                <w:szCs w:val="14"/>
                <w:color w:val="auto"/>
              </w:rPr>
            </w:pPr>
          </w:p>
        </w:tc>
        <w:tc>
          <w:tcPr>
            <w:tcW w:w="17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2012</w:t>
            </w:r>
          </w:p>
        </w:tc>
        <w:tc>
          <w:tcPr>
            <w:tcW w:w="32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9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Accrued liabilities:</w:t>
            </w:r>
          </w:p>
        </w:tc>
        <w:tc>
          <w:tcPr>
            <w:tcW w:w="17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Accrued rebates</w:t>
            </w:r>
          </w:p>
        </w:tc>
        <w:tc>
          <w:tcPr>
            <w:tcW w:w="17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49,632</w:t>
            </w:r>
          </w:p>
        </w:tc>
        <w:tc>
          <w:tcPr>
            <w:tcW w:w="320" w:type="dxa"/>
            <w:vAlign w:val="bottom"/>
          </w:tcPr>
          <w:p>
            <w:pPr>
              <w:spacing w:after="0"/>
              <w:rPr>
                <w:sz w:val="18"/>
                <w:szCs w:val="18"/>
                <w:color w:val="auto"/>
              </w:rPr>
            </w:pPr>
          </w:p>
        </w:tc>
        <w:tc>
          <w:tcPr>
            <w:tcW w:w="42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24,420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17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13,160</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16,896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Accrued legal expense</w:t>
            </w:r>
          </w:p>
        </w:tc>
        <w:tc>
          <w:tcPr>
            <w:tcW w:w="17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12,226</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13,999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Technology license obligations</w:t>
            </w:r>
          </w:p>
        </w:tc>
        <w:tc>
          <w:tcPr>
            <w:tcW w:w="17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8,963</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5,250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Customer advances for NRE services</w:t>
            </w:r>
          </w:p>
        </w:tc>
        <w:tc>
          <w:tcPr>
            <w:tcW w:w="17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4,284</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2,541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7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22,679</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24,549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920" w:type="dxa"/>
            <w:vAlign w:val="bottom"/>
            <w:gridSpan w:val="2"/>
          </w:tcPr>
          <w:p>
            <w:pPr>
              <w:spacing w:after="0"/>
              <w:rPr>
                <w:sz w:val="20"/>
                <w:szCs w:val="20"/>
                <w:color w:val="auto"/>
              </w:rPr>
            </w:pPr>
            <w:r>
              <w:rPr>
                <w:rFonts w:ascii="Arial" w:cs="Arial" w:eastAsia="Arial" w:hAnsi="Arial"/>
                <w:sz w:val="18"/>
                <w:szCs w:val="18"/>
                <w:color w:val="auto"/>
              </w:rPr>
              <w:t>Accrued liabilities</w:t>
            </w:r>
          </w:p>
        </w:tc>
        <w:tc>
          <w:tcPr>
            <w:tcW w:w="17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110,944</w:t>
            </w:r>
          </w:p>
        </w:tc>
        <w:tc>
          <w:tcPr>
            <w:tcW w:w="320" w:type="dxa"/>
            <w:vAlign w:val="bottom"/>
          </w:tcPr>
          <w:p>
            <w:pPr>
              <w:spacing w:after="0"/>
              <w:rPr>
                <w:sz w:val="19"/>
                <w:szCs w:val="19"/>
                <w:color w:val="auto"/>
              </w:rPr>
            </w:pPr>
          </w:p>
        </w:tc>
        <w:tc>
          <w:tcPr>
            <w:tcW w:w="42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87,655</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7"/>
        </w:trPr>
        <w:tc>
          <w:tcPr>
            <w:tcW w:w="20" w:type="dxa"/>
            <w:vAlign w:val="bottom"/>
          </w:tcPr>
          <w:p>
            <w:pPr>
              <w:spacing w:after="0"/>
              <w:rPr>
                <w:sz w:val="24"/>
                <w:szCs w:val="24"/>
                <w:color w:val="auto"/>
              </w:rPr>
            </w:pPr>
          </w:p>
        </w:tc>
        <w:tc>
          <w:tcPr>
            <w:tcW w:w="490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9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9"/>
              </w:rPr>
              <w:t>July 28,</w:t>
            </w:r>
          </w:p>
        </w:tc>
        <w:tc>
          <w:tcPr>
            <w:tcW w:w="1080" w:type="dxa"/>
            <w:vAlign w:val="bottom"/>
            <w:gridSpan w:val="4"/>
          </w:tcPr>
          <w:p>
            <w:pPr>
              <w:ind w:left="28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900" w:type="dxa"/>
            <w:vAlign w:val="bottom"/>
            <w:tcBorders>
              <w:bottom w:val="single" w:sz="8" w:color="CCEEFF"/>
            </w:tcBorders>
          </w:tcPr>
          <w:p>
            <w:pPr>
              <w:spacing w:after="0"/>
              <w:rPr>
                <w:sz w:val="14"/>
                <w:szCs w:val="14"/>
                <w:color w:val="auto"/>
              </w:rPr>
            </w:pPr>
          </w:p>
        </w:tc>
        <w:tc>
          <w:tcPr>
            <w:tcW w:w="17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2012</w:t>
            </w:r>
          </w:p>
        </w:tc>
        <w:tc>
          <w:tcPr>
            <w:tcW w:w="32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9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long-term liabilities:</w:t>
            </w:r>
          </w:p>
        </w:tc>
        <w:tc>
          <w:tcPr>
            <w:tcW w:w="17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17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9,471</w:t>
            </w:r>
          </w:p>
        </w:tc>
        <w:tc>
          <w:tcPr>
            <w:tcW w:w="320" w:type="dxa"/>
            <w:vAlign w:val="bottom"/>
          </w:tcPr>
          <w:p>
            <w:pPr>
              <w:spacing w:after="0"/>
              <w:rPr>
                <w:sz w:val="18"/>
                <w:szCs w:val="18"/>
                <w:color w:val="auto"/>
              </w:rPr>
            </w:pPr>
          </w:p>
        </w:tc>
        <w:tc>
          <w:tcPr>
            <w:tcW w:w="42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11,255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Long-term accrued employee compensation</w:t>
            </w:r>
          </w:p>
        </w:tc>
        <w:tc>
          <w:tcPr>
            <w:tcW w:w="17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9,930</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10,059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Other</w:t>
            </w:r>
          </w:p>
        </w:tc>
        <w:tc>
          <w:tcPr>
            <w:tcW w:w="17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9,688</w:t>
            </w:r>
          </w:p>
        </w:tc>
        <w:tc>
          <w:tcPr>
            <w:tcW w:w="3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11,154</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1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29,089</w:t>
            </w:r>
          </w:p>
        </w:tc>
        <w:tc>
          <w:tcPr>
            <w:tcW w:w="3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32,468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20" w:type="dxa"/>
            <w:vAlign w:val="bottom"/>
          </w:tcPr>
          <w:p>
            <w:pPr>
              <w:spacing w:after="0"/>
              <w:rPr>
                <w:sz w:val="24"/>
                <w:szCs w:val="24"/>
                <w:color w:val="auto"/>
              </w:rPr>
            </w:pPr>
          </w:p>
        </w:tc>
        <w:tc>
          <w:tcPr>
            <w:tcW w:w="490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9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9"/>
              </w:rPr>
              <w:t>July 28,</w:t>
            </w:r>
          </w:p>
        </w:tc>
        <w:tc>
          <w:tcPr>
            <w:tcW w:w="1080" w:type="dxa"/>
            <w:vAlign w:val="bottom"/>
            <w:gridSpan w:val="4"/>
          </w:tcPr>
          <w:p>
            <w:pPr>
              <w:ind w:left="28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900" w:type="dxa"/>
            <w:vAlign w:val="bottom"/>
            <w:tcBorders>
              <w:bottom w:val="single" w:sz="8" w:color="CCEEFF"/>
            </w:tcBorders>
          </w:tcPr>
          <w:p>
            <w:pPr>
              <w:spacing w:after="0"/>
              <w:rPr>
                <w:sz w:val="14"/>
                <w:szCs w:val="14"/>
                <w:color w:val="auto"/>
              </w:rPr>
            </w:pPr>
          </w:p>
        </w:tc>
        <w:tc>
          <w:tcPr>
            <w:tcW w:w="17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2012</w:t>
            </w:r>
          </w:p>
        </w:tc>
        <w:tc>
          <w:tcPr>
            <w:tcW w:w="32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9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Accumulated other comprehensive income:</w:t>
            </w:r>
          </w:p>
        </w:tc>
        <w:tc>
          <w:tcPr>
            <w:tcW w:w="17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Unrealized gain on marketable securities</w:t>
            </w:r>
          </w:p>
        </w:tc>
        <w:tc>
          <w:tcPr>
            <w:tcW w:w="17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4,575</w:t>
            </w:r>
          </w:p>
        </w:tc>
        <w:tc>
          <w:tcPr>
            <w:tcW w:w="320" w:type="dxa"/>
            <w:vAlign w:val="bottom"/>
          </w:tcPr>
          <w:p>
            <w:pPr>
              <w:spacing w:after="0"/>
              <w:rPr>
                <w:sz w:val="18"/>
                <w:szCs w:val="18"/>
                <w:color w:val="auto"/>
              </w:rPr>
            </w:pPr>
          </w:p>
        </w:tc>
        <w:tc>
          <w:tcPr>
            <w:tcW w:w="42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3,702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on auction rate securities</w:t>
            </w:r>
          </w:p>
        </w:tc>
        <w:tc>
          <w:tcPr>
            <w:tcW w:w="17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(1,397)</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Unrealized loss on cash flow hedges</w:t>
            </w:r>
          </w:p>
        </w:tc>
        <w:tc>
          <w:tcPr>
            <w:tcW w:w="17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260"/>
              <w:spacing w:after="0"/>
              <w:rPr>
                <w:sz w:val="20"/>
                <w:szCs w:val="20"/>
                <w:color w:val="auto"/>
              </w:rPr>
            </w:pPr>
            <w:r>
              <w:rPr>
                <w:rFonts w:ascii="Arial" w:cs="Arial" w:eastAsia="Arial" w:hAnsi="Arial"/>
                <w:sz w:val="18"/>
                <w:szCs w:val="18"/>
                <w:color w:val="auto"/>
              </w:rPr>
              <w:t>(1,800)</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gridSpan w:val="2"/>
          </w:tcPr>
          <w:p>
            <w:pPr>
              <w:jc w:val="right"/>
              <w:ind w:right="60"/>
              <w:spacing w:after="0"/>
              <w:rPr>
                <w:sz w:val="20"/>
                <w:szCs w:val="20"/>
                <w:color w:val="auto"/>
              </w:rPr>
            </w:pPr>
            <w:r>
              <w:rPr>
                <w:rFonts w:ascii="Arial" w:cs="Arial" w:eastAsia="Arial" w:hAnsi="Arial"/>
                <w:sz w:val="18"/>
                <w:szCs w:val="18"/>
                <w:color w:val="auto"/>
              </w:rPr>
              <w:t>(1,641)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9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00" w:type="dxa"/>
            <w:vAlign w:val="bottom"/>
            <w:shd w:val="clear" w:color="auto" w:fill="CCEEFF"/>
          </w:tcPr>
          <w:p>
            <w:pPr>
              <w:spacing w:after="0"/>
              <w:rPr>
                <w:sz w:val="20"/>
                <w:szCs w:val="20"/>
                <w:color w:val="auto"/>
              </w:rPr>
            </w:pPr>
            <w:r>
              <w:rPr>
                <w:rFonts w:ascii="Arial" w:cs="Arial" w:eastAsia="Arial" w:hAnsi="Arial"/>
                <w:sz w:val="18"/>
                <w:szCs w:val="18"/>
                <w:color w:val="auto"/>
              </w:rPr>
              <w:t>Accumulated other comprehensive income</w:t>
            </w:r>
          </w:p>
        </w:tc>
        <w:tc>
          <w:tcPr>
            <w:tcW w:w="1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1,378</w:t>
            </w:r>
          </w:p>
        </w:tc>
        <w:tc>
          <w:tcPr>
            <w:tcW w:w="3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240"/>
        <w:spacing w:after="0"/>
        <w:rPr>
          <w:sz w:val="20"/>
          <w:szCs w:val="20"/>
          <w:color w:val="auto"/>
        </w:rPr>
      </w:pPr>
      <w:r>
        <w:rPr>
          <w:rFonts w:ascii="Arial" w:cs="Arial" w:eastAsia="Arial" w:hAnsi="Arial"/>
          <w:sz w:val="18"/>
          <w:szCs w:val="18"/>
          <w:b w:val="1"/>
          <w:bCs w:val="1"/>
          <w:color w:val="auto"/>
        </w:rPr>
        <w:t>Net income per share:</w:t>
      </w:r>
    </w:p>
    <w:p>
      <w:pPr>
        <w:spacing w:after="0" w:line="9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Company reports both basic net income per share, which is based on the weighted average number of common shares outstanding, and diluted net income per share, which is based on the weighted average number of common shares outstanding and potentially dilutive common shares. The computations of basic and diluted net income per share are presented in the following table (in thousands, except per share amounts):</w:t>
      </w:r>
    </w:p>
    <w:p>
      <w:pPr>
        <w:spacing w:after="0" w:line="143"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44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60" w:type="dxa"/>
            <w:vAlign w:val="bottom"/>
            <w:gridSpan w:val="4"/>
          </w:tcPr>
          <w:p>
            <w:pPr>
              <w:jc w:val="right"/>
              <w:ind w:right="177"/>
              <w:spacing w:after="0"/>
              <w:rPr>
                <w:sz w:val="20"/>
                <w:szCs w:val="20"/>
                <w:color w:val="auto"/>
              </w:rPr>
            </w:pPr>
            <w:r>
              <w:rPr>
                <w:rFonts w:ascii="Arial" w:cs="Arial" w:eastAsia="Arial" w:hAnsi="Arial"/>
                <w:sz w:val="14"/>
                <w:szCs w:val="14"/>
                <w:b w:val="1"/>
                <w:bCs w:val="1"/>
                <w:color w:val="auto"/>
                <w:w w:val="99"/>
              </w:rPr>
              <w:t>Three Months Ended</w:t>
            </w: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740" w:type="dxa"/>
            <w:vAlign w:val="bottom"/>
            <w:gridSpan w:val="5"/>
          </w:tcPr>
          <w:p>
            <w:pPr>
              <w:ind w:left="2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4440" w:type="dxa"/>
            <w:vAlign w:val="bottom"/>
          </w:tcPr>
          <w:p>
            <w:pPr>
              <w:spacing w:after="0"/>
              <w:rPr>
                <w:sz w:val="11"/>
                <w:szCs w:val="11"/>
                <w:color w:val="auto"/>
              </w:rPr>
            </w:pPr>
          </w:p>
        </w:tc>
        <w:tc>
          <w:tcPr>
            <w:tcW w:w="21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980" w:type="dxa"/>
            <w:vAlign w:val="bottom"/>
            <w:tcBorders>
              <w:top w:val="single" w:sz="8" w:color="auto"/>
            </w:tcBorders>
            <w:gridSpan w:val="2"/>
          </w:tcPr>
          <w:p>
            <w:pPr>
              <w:jc w:val="center"/>
              <w:ind w:right="480"/>
              <w:spacing w:after="0" w:line="129" w:lineRule="exact"/>
              <w:rPr>
                <w:sz w:val="20"/>
                <w:szCs w:val="20"/>
                <w:color w:val="auto"/>
              </w:rPr>
            </w:pPr>
            <w:r>
              <w:rPr>
                <w:rFonts w:ascii="Arial" w:cs="Arial" w:eastAsia="Arial" w:hAnsi="Arial"/>
                <w:sz w:val="14"/>
                <w:szCs w:val="14"/>
                <w:b w:val="1"/>
                <w:bCs w:val="1"/>
                <w:color w:val="auto"/>
                <w:w w:val="89"/>
              </w:rPr>
              <w:t>July 28,</w:t>
            </w: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37"/>
              <w:spacing w:after="0" w:line="129" w:lineRule="exact"/>
              <w:rPr>
                <w:sz w:val="20"/>
                <w:szCs w:val="20"/>
                <w:color w:val="auto"/>
              </w:rPr>
            </w:pPr>
            <w:r>
              <w:rPr>
                <w:rFonts w:ascii="Arial" w:cs="Arial" w:eastAsia="Arial" w:hAnsi="Arial"/>
                <w:sz w:val="14"/>
                <w:szCs w:val="14"/>
                <w:b w:val="1"/>
                <w:bCs w:val="1"/>
                <w:color w:val="auto"/>
                <w:w w:val="85"/>
              </w:rPr>
              <w:t>July 30,</w:t>
            </w:r>
          </w:p>
        </w:tc>
        <w:tc>
          <w:tcPr>
            <w:tcW w:w="3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rPr>
              <w:t>July 28,</w:t>
            </w:r>
          </w:p>
        </w:tc>
        <w:tc>
          <w:tcPr>
            <w:tcW w:w="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17"/>
              <w:spacing w:after="0" w:line="129" w:lineRule="exact"/>
              <w:rPr>
                <w:sz w:val="20"/>
                <w:szCs w:val="20"/>
                <w:color w:val="auto"/>
              </w:rPr>
            </w:pPr>
            <w:r>
              <w:rPr>
                <w:rFonts w:ascii="Arial" w:cs="Arial" w:eastAsia="Arial" w:hAnsi="Arial"/>
                <w:sz w:val="14"/>
                <w:szCs w:val="14"/>
                <w:b w:val="1"/>
                <w:bCs w:val="1"/>
                <w:color w:val="auto"/>
                <w:w w:val="89"/>
              </w:rPr>
              <w:t>July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440" w:type="dxa"/>
            <w:vAlign w:val="bottom"/>
            <w:tcBorders>
              <w:bottom w:val="single" w:sz="8" w:color="CCEEFF"/>
            </w:tcBorders>
          </w:tcPr>
          <w:p>
            <w:pPr>
              <w:spacing w:after="0"/>
              <w:rPr>
                <w:sz w:val="14"/>
                <w:szCs w:val="14"/>
                <w:color w:val="auto"/>
              </w:rPr>
            </w:pPr>
          </w:p>
        </w:tc>
        <w:tc>
          <w:tcPr>
            <w:tcW w:w="21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2012</w:t>
            </w:r>
          </w:p>
        </w:tc>
        <w:tc>
          <w:tcPr>
            <w:tcW w:w="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2011</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2012</w:t>
            </w:r>
          </w:p>
        </w:tc>
        <w:tc>
          <w:tcPr>
            <w:tcW w:w="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4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21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44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2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93,074</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192,392</w:t>
            </w:r>
          </w:p>
        </w:tc>
        <w:tc>
          <w:tcPr>
            <w:tcW w:w="4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187,617</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339,253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4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2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40" w:type="dxa"/>
            <w:vAlign w:val="bottom"/>
          </w:tcPr>
          <w:p>
            <w:pPr>
              <w:ind w:left="440"/>
              <w:spacing w:after="0"/>
              <w:rPr>
                <w:sz w:val="20"/>
                <w:szCs w:val="20"/>
                <w:color w:val="auto"/>
              </w:rPr>
            </w:pPr>
            <w:r>
              <w:rPr>
                <w:rFonts w:ascii="Arial" w:cs="Arial" w:eastAsia="Arial" w:hAnsi="Arial"/>
                <w:sz w:val="18"/>
                <w:szCs w:val="18"/>
                <w:color w:val="auto"/>
              </w:rPr>
              <w:t>Weighted average common shares outstanding</w:t>
            </w:r>
          </w:p>
        </w:tc>
        <w:tc>
          <w:tcPr>
            <w:tcW w:w="2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562,362</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608,511</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571,193</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623,728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2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40" w:type="dxa"/>
            <w:vAlign w:val="bottom"/>
          </w:tcPr>
          <w:p>
            <w:pPr>
              <w:ind w:left="440"/>
              <w:spacing w:after="0"/>
              <w:rPr>
                <w:sz w:val="20"/>
                <w:szCs w:val="20"/>
                <w:color w:val="auto"/>
              </w:rPr>
            </w:pPr>
            <w:r>
              <w:rPr>
                <w:rFonts w:ascii="Arial" w:cs="Arial" w:eastAsia="Arial" w:hAnsi="Arial"/>
                <w:sz w:val="18"/>
                <w:szCs w:val="18"/>
                <w:color w:val="auto"/>
              </w:rPr>
              <w:t>Common share-based awards</w:t>
            </w:r>
          </w:p>
        </w:tc>
        <w:tc>
          <w:tcPr>
            <w:tcW w:w="2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7,963</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14,621</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11,339</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16,408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440" w:type="dxa"/>
            <w:vAlign w:val="bottom"/>
          </w:tcPr>
          <w:p>
            <w:pPr>
              <w:spacing w:after="0"/>
              <w:rPr>
                <w:sz w:val="2"/>
                <w:szCs w:val="2"/>
                <w:color w:val="auto"/>
              </w:rPr>
            </w:pPr>
          </w:p>
        </w:tc>
        <w:tc>
          <w:tcPr>
            <w:tcW w:w="21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4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2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570,325</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623,132</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582,532</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640,136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40" w:type="dxa"/>
            <w:vAlign w:val="bottom"/>
            <w:vMerge w:val="restart"/>
          </w:tcPr>
          <w:p>
            <w:pPr>
              <w:spacing w:after="0"/>
              <w:rPr>
                <w:sz w:val="20"/>
                <w:szCs w:val="20"/>
                <w:color w:val="auto"/>
              </w:rPr>
            </w:pPr>
            <w:r>
              <w:rPr>
                <w:rFonts w:ascii="Arial" w:cs="Arial" w:eastAsia="Arial" w:hAnsi="Arial"/>
                <w:sz w:val="18"/>
                <w:szCs w:val="18"/>
                <w:color w:val="auto"/>
              </w:rPr>
              <w:t>Net income per share:</w:t>
            </w:r>
          </w:p>
        </w:tc>
        <w:tc>
          <w:tcPr>
            <w:tcW w:w="2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440" w:type="dxa"/>
            <w:vAlign w:val="bottom"/>
            <w:vMerge w:val="continue"/>
          </w:tcPr>
          <w:p>
            <w:pPr>
              <w:spacing w:after="0"/>
              <w:rPr>
                <w:sz w:val="18"/>
                <w:szCs w:val="18"/>
                <w:color w:val="auto"/>
              </w:rPr>
            </w:pPr>
          </w:p>
        </w:tc>
        <w:tc>
          <w:tcPr>
            <w:tcW w:w="2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4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2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0.17</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0.33</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40" w:type="dxa"/>
            <w:vAlign w:val="bottom"/>
            <w:vMerge w:val="restart"/>
          </w:tcPr>
          <w:p>
            <w:pPr>
              <w:ind w:left="440"/>
              <w:spacing w:after="0"/>
              <w:rPr>
                <w:sz w:val="20"/>
                <w:szCs w:val="20"/>
                <w:color w:val="auto"/>
              </w:rPr>
            </w:pPr>
            <w:r>
              <w:rPr>
                <w:rFonts w:ascii="Arial" w:cs="Arial" w:eastAsia="Arial" w:hAnsi="Arial"/>
                <w:sz w:val="18"/>
                <w:szCs w:val="18"/>
                <w:color w:val="auto"/>
              </w:rPr>
              <w:t>Diluted</w:t>
            </w:r>
          </w:p>
        </w:tc>
        <w:tc>
          <w:tcPr>
            <w:tcW w:w="2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440" w:type="dxa"/>
            <w:vAlign w:val="bottom"/>
            <w:vMerge w:val="continue"/>
          </w:tcPr>
          <w:p>
            <w:pPr>
              <w:spacing w:after="0"/>
              <w:rPr>
                <w:sz w:val="18"/>
                <w:szCs w:val="18"/>
                <w:color w:val="auto"/>
              </w:rPr>
            </w:pPr>
          </w:p>
        </w:tc>
        <w:tc>
          <w:tcPr>
            <w:tcW w:w="2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0.16</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0.31</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0.32</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0.53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40" w:type="dxa"/>
            <w:vAlign w:val="bottom"/>
          </w:tcPr>
          <w:p>
            <w:pPr>
              <w:spacing w:after="0" w:line="20" w:lineRule="exact"/>
              <w:rPr>
                <w:sz w:val="1"/>
                <w:szCs w:val="1"/>
                <w:color w:val="auto"/>
              </w:rPr>
            </w:pPr>
          </w:p>
        </w:tc>
        <w:tc>
          <w:tcPr>
            <w:tcW w:w="2100" w:type="dxa"/>
            <w:vAlign w:val="bottom"/>
            <w:vMerge w:val="restart"/>
          </w:tcPr>
          <w:p>
            <w:pPr>
              <w:jc w:val="right"/>
              <w:ind w:right="1112"/>
              <w:spacing w:after="0"/>
              <w:rPr>
                <w:sz w:val="20"/>
                <w:szCs w:val="20"/>
                <w:color w:val="auto"/>
              </w:rPr>
            </w:pPr>
            <w:r>
              <w:rPr>
                <w:rFonts w:ascii="Arial" w:cs="Arial" w:eastAsia="Arial" w:hAnsi="Arial"/>
                <w:sz w:val="18"/>
                <w:szCs w:val="18"/>
                <w:color w:val="auto"/>
              </w:rPr>
              <w:t>10</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440" w:type="dxa"/>
            <w:vAlign w:val="bottom"/>
          </w:tcPr>
          <w:p>
            <w:pPr>
              <w:spacing w:after="0"/>
              <w:rPr>
                <w:sz w:val="24"/>
                <w:szCs w:val="24"/>
                <w:color w:val="auto"/>
              </w:rPr>
            </w:pPr>
          </w:p>
        </w:tc>
        <w:tc>
          <w:tcPr>
            <w:tcW w:w="210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20"/>
          </w:cols>
          <w:pgMar w:left="240" w:top="459" w:right="4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5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640" w:type="dxa"/>
            <w:vAlign w:val="bottom"/>
            <w:gridSpan w:val="3"/>
          </w:tcPr>
          <w:p>
            <w:pPr>
              <w:jc w:val="right"/>
              <w:ind w:right="132"/>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tcPr>
          <w:p>
            <w:pPr>
              <w:spacing w:after="0"/>
              <w:rPr>
                <w:sz w:val="14"/>
                <w:szCs w:val="14"/>
                <w:color w:val="auto"/>
              </w:rPr>
            </w:pPr>
          </w:p>
        </w:tc>
        <w:tc>
          <w:tcPr>
            <w:tcW w:w="1720" w:type="dxa"/>
            <w:vAlign w:val="bottom"/>
            <w:gridSpan w:val="4"/>
          </w:tcPr>
          <w:p>
            <w:pPr>
              <w:ind w:left="28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55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7"/>
              </w:rPr>
              <w:t>July 28,</w:t>
            </w:r>
          </w:p>
        </w:tc>
        <w:tc>
          <w:tcPr>
            <w:tcW w:w="4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7"/>
              </w:rPr>
              <w:t>July 30,</w:t>
            </w:r>
          </w:p>
        </w:tc>
        <w:tc>
          <w:tcPr>
            <w:tcW w:w="480" w:type="dxa"/>
            <w:vAlign w:val="bottom"/>
          </w:tcPr>
          <w:p>
            <w:pPr>
              <w:spacing w:after="0"/>
              <w:rPr>
                <w:sz w:val="11"/>
                <w:szCs w:val="11"/>
                <w:color w:val="auto"/>
              </w:rPr>
            </w:pPr>
          </w:p>
        </w:tc>
        <w:tc>
          <w:tcPr>
            <w:tcW w:w="580" w:type="dxa"/>
            <w:vAlign w:val="bottom"/>
            <w:tcBorders>
              <w:top w:val="single" w:sz="8" w:color="auto"/>
            </w:tcBorders>
          </w:tcPr>
          <w:p>
            <w:pPr>
              <w:jc w:val="right"/>
              <w:ind w:right="12"/>
              <w:spacing w:after="0" w:line="129" w:lineRule="exact"/>
              <w:rPr>
                <w:sz w:val="20"/>
                <w:szCs w:val="20"/>
                <w:color w:val="auto"/>
              </w:rPr>
            </w:pPr>
            <w:r>
              <w:rPr>
                <w:rFonts w:ascii="Arial" w:cs="Arial" w:eastAsia="Arial" w:hAnsi="Arial"/>
                <w:sz w:val="14"/>
                <w:szCs w:val="14"/>
                <w:b w:val="1"/>
                <w:bCs w:val="1"/>
                <w:color w:val="auto"/>
                <w:w w:val="93"/>
              </w:rPr>
              <w:t>July 28,</w:t>
            </w:r>
          </w:p>
        </w:tc>
        <w:tc>
          <w:tcPr>
            <w:tcW w:w="46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7"/>
              </w:rPr>
              <w:t>July 30,</w:t>
            </w:r>
          </w:p>
        </w:tc>
        <w:tc>
          <w:tcPr>
            <w:tcW w:w="100" w:type="dxa"/>
            <w:vAlign w:val="bottom"/>
          </w:tcPr>
          <w:p>
            <w:pPr>
              <w:spacing w:after="0"/>
              <w:rPr>
                <w:sz w:val="11"/>
                <w:szCs w:val="11"/>
                <w:color w:val="auto"/>
              </w:rPr>
            </w:pPr>
          </w:p>
        </w:tc>
      </w:tr>
      <w:tr>
        <w:trPr>
          <w:trHeight w:val="161"/>
        </w:trPr>
        <w:tc>
          <w:tcPr>
            <w:tcW w:w="5540" w:type="dxa"/>
            <w:vAlign w:val="bottom"/>
          </w:tcPr>
          <w:p>
            <w:pPr>
              <w:spacing w:after="0"/>
              <w:rPr>
                <w:sz w:val="14"/>
                <w:szCs w:val="14"/>
                <w:color w:val="auto"/>
              </w:rPr>
            </w:pPr>
          </w:p>
        </w:tc>
        <w:tc>
          <w:tcPr>
            <w:tcW w:w="170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2012</w:t>
            </w:r>
          </w:p>
        </w:tc>
        <w:tc>
          <w:tcPr>
            <w:tcW w:w="1060" w:type="dxa"/>
            <w:vAlign w:val="bottom"/>
            <w:gridSpan w:val="2"/>
          </w:tcPr>
          <w:p>
            <w:pPr>
              <w:jc w:val="right"/>
              <w:ind w:right="92"/>
              <w:spacing w:after="0"/>
              <w:rPr>
                <w:sz w:val="20"/>
                <w:szCs w:val="20"/>
                <w:color w:val="auto"/>
              </w:rPr>
            </w:pPr>
            <w:r>
              <w:rPr>
                <w:rFonts w:ascii="Arial" w:cs="Arial" w:eastAsia="Arial" w:hAnsi="Arial"/>
                <w:sz w:val="14"/>
                <w:szCs w:val="14"/>
                <w:b w:val="1"/>
                <w:bCs w:val="1"/>
                <w:color w:val="auto"/>
              </w:rPr>
              <w:t>2011</w:t>
            </w:r>
          </w:p>
        </w:tc>
        <w:tc>
          <w:tcPr>
            <w:tcW w:w="1060" w:type="dxa"/>
            <w:vAlign w:val="bottom"/>
            <w:gridSpan w:val="2"/>
          </w:tcPr>
          <w:p>
            <w:pPr>
              <w:jc w:val="right"/>
              <w:ind w:right="92"/>
              <w:spacing w:after="0"/>
              <w:rPr>
                <w:sz w:val="20"/>
                <w:szCs w:val="20"/>
                <w:color w:val="auto"/>
              </w:rPr>
            </w:pPr>
            <w:r>
              <w:rPr>
                <w:rFonts w:ascii="Arial" w:cs="Arial" w:eastAsia="Arial" w:hAnsi="Arial"/>
                <w:sz w:val="14"/>
                <w:szCs w:val="14"/>
                <w:b w:val="1"/>
                <w:bCs w:val="1"/>
                <w:color w:val="auto"/>
              </w:rPr>
              <w:t>2012</w:t>
            </w:r>
          </w:p>
        </w:tc>
        <w:tc>
          <w:tcPr>
            <w:tcW w:w="1040" w:type="dxa"/>
            <w:vAlign w:val="bottom"/>
            <w:gridSpan w:val="2"/>
          </w:tcPr>
          <w:p>
            <w:pPr>
              <w:jc w:val="right"/>
              <w:ind w:right="92"/>
              <w:spacing w:after="0"/>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r>
      <w:tr>
        <w:trPr>
          <w:trHeight w:val="196"/>
        </w:trPr>
        <w:tc>
          <w:tcPr>
            <w:tcW w:w="55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Anti-dilutive potential common shares:</w:t>
            </w:r>
          </w:p>
        </w:tc>
        <w:tc>
          <w:tcPr>
            <w:tcW w:w="112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5540" w:type="dxa"/>
            <w:vAlign w:val="bottom"/>
          </w:tcPr>
          <w:p>
            <w:pPr>
              <w:ind w:left="440"/>
              <w:spacing w:after="0"/>
              <w:rPr>
                <w:sz w:val="20"/>
                <w:szCs w:val="20"/>
                <w:color w:val="auto"/>
              </w:rPr>
            </w:pPr>
            <w:r>
              <w:rPr>
                <w:rFonts w:ascii="Arial" w:cs="Arial" w:eastAsia="Arial" w:hAnsi="Arial"/>
                <w:sz w:val="18"/>
                <w:szCs w:val="18"/>
                <w:color w:val="auto"/>
              </w:rPr>
              <w:t>Weighted average shares outstanding from stock options</w:t>
            </w:r>
          </w:p>
        </w:tc>
        <w:tc>
          <w:tcPr>
            <w:tcW w:w="1700" w:type="dxa"/>
            <w:vAlign w:val="bottom"/>
            <w:gridSpan w:val="2"/>
          </w:tcPr>
          <w:p>
            <w:pPr>
              <w:jc w:val="right"/>
              <w:spacing w:after="0"/>
              <w:rPr>
                <w:sz w:val="20"/>
                <w:szCs w:val="20"/>
                <w:color w:val="auto"/>
              </w:rPr>
            </w:pPr>
            <w:r>
              <w:rPr>
                <w:rFonts w:ascii="Arial" w:cs="Arial" w:eastAsia="Arial" w:hAnsi="Arial"/>
                <w:sz w:val="18"/>
                <w:szCs w:val="18"/>
                <w:color w:val="auto"/>
              </w:rPr>
              <w:t>29,488</w:t>
            </w:r>
          </w:p>
        </w:tc>
        <w:tc>
          <w:tcPr>
            <w:tcW w:w="1060" w:type="dxa"/>
            <w:vAlign w:val="bottom"/>
            <w:gridSpan w:val="2"/>
          </w:tcPr>
          <w:p>
            <w:pPr>
              <w:jc w:val="right"/>
              <w:spacing w:after="0"/>
              <w:rPr>
                <w:sz w:val="20"/>
                <w:szCs w:val="20"/>
                <w:color w:val="auto"/>
              </w:rPr>
            </w:pPr>
            <w:r>
              <w:rPr>
                <w:rFonts w:ascii="Arial" w:cs="Arial" w:eastAsia="Arial" w:hAnsi="Arial"/>
                <w:sz w:val="18"/>
                <w:szCs w:val="18"/>
                <w:color w:val="auto"/>
              </w:rPr>
              <w:t>22,447</w:t>
            </w:r>
          </w:p>
        </w:tc>
        <w:tc>
          <w:tcPr>
            <w:tcW w:w="1060" w:type="dxa"/>
            <w:vAlign w:val="bottom"/>
            <w:gridSpan w:val="2"/>
          </w:tcPr>
          <w:p>
            <w:pPr>
              <w:jc w:val="right"/>
              <w:spacing w:after="0"/>
              <w:rPr>
                <w:sz w:val="20"/>
                <w:szCs w:val="20"/>
                <w:color w:val="auto"/>
              </w:rPr>
            </w:pPr>
            <w:r>
              <w:rPr>
                <w:rFonts w:ascii="Arial" w:cs="Arial" w:eastAsia="Arial" w:hAnsi="Arial"/>
                <w:sz w:val="18"/>
                <w:szCs w:val="18"/>
                <w:color w:val="auto"/>
              </w:rPr>
              <w:t>26,553</w:t>
            </w:r>
          </w:p>
        </w:tc>
        <w:tc>
          <w:tcPr>
            <w:tcW w:w="1040" w:type="dxa"/>
            <w:vAlign w:val="bottom"/>
            <w:gridSpan w:val="2"/>
          </w:tcPr>
          <w:p>
            <w:pPr>
              <w:jc w:val="right"/>
              <w:spacing w:after="0"/>
              <w:rPr>
                <w:sz w:val="20"/>
                <w:szCs w:val="20"/>
                <w:color w:val="auto"/>
              </w:rPr>
            </w:pPr>
            <w:r>
              <w:rPr>
                <w:rFonts w:ascii="Arial" w:cs="Arial" w:eastAsia="Arial" w:hAnsi="Arial"/>
                <w:sz w:val="18"/>
                <w:szCs w:val="18"/>
                <w:color w:val="auto"/>
              </w:rPr>
              <w:t>19,218</w:t>
            </w:r>
          </w:p>
        </w:tc>
        <w:tc>
          <w:tcPr>
            <w:tcW w:w="100" w:type="dxa"/>
            <w:vAlign w:val="bottom"/>
          </w:tcPr>
          <w:p>
            <w:pPr>
              <w:spacing w:after="0"/>
              <w:rPr>
                <w:sz w:val="18"/>
                <w:szCs w:val="18"/>
                <w:color w:val="auto"/>
              </w:rPr>
            </w:pPr>
          </w:p>
        </w:tc>
      </w:tr>
      <w:tr>
        <w:trPr>
          <w:trHeight w:val="20"/>
        </w:trPr>
        <w:tc>
          <w:tcPr>
            <w:tcW w:w="554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0"/>
        </w:trPr>
        <w:tc>
          <w:tcPr>
            <w:tcW w:w="5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Weighted-average exercise price:</w:t>
            </w:r>
          </w:p>
        </w:tc>
        <w:tc>
          <w:tcPr>
            <w:tcW w:w="1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$ 17.52</w:t>
            </w: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$ 18.59</w:t>
            </w: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$ 17.86</w:t>
            </w:r>
          </w:p>
        </w:tc>
        <w:tc>
          <w:tcPr>
            <w:tcW w:w="10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$ 19.19</w:t>
            </w:r>
          </w:p>
        </w:tc>
        <w:tc>
          <w:tcPr>
            <w:tcW w:w="100" w:type="dxa"/>
            <w:vAlign w:val="bottom"/>
            <w:shd w:val="clear" w:color="auto" w:fill="CCEEFF"/>
          </w:tcPr>
          <w:p>
            <w:pPr>
              <w:spacing w:after="0"/>
              <w:rPr>
                <w:sz w:val="18"/>
                <w:szCs w:val="18"/>
                <w:color w:val="auto"/>
              </w:rPr>
            </w:pPr>
          </w:p>
        </w:tc>
      </w:tr>
      <w:tr>
        <w:trPr>
          <w:trHeight w:val="20"/>
        </w:trPr>
        <w:tc>
          <w:tcPr>
            <w:tcW w:w="554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Anti-dilutive potential common shares for stock options are excluded from the calculation of diluted earnings per share for the periods reported above because their exercise price exceeded the average market price during the period. The anti-dilutive shares reported above also include shares from stock options that contain market conditions for vesting since the market value of the Company’s stock as of July 28, 2012 and July 30, 2011 was lower than the required market condition. For the three and six months ended July 28, 2012, there were 3.1 million anti-dilutive shares from stock options that contain market conditions. For the corresponding three and six months ended July 30, 2011, there were 3.1 million and 1.6 million anti-dilutive shares, respectively, from stock options that contain market conditions. See Note 11 – “Share-Based Compensation” for additional details.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generally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July 28, 2012 and January 28, 2012, the notional amounts of outstanding forward contracts were as follows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48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gridSpan w:val="2"/>
          </w:tcPr>
          <w:p>
            <w:pPr>
              <w:ind w:left="80"/>
              <w:spacing w:after="0"/>
              <w:rPr>
                <w:sz w:val="20"/>
                <w:szCs w:val="20"/>
                <w:color w:val="auto"/>
              </w:rPr>
            </w:pPr>
            <w:r>
              <w:rPr>
                <w:rFonts w:ascii="Arial" w:cs="Arial" w:eastAsia="Arial" w:hAnsi="Arial"/>
                <w:sz w:val="14"/>
                <w:szCs w:val="14"/>
                <w:b w:val="1"/>
                <w:bCs w:val="1"/>
                <w:color w:val="auto"/>
              </w:rPr>
              <w:t>Buy Contracts</w:t>
            </w:r>
          </w:p>
        </w:tc>
        <w:tc>
          <w:tcPr>
            <w:tcW w:w="6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3480" w:type="dxa"/>
            <w:vAlign w:val="bottom"/>
          </w:tcPr>
          <w:p>
            <w:pPr>
              <w:spacing w:after="0"/>
              <w:rPr>
                <w:sz w:val="12"/>
                <w:szCs w:val="12"/>
                <w:color w:val="auto"/>
              </w:rPr>
            </w:pPr>
          </w:p>
        </w:tc>
        <w:tc>
          <w:tcPr>
            <w:tcW w:w="2560" w:type="dxa"/>
            <w:vAlign w:val="bottom"/>
          </w:tcPr>
          <w:p>
            <w:pPr>
              <w:spacing w:after="0"/>
              <w:rPr>
                <w:sz w:val="12"/>
                <w:szCs w:val="12"/>
                <w:color w:val="auto"/>
              </w:rPr>
            </w:pPr>
          </w:p>
        </w:tc>
        <w:tc>
          <w:tcPr>
            <w:tcW w:w="760" w:type="dxa"/>
            <w:vAlign w:val="bottom"/>
          </w:tcPr>
          <w:p>
            <w:pPr>
              <w:spacing w:after="0" w:line="142" w:lineRule="exact"/>
              <w:rPr>
                <w:sz w:val="20"/>
                <w:szCs w:val="20"/>
                <w:color w:val="auto"/>
              </w:rPr>
            </w:pPr>
            <w:r>
              <w:rPr>
                <w:rFonts w:ascii="Arial" w:cs="Arial" w:eastAsia="Arial" w:hAnsi="Arial"/>
                <w:sz w:val="14"/>
                <w:szCs w:val="14"/>
                <w:b w:val="1"/>
                <w:bCs w:val="1"/>
                <w:color w:val="auto"/>
                <w:w w:val="85"/>
              </w:rPr>
              <w:t>July 28, 2012</w:t>
            </w:r>
          </w:p>
        </w:tc>
        <w:tc>
          <w:tcPr>
            <w:tcW w:w="1780" w:type="dxa"/>
            <w:vAlign w:val="bottom"/>
            <w:gridSpan w:val="3"/>
          </w:tcPr>
          <w:p>
            <w:pPr>
              <w:ind w:left="780"/>
              <w:spacing w:after="0" w:line="142" w:lineRule="exact"/>
              <w:rPr>
                <w:sz w:val="20"/>
                <w:szCs w:val="20"/>
                <w:color w:val="auto"/>
              </w:rPr>
            </w:pPr>
            <w:r>
              <w:rPr>
                <w:rFonts w:ascii="Arial" w:cs="Arial" w:eastAsia="Arial" w:hAnsi="Arial"/>
                <w:sz w:val="14"/>
                <w:szCs w:val="14"/>
                <w:b w:val="1"/>
                <w:bCs w:val="1"/>
                <w:color w:val="auto"/>
                <w:w w:val="87"/>
              </w:rPr>
              <w:t>January 28, 2012</w:t>
            </w:r>
          </w:p>
        </w:tc>
        <w:tc>
          <w:tcPr>
            <w:tcW w:w="100" w:type="dxa"/>
            <w:vAlign w:val="bottom"/>
          </w:tcPr>
          <w:p>
            <w:pPr>
              <w:spacing w:after="0"/>
              <w:rPr>
                <w:sz w:val="12"/>
                <w:szCs w:val="12"/>
                <w:color w:val="auto"/>
              </w:rPr>
            </w:pPr>
          </w:p>
        </w:tc>
      </w:tr>
      <w:tr>
        <w:trPr>
          <w:trHeight w:val="210"/>
        </w:trPr>
        <w:tc>
          <w:tcPr>
            <w:tcW w:w="34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2560" w:type="dxa"/>
            <w:vAlign w:val="bottom"/>
            <w:tcBorders>
              <w:top w:val="single" w:sz="8" w:color="CCEEFF"/>
            </w:tcBorders>
            <w:shd w:val="clear" w:color="auto" w:fill="CCEEFF"/>
          </w:tcPr>
          <w:p>
            <w:pPr>
              <w:spacing w:after="0"/>
              <w:rPr>
                <w:sz w:val="18"/>
                <w:szCs w:val="18"/>
                <w:color w:val="auto"/>
              </w:rPr>
            </w:pPr>
          </w:p>
        </w:tc>
        <w:tc>
          <w:tcPr>
            <w:tcW w:w="76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8"/>
              </w:rPr>
              <w:t>$  48,440</w:t>
            </w:r>
          </w:p>
        </w:tc>
        <w:tc>
          <w:tcPr>
            <w:tcW w:w="78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42,637</w:t>
            </w:r>
          </w:p>
        </w:tc>
        <w:tc>
          <w:tcPr>
            <w:tcW w:w="100" w:type="dxa"/>
            <w:vAlign w:val="bottom"/>
            <w:tcBorders>
              <w:top w:val="single" w:sz="8" w:color="CCEEFF"/>
            </w:tcBorders>
            <w:shd w:val="clear" w:color="auto" w:fill="CCEEFF"/>
          </w:tcPr>
          <w:p>
            <w:pPr>
              <w:spacing w:after="0"/>
              <w:rPr>
                <w:sz w:val="18"/>
                <w:szCs w:val="18"/>
                <w:color w:val="auto"/>
              </w:rPr>
            </w:pPr>
          </w:p>
        </w:tc>
      </w:tr>
      <w:tr>
        <w:trPr>
          <w:trHeight w:val="20"/>
        </w:trPr>
        <w:tc>
          <w:tcPr>
            <w:tcW w:w="348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denominated in Israeli shekels.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43"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currency exchange contracts was not significant as of any period presented.</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 – Observable inputs that reflect quoted prices for identical assets or liabilities in active markets.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The fair value hierarchy also requires an entity to maximize the use of observable inputs and minimize the use of unobservable inputs when measuring fair</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380"/>
          </w:cols>
          <w:pgMar w:left="240" w:top="459" w:right="27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Company’s Level 1 assets include its institutional money-market funds that are classified as cash equivalents and marketable investments in U.S. federal and state debt securities, which are valued primarily using quoted market prices. The Company’s Level 2 assets and liabilities include its marketable investments in corporate debt securities as the market inputs to value these instruments consist of market yields, reported trades and broker/dealer quotes, which are corroborated with observable market data. In addition, foreign currency exchange contracts are classified within Level 2 as the valuation inputs are based on quoted prices and market observable data of similar instruments. The Company’s Level 3 assets include its investments in auction rate securities, which are classified within Level 3 because there are currently no active markets for the auction rate securities and consequently the Company is unable to obtain independent valuations from market sources. Therefore, the auction rate securities are valued using a discounted cash flow model. Some of the inputs to the cash flow model are unobservable in the market. The total amount of assets measured using Level 3 valuation methodologies represented 0.3% of total assets as of July 28, 2012.</w:t>
      </w:r>
    </w:p>
    <w:p>
      <w:pPr>
        <w:spacing w:after="0" w:line="120"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The tables below set forth, by level, the Company’s financial assets that were accounted for at fair value as of July 28, 2012 and January 28, 2012. The tables do not include assets and liabilities that are measured at historical cost or any basis other than fair value (in thousands):</w:t>
      </w:r>
    </w:p>
    <w:p>
      <w:pPr>
        <w:spacing w:after="0" w:line="10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80" w:type="dxa"/>
            <w:vAlign w:val="bottom"/>
            <w:gridSpan w:val="4"/>
          </w:tcPr>
          <w:p>
            <w:pPr>
              <w:ind w:left="240"/>
              <w:spacing w:after="0"/>
              <w:rPr>
                <w:sz w:val="20"/>
                <w:szCs w:val="20"/>
                <w:color w:val="auto"/>
              </w:rPr>
            </w:pPr>
            <w:r>
              <w:rPr>
                <w:rFonts w:ascii="Arial" w:cs="Arial" w:eastAsia="Arial" w:hAnsi="Arial"/>
                <w:sz w:val="14"/>
                <w:szCs w:val="14"/>
                <w:b w:val="1"/>
                <w:bCs w:val="1"/>
                <w:color w:val="auto"/>
                <w:w w:val="95"/>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w w:val="92"/>
              </w:rPr>
              <w:t>Level 1</w:t>
            </w: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54"/>
              <w:spacing w:after="0"/>
              <w:rPr>
                <w:sz w:val="20"/>
                <w:szCs w:val="20"/>
                <w:color w:val="auto"/>
              </w:rPr>
            </w:pPr>
            <w:r>
              <w:rPr>
                <w:rFonts w:ascii="Arial" w:cs="Arial" w:eastAsia="Arial" w:hAnsi="Arial"/>
                <w:sz w:val="14"/>
                <w:szCs w:val="14"/>
                <w:b w:val="1"/>
                <w:bCs w:val="1"/>
                <w:color w:val="auto"/>
                <w:w w:val="88"/>
              </w:rPr>
              <w:t>Level 2</w:t>
            </w:r>
          </w:p>
        </w:tc>
        <w:tc>
          <w:tcPr>
            <w:tcW w:w="460" w:type="dxa"/>
            <w:vAlign w:val="bottom"/>
          </w:tcPr>
          <w:p>
            <w:pPr>
              <w:spacing w:after="0"/>
              <w:rPr>
                <w:sz w:val="14"/>
                <w:szCs w:val="14"/>
                <w:color w:val="auto"/>
              </w:rPr>
            </w:pPr>
          </w:p>
        </w:tc>
        <w:tc>
          <w:tcPr>
            <w:tcW w:w="800" w:type="dxa"/>
            <w:vAlign w:val="bottom"/>
            <w:gridSpan w:val="3"/>
          </w:tcPr>
          <w:p>
            <w:pPr>
              <w:jc w:val="right"/>
              <w:ind w:right="300"/>
              <w:spacing w:after="0"/>
              <w:rPr>
                <w:sz w:val="20"/>
                <w:szCs w:val="20"/>
                <w:color w:val="auto"/>
              </w:rPr>
            </w:pPr>
            <w:r>
              <w:rPr>
                <w:rFonts w:ascii="Arial" w:cs="Arial" w:eastAsia="Arial" w:hAnsi="Arial"/>
                <w:sz w:val="14"/>
                <w:szCs w:val="14"/>
                <w:b w:val="1"/>
                <w:bCs w:val="1"/>
                <w:color w:val="auto"/>
              </w:rPr>
              <w:t>Level 3</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at July 28, 2012</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4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Items measured at fair value on a recurring basis:</w:t>
            </w:r>
          </w:p>
        </w:tc>
        <w:tc>
          <w:tcPr>
            <w:tcW w:w="13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10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Assets</w:t>
            </w:r>
          </w:p>
        </w:tc>
        <w:tc>
          <w:tcPr>
            <w:tcW w:w="1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1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93,827</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340" w:type="dxa"/>
            <w:vAlign w:val="bottom"/>
            <w:gridSpan w:val="2"/>
          </w:tcPr>
          <w:p>
            <w:pPr>
              <w:ind w:left="240"/>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93,827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30,243</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30,243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Time deposits</w:t>
            </w:r>
          </w:p>
        </w:tc>
        <w:tc>
          <w:tcPr>
            <w:tcW w:w="1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214,706</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214,706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U.S. federal and state debt securities</w:t>
            </w:r>
          </w:p>
        </w:tc>
        <w:tc>
          <w:tcPr>
            <w:tcW w:w="1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609,580</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609,580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616,469</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616,469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Foreign government</w:t>
            </w:r>
          </w:p>
        </w:tc>
        <w:tc>
          <w:tcPr>
            <w:tcW w:w="1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2,036</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2,036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220"/>
              <w:spacing w:after="0"/>
              <w:rPr>
                <w:sz w:val="20"/>
                <w:szCs w:val="20"/>
                <w:color w:val="auto"/>
              </w:rPr>
            </w:pPr>
            <w:r>
              <w:rPr>
                <w:rFonts w:ascii="Arial" w:cs="Arial" w:eastAsia="Arial" w:hAnsi="Arial"/>
                <w:sz w:val="18"/>
                <w:szCs w:val="18"/>
                <w:color w:val="auto"/>
                <w:w w:val="83"/>
              </w:rPr>
              <w:t>18,103</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18,103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13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1,713</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1,713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4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703,407</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865,167</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3"/>
              </w:rPr>
              <w:t>18,103</w:t>
            </w: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1,586,677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60" w:type="dxa"/>
            <w:vAlign w:val="bottom"/>
            <w:gridSpan w:val="2"/>
            <w:vMerge w:val="restart"/>
          </w:tcPr>
          <w:p>
            <w:pPr>
              <w:spacing w:after="0"/>
              <w:rPr>
                <w:sz w:val="20"/>
                <w:szCs w:val="20"/>
                <w:color w:val="auto"/>
              </w:rPr>
            </w:pPr>
            <w:r>
              <w:rPr>
                <w:rFonts w:ascii="Arial" w:cs="Arial" w:eastAsia="Arial" w:hAnsi="Arial"/>
                <w:sz w:val="18"/>
                <w:szCs w:val="18"/>
                <w:color w:val="auto"/>
              </w:rPr>
              <w:t>Liabilities</w:t>
            </w:r>
          </w:p>
        </w:tc>
        <w:tc>
          <w:tcPr>
            <w:tcW w:w="1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460" w:type="dxa"/>
            <w:vAlign w:val="bottom"/>
            <w:gridSpan w:val="2"/>
            <w:vMerge w:val="continue"/>
          </w:tcPr>
          <w:p>
            <w:pPr>
              <w:spacing w:after="0"/>
              <w:rPr>
                <w:sz w:val="18"/>
                <w:szCs w:val="18"/>
                <w:color w:val="auto"/>
              </w:rPr>
            </w:pPr>
          </w:p>
        </w:tc>
        <w:tc>
          <w:tcPr>
            <w:tcW w:w="1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1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1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1,772</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340" w:type="dxa"/>
            <w:vAlign w:val="bottom"/>
            <w:gridSpan w:val="2"/>
          </w:tcPr>
          <w:p>
            <w:pPr>
              <w:ind w:left="240"/>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1,772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40" w:type="dxa"/>
            <w:vAlign w:val="bottom"/>
          </w:tcPr>
          <w:p>
            <w:pPr>
              <w:spacing w:after="0" w:line="20" w:lineRule="exact"/>
              <w:rPr>
                <w:sz w:val="1"/>
                <w:szCs w:val="1"/>
                <w:color w:val="auto"/>
              </w:rPr>
            </w:pPr>
          </w:p>
        </w:tc>
        <w:tc>
          <w:tcPr>
            <w:tcW w:w="1360" w:type="dxa"/>
            <w:vAlign w:val="bottom"/>
            <w:vMerge w:val="restart"/>
          </w:tcPr>
          <w:p>
            <w:pPr>
              <w:jc w:val="right"/>
              <w:ind w:right="392"/>
              <w:spacing w:after="0"/>
              <w:rPr>
                <w:sz w:val="20"/>
                <w:szCs w:val="20"/>
                <w:color w:val="auto"/>
              </w:rPr>
            </w:pPr>
            <w:r>
              <w:rPr>
                <w:rFonts w:ascii="Arial" w:cs="Arial" w:eastAsia="Arial" w:hAnsi="Arial"/>
                <w:sz w:val="18"/>
                <w:szCs w:val="18"/>
                <w:color w:val="auto"/>
              </w:rPr>
              <w:t>12</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440" w:type="dxa"/>
            <w:vAlign w:val="bottom"/>
          </w:tcPr>
          <w:p>
            <w:pPr>
              <w:spacing w:after="0"/>
              <w:rPr>
                <w:sz w:val="24"/>
                <w:szCs w:val="24"/>
                <w:color w:val="auto"/>
              </w:rPr>
            </w:pPr>
          </w:p>
        </w:tc>
        <w:tc>
          <w:tcPr>
            <w:tcW w:w="13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00"/>
          </w:cols>
          <w:pgMar w:left="240" w:top="459" w:right="3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360" w:type="dxa"/>
            <w:vAlign w:val="bottom"/>
            <w:gridSpan w:val="7"/>
          </w:tcPr>
          <w:p>
            <w:pPr>
              <w:ind w:left="120"/>
              <w:spacing w:after="0"/>
              <w:rPr>
                <w:sz w:val="20"/>
                <w:szCs w:val="20"/>
                <w:color w:val="auto"/>
              </w:rPr>
            </w:pPr>
            <w:r>
              <w:rPr>
                <w:rFonts w:ascii="Arial" w:cs="Arial" w:eastAsia="Arial" w:hAnsi="Arial"/>
                <w:sz w:val="14"/>
                <w:szCs w:val="14"/>
                <w:b w:val="1"/>
                <w:bCs w:val="1"/>
                <w:color w:val="auto"/>
                <w:w w:val="95"/>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40" w:type="dxa"/>
            <w:vAlign w:val="bottom"/>
            <w:gridSpan w:val="6"/>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60" w:type="dxa"/>
            <w:vAlign w:val="bottom"/>
            <w:gridSpan w:val="5"/>
          </w:tcPr>
          <w:p>
            <w:pPr>
              <w:jc w:val="center"/>
              <w:ind w:right="280"/>
              <w:spacing w:after="0" w:line="149" w:lineRule="exact"/>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w w:val="92"/>
              </w:rPr>
              <w:t>Level 1</w:t>
            </w: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54"/>
              <w:spacing w:after="0"/>
              <w:rPr>
                <w:sz w:val="20"/>
                <w:szCs w:val="20"/>
                <w:color w:val="auto"/>
              </w:rPr>
            </w:pPr>
            <w:r>
              <w:rPr>
                <w:rFonts w:ascii="Arial" w:cs="Arial" w:eastAsia="Arial" w:hAnsi="Arial"/>
                <w:sz w:val="14"/>
                <w:szCs w:val="14"/>
                <w:b w:val="1"/>
                <w:bCs w:val="1"/>
                <w:color w:val="auto"/>
                <w:w w:val="88"/>
              </w:rPr>
              <w:t>Level 2</w:t>
            </w:r>
          </w:p>
        </w:tc>
        <w:tc>
          <w:tcPr>
            <w:tcW w:w="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20" w:type="dxa"/>
            <w:vAlign w:val="bottom"/>
            <w:gridSpan w:val="4"/>
          </w:tcPr>
          <w:p>
            <w:pPr>
              <w:jc w:val="right"/>
              <w:ind w:right="420"/>
              <w:spacing w:after="0"/>
              <w:rPr>
                <w:sz w:val="20"/>
                <w:szCs w:val="20"/>
                <w:color w:val="auto"/>
              </w:rPr>
            </w:pPr>
            <w:r>
              <w:rPr>
                <w:rFonts w:ascii="Arial" w:cs="Arial" w:eastAsia="Arial" w:hAnsi="Arial"/>
                <w:sz w:val="14"/>
                <w:szCs w:val="14"/>
                <w:b w:val="1"/>
                <w:bCs w:val="1"/>
                <w:color w:val="auto"/>
              </w:rPr>
              <w:t>Level 3</w:t>
            </w:r>
          </w:p>
        </w:tc>
        <w:tc>
          <w:tcPr>
            <w:tcW w:w="120" w:type="dxa"/>
            <w:vAlign w:val="bottom"/>
          </w:tcPr>
          <w:p>
            <w:pPr>
              <w:spacing w:after="0"/>
              <w:rPr>
                <w:sz w:val="14"/>
                <w:szCs w:val="14"/>
                <w:color w:val="auto"/>
              </w:rPr>
            </w:pPr>
          </w:p>
        </w:tc>
        <w:tc>
          <w:tcPr>
            <w:tcW w:w="1240" w:type="dxa"/>
            <w:vAlign w:val="bottom"/>
            <w:gridSpan w:val="6"/>
          </w:tcPr>
          <w:p>
            <w:pPr>
              <w:spacing w:after="0"/>
              <w:rPr>
                <w:sz w:val="20"/>
                <w:szCs w:val="20"/>
                <w:color w:val="auto"/>
              </w:rPr>
            </w:pPr>
            <w:r>
              <w:rPr>
                <w:rFonts w:ascii="Arial" w:cs="Arial" w:eastAsia="Arial" w:hAnsi="Arial"/>
                <w:sz w:val="14"/>
                <w:szCs w:val="14"/>
                <w:b w:val="1"/>
                <w:bCs w:val="1"/>
                <w:color w:val="auto"/>
                <w:w w:val="94"/>
              </w:rPr>
              <w:t>at January 28, 2012</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8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Items measured at fair value on a recurring basis:</w:t>
            </w: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spacing w:after="0"/>
              <w:rPr>
                <w:sz w:val="20"/>
                <w:szCs w:val="20"/>
                <w:color w:val="auto"/>
              </w:rPr>
            </w:pPr>
            <w:r>
              <w:rPr>
                <w:rFonts w:ascii="Arial" w:cs="Arial" w:eastAsia="Arial" w:hAnsi="Arial"/>
                <w:sz w:val="18"/>
                <w:szCs w:val="18"/>
                <w:color w:val="auto"/>
              </w:rPr>
              <w:t>Assets</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64,247</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3"/>
          </w:tcPr>
          <w:p>
            <w:pPr>
              <w:ind w:left="460"/>
              <w:spacing w:after="0"/>
              <w:rPr>
                <w:sz w:val="20"/>
                <w:szCs w:val="20"/>
                <w:color w:val="auto"/>
              </w:rPr>
            </w:pPr>
            <w:r>
              <w:rPr>
                <w:rFonts w:ascii="Arial" w:cs="Arial" w:eastAsia="Arial" w:hAnsi="Arial"/>
                <w:sz w:val="18"/>
                <w:szCs w:val="18"/>
                <w:color w:val="auto"/>
                <w:w w:val="79"/>
              </w:rPr>
              <w:t>$</w:t>
            </w:r>
          </w:p>
        </w:tc>
        <w:tc>
          <w:tcPr>
            <w:tcW w:w="820" w:type="dxa"/>
            <w:vAlign w:val="bottom"/>
            <w:gridSpan w:val="3"/>
          </w:tcPr>
          <w:p>
            <w:pPr>
              <w:jc w:val="right"/>
              <w:ind w:right="420"/>
              <w:spacing w:after="0"/>
              <w:rPr>
                <w:sz w:val="20"/>
                <w:szCs w:val="20"/>
                <w:color w:val="auto"/>
              </w:rPr>
            </w:pPr>
            <w:r>
              <w:rPr>
                <w:rFonts w:ascii="Arial" w:cs="Arial" w:eastAsia="Arial" w:hAnsi="Arial"/>
                <w:sz w:val="18"/>
                <w:szCs w:val="18"/>
                <w:color w:val="auto"/>
              </w:rPr>
              <w:t>—</w:t>
            </w:r>
          </w:p>
        </w:tc>
        <w:tc>
          <w:tcPr>
            <w:tcW w:w="30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64,247</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12,500</w:t>
            </w:r>
          </w:p>
        </w:tc>
        <w:tc>
          <w:tcPr>
            <w:tcW w:w="4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12,500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Time deposits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205,060</w:t>
            </w:r>
          </w:p>
        </w:tc>
        <w:tc>
          <w:tcPr>
            <w:tcW w:w="4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3"/>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82"/>
              </w:rPr>
              <w:t>205,060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U.S. federal and state debt securities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771,715</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3"/>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82"/>
              </w:rPr>
              <w:t>771,715</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687,845</w:t>
            </w:r>
          </w:p>
        </w:tc>
        <w:tc>
          <w:tcPr>
            <w:tcW w:w="4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2"/>
              </w:rPr>
              <w:t>687,845</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Foreign government</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2,036</w:t>
            </w:r>
          </w:p>
        </w:tc>
        <w:tc>
          <w:tcPr>
            <w:tcW w:w="4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3"/>
          </w:tcPr>
          <w:p>
            <w:pPr>
              <w:jc w:val="right"/>
              <w:ind w:right="4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2,036</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right"/>
              <w:ind w:right="140"/>
              <w:spacing w:after="0"/>
              <w:rPr>
                <w:sz w:val="20"/>
                <w:szCs w:val="20"/>
                <w:color w:val="auto"/>
              </w:rPr>
            </w:pPr>
            <w:r>
              <w:rPr>
                <w:rFonts w:ascii="Arial" w:cs="Arial" w:eastAsia="Arial" w:hAnsi="Arial"/>
                <w:sz w:val="18"/>
                <w:szCs w:val="18"/>
                <w:color w:val="auto"/>
                <w:w w:val="83"/>
              </w:rPr>
              <w:t>23,215</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23,215</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1,734</w:t>
            </w:r>
          </w:p>
        </w:tc>
        <w:tc>
          <w:tcPr>
            <w:tcW w:w="4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40" w:type="dxa"/>
            <w:vAlign w:val="bottom"/>
            <w:gridSpan w:val="2"/>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1,734</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835,962</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909,175</w:t>
            </w:r>
          </w:p>
        </w:tc>
        <w:tc>
          <w:tcPr>
            <w:tcW w:w="1180" w:type="dxa"/>
            <w:vAlign w:val="bottom"/>
            <w:gridSpan w:val="5"/>
            <w:shd w:val="clear" w:color="auto" w:fill="CCEEFF"/>
          </w:tcPr>
          <w:p>
            <w:pPr>
              <w:ind w:left="4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23,215</w:t>
            </w:r>
          </w:p>
        </w:tc>
        <w:tc>
          <w:tcPr>
            <w:tcW w:w="200" w:type="dxa"/>
            <w:vAlign w:val="bottom"/>
            <w:shd w:val="clear" w:color="auto" w:fill="CCEEFF"/>
          </w:tcPr>
          <w:p>
            <w:pPr>
              <w:spacing w:after="0"/>
              <w:rPr>
                <w:sz w:val="18"/>
                <w:szCs w:val="18"/>
                <w:color w:val="auto"/>
              </w:rPr>
            </w:pPr>
          </w:p>
        </w:tc>
        <w:tc>
          <w:tcPr>
            <w:tcW w:w="30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98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1,768,352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820" w:type="dxa"/>
            <w:vAlign w:val="bottom"/>
            <w:gridSpan w:val="2"/>
            <w:vMerge w:val="restart"/>
          </w:tcPr>
          <w:p>
            <w:pPr>
              <w:spacing w:after="0"/>
              <w:rPr>
                <w:sz w:val="20"/>
                <w:szCs w:val="20"/>
                <w:color w:val="auto"/>
              </w:rPr>
            </w:pPr>
            <w:r>
              <w:rPr>
                <w:rFonts w:ascii="Arial" w:cs="Arial" w:eastAsia="Arial" w:hAnsi="Arial"/>
                <w:sz w:val="18"/>
                <w:szCs w:val="18"/>
                <w:color w:val="auto"/>
              </w:rPr>
              <w:t>Liabilities</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582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1,520</w:t>
            </w:r>
          </w:p>
        </w:tc>
        <w:tc>
          <w:tcPr>
            <w:tcW w:w="560" w:type="dxa"/>
            <w:vAlign w:val="bottom"/>
            <w:gridSpan w:val="3"/>
          </w:tcPr>
          <w:p>
            <w:pPr>
              <w:ind w:left="460"/>
              <w:spacing w:after="0"/>
              <w:rPr>
                <w:sz w:val="20"/>
                <w:szCs w:val="20"/>
                <w:color w:val="auto"/>
              </w:rPr>
            </w:pPr>
            <w:r>
              <w:rPr>
                <w:rFonts w:ascii="Arial" w:cs="Arial" w:eastAsia="Arial" w:hAnsi="Arial"/>
                <w:sz w:val="18"/>
                <w:szCs w:val="18"/>
                <w:color w:val="auto"/>
                <w:w w:val="79"/>
              </w:rPr>
              <w:t>$</w:t>
            </w:r>
          </w:p>
        </w:tc>
        <w:tc>
          <w:tcPr>
            <w:tcW w:w="820" w:type="dxa"/>
            <w:vAlign w:val="bottom"/>
            <w:gridSpan w:val="3"/>
          </w:tcPr>
          <w:p>
            <w:pPr>
              <w:jc w:val="right"/>
              <w:ind w:right="420"/>
              <w:spacing w:after="0"/>
              <w:rPr>
                <w:sz w:val="20"/>
                <w:szCs w:val="20"/>
                <w:color w:val="auto"/>
              </w:rPr>
            </w:pPr>
            <w:r>
              <w:rPr>
                <w:rFonts w:ascii="Arial" w:cs="Arial" w:eastAsia="Arial" w:hAnsi="Arial"/>
                <w:sz w:val="18"/>
                <w:szCs w:val="18"/>
                <w:color w:val="auto"/>
              </w:rPr>
              <w:t>—</w:t>
            </w:r>
          </w:p>
        </w:tc>
        <w:tc>
          <w:tcPr>
            <w:tcW w:w="30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1,520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820" w:type="dxa"/>
            <w:vAlign w:val="bottom"/>
            <w:gridSpan w:val="2"/>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6500" w:type="dxa"/>
            <w:vAlign w:val="bottom"/>
            <w:gridSpan w:val="4"/>
          </w:tcPr>
          <w:p>
            <w:pPr>
              <w:spacing w:after="0"/>
              <w:rPr>
                <w:sz w:val="20"/>
                <w:szCs w:val="20"/>
                <w:color w:val="auto"/>
              </w:rPr>
            </w:pPr>
            <w:r>
              <w:rPr>
                <w:rFonts w:ascii="Arial" w:cs="Arial" w:eastAsia="Arial" w:hAnsi="Arial"/>
                <w:sz w:val="18"/>
                <w:szCs w:val="18"/>
                <w:color w:val="auto"/>
                <w:w w:val="92"/>
              </w:rPr>
              <w:t>The following table summarizes the change in fair value for Level 3 items (in thousands):</w:t>
            </w: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5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520" w:type="dxa"/>
            <w:vAlign w:val="bottom"/>
            <w:tcBorders>
              <w:bottom w:val="single" w:sz="8" w:color="auto"/>
            </w:tcBorders>
            <w:gridSpan w:val="7"/>
          </w:tcPr>
          <w:p>
            <w:pPr>
              <w:ind w:left="440"/>
              <w:spacing w:after="0"/>
              <w:rPr>
                <w:sz w:val="20"/>
                <w:szCs w:val="20"/>
                <w:color w:val="auto"/>
              </w:rPr>
            </w:pPr>
            <w:r>
              <w:rPr>
                <w:rFonts w:ascii="Arial" w:cs="Arial" w:eastAsia="Arial" w:hAnsi="Arial"/>
                <w:sz w:val="14"/>
                <w:szCs w:val="14"/>
                <w:b w:val="1"/>
                <w:bCs w:val="1"/>
                <w:color w:val="auto"/>
                <w:w w:val="87"/>
              </w:rPr>
              <w:t>Six Months Ended</w:t>
            </w:r>
          </w:p>
        </w:tc>
        <w:tc>
          <w:tcPr>
            <w:tcW w:w="56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940" w:type="dxa"/>
            <w:vAlign w:val="bottom"/>
            <w:gridSpan w:val="5"/>
          </w:tcPr>
          <w:p>
            <w:pPr>
              <w:jc w:val="right"/>
              <w:ind w:right="200"/>
              <w:spacing w:after="0" w:line="142" w:lineRule="exact"/>
              <w:rPr>
                <w:sz w:val="20"/>
                <w:szCs w:val="20"/>
                <w:color w:val="auto"/>
              </w:rPr>
            </w:pPr>
            <w:r>
              <w:rPr>
                <w:rFonts w:ascii="Arial" w:cs="Arial" w:eastAsia="Arial" w:hAnsi="Arial"/>
                <w:sz w:val="14"/>
                <w:szCs w:val="14"/>
                <w:b w:val="1"/>
                <w:bCs w:val="1"/>
                <w:color w:val="auto"/>
                <w:w w:val="83"/>
              </w:rPr>
              <w:t>July 28, 2012</w:t>
            </w: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gridSpan w:val="2"/>
          </w:tcPr>
          <w:p>
            <w:pPr>
              <w:spacing w:after="0" w:line="142" w:lineRule="exact"/>
              <w:rPr>
                <w:sz w:val="20"/>
                <w:szCs w:val="20"/>
                <w:color w:val="auto"/>
              </w:rPr>
            </w:pPr>
            <w:r>
              <w:rPr>
                <w:rFonts w:ascii="Arial" w:cs="Arial" w:eastAsia="Arial" w:hAnsi="Arial"/>
                <w:sz w:val="14"/>
                <w:szCs w:val="14"/>
                <w:b w:val="1"/>
                <w:bCs w:val="1"/>
                <w:color w:val="auto"/>
                <w:w w:val="85"/>
              </w:rPr>
              <w:t>July 30, 2011</w:t>
            </w:r>
          </w:p>
        </w:tc>
        <w:tc>
          <w:tcPr>
            <w:tcW w:w="100" w:type="dxa"/>
            <w:vAlign w:val="bottom"/>
            <w:gridSpan w:val="2"/>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Beginning balance</w:t>
            </w: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4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26,226</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spacing w:after="0"/>
              <w:rPr>
                <w:sz w:val="20"/>
                <w:szCs w:val="20"/>
                <w:color w:val="auto"/>
              </w:rPr>
            </w:pPr>
            <w:r>
              <w:rPr>
                <w:rFonts w:ascii="Arial" w:cs="Arial" w:eastAsia="Arial" w:hAnsi="Arial"/>
                <w:sz w:val="18"/>
                <w:szCs w:val="18"/>
                <w:color w:val="auto"/>
              </w:rPr>
              <w:t>Sales and redemption</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3"/>
          </w:tcPr>
          <w:p>
            <w:pPr>
              <w:jc w:val="right"/>
              <w:ind w:right="140"/>
              <w:spacing w:after="0"/>
              <w:rPr>
                <w:sz w:val="20"/>
                <w:szCs w:val="20"/>
                <w:color w:val="auto"/>
              </w:rPr>
            </w:pPr>
            <w:r>
              <w:rPr>
                <w:rFonts w:ascii="Arial" w:cs="Arial" w:eastAsia="Arial" w:hAnsi="Arial"/>
                <w:sz w:val="18"/>
                <w:szCs w:val="18"/>
                <w:color w:val="auto"/>
              </w:rPr>
              <w:t>(5,000)</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60" w:type="dxa"/>
            <w:vAlign w:val="bottom"/>
            <w:gridSpan w:val="3"/>
          </w:tcPr>
          <w:p>
            <w:pPr>
              <w:jc w:val="right"/>
              <w:ind w:right="40"/>
              <w:spacing w:after="0"/>
              <w:rPr>
                <w:sz w:val="20"/>
                <w:szCs w:val="20"/>
                <w:color w:val="auto"/>
              </w:rPr>
            </w:pPr>
            <w:r>
              <w:rPr>
                <w:rFonts w:ascii="Arial" w:cs="Arial" w:eastAsia="Arial" w:hAnsi="Arial"/>
                <w:sz w:val="18"/>
                <w:szCs w:val="18"/>
                <w:color w:val="auto"/>
              </w:rPr>
              <w:t>(200)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w w:val="95"/>
              </w:rPr>
              <w:t>Unrealized (loss) gain included in accumulated other comprehensive income</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(112)</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44</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820" w:type="dxa"/>
            <w:vAlign w:val="bottom"/>
            <w:gridSpan w:val="2"/>
            <w:vMerge w:val="restart"/>
          </w:tcPr>
          <w:p>
            <w:pPr>
              <w:spacing w:after="0"/>
              <w:rPr>
                <w:sz w:val="20"/>
                <w:szCs w:val="20"/>
                <w:color w:val="auto"/>
              </w:rPr>
            </w:pPr>
            <w:r>
              <w:rPr>
                <w:rFonts w:ascii="Arial" w:cs="Arial" w:eastAsia="Arial" w:hAnsi="Arial"/>
                <w:sz w:val="18"/>
                <w:szCs w:val="18"/>
                <w:color w:val="auto"/>
              </w:rPr>
              <w:t>Ending balance</w:t>
            </w: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gridSpan w:val="2"/>
            <w:shd w:val="clear" w:color="auto" w:fill="000000"/>
          </w:tcPr>
          <w:p>
            <w:pPr>
              <w:spacing w:after="0" w:line="20" w:lineRule="exact"/>
              <w:rPr>
                <w:sz w:val="1"/>
                <w:szCs w:val="1"/>
                <w:color w:val="auto"/>
              </w:rPr>
            </w:pPr>
          </w:p>
        </w:tc>
        <w:tc>
          <w:tcPr>
            <w:tcW w:w="620" w:type="dxa"/>
            <w:vAlign w:val="bottom"/>
            <w:gridSpan w:val="2"/>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820" w:type="dxa"/>
            <w:vAlign w:val="bottom"/>
            <w:gridSpan w:val="2"/>
            <w:vMerge w:val="continue"/>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18,103</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40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26,070</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8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Goodwill and Acquired Intangible Assets, Net (in thousands)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was no change in goodwill during the six months ended July 28, 2012.</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0960"/>
          </w:cols>
          <w:pgMar w:left="240" w:top="459" w:right="69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020" w:type="dxa"/>
            <w:vAlign w:val="bottom"/>
          </w:tcPr>
          <w:p>
            <w:pPr>
              <w:spacing w:after="0"/>
              <w:rPr>
                <w:sz w:val="14"/>
                <w:szCs w:val="14"/>
                <w:color w:val="auto"/>
              </w:rPr>
            </w:pPr>
          </w:p>
        </w:tc>
        <w:tc>
          <w:tcPr>
            <w:tcW w:w="23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July 28, 2012</w:t>
            </w: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gridSpan w:val="4"/>
          </w:tcPr>
          <w:p>
            <w:pPr>
              <w:jc w:val="right"/>
              <w:ind w:right="220"/>
              <w:spacing w:after="0"/>
              <w:rPr>
                <w:sz w:val="20"/>
                <w:szCs w:val="20"/>
                <w:color w:val="auto"/>
              </w:rPr>
            </w:pPr>
            <w:r>
              <w:rPr>
                <w:rFonts w:ascii="Arial" w:cs="Arial" w:eastAsia="Arial" w:hAnsi="Arial"/>
                <w:sz w:val="14"/>
                <w:szCs w:val="14"/>
                <w:b w:val="1"/>
                <w:bCs w:val="1"/>
                <w:color w:val="auto"/>
                <w:w w:val="94"/>
              </w:rPr>
              <w:t>January 28, 2012</w:t>
            </w: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020" w:type="dxa"/>
            <w:vAlign w:val="bottom"/>
          </w:tcPr>
          <w:p>
            <w:pPr>
              <w:spacing w:after="0"/>
              <w:rPr>
                <w:sz w:val="11"/>
                <w:szCs w:val="11"/>
                <w:color w:val="auto"/>
              </w:rPr>
            </w:pPr>
          </w:p>
        </w:tc>
        <w:tc>
          <w:tcPr>
            <w:tcW w:w="254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83"/>
              </w:rPr>
              <w:t>Range of</w:t>
            </w:r>
          </w:p>
        </w:tc>
        <w:tc>
          <w:tcPr>
            <w:tcW w:w="20" w:type="dxa"/>
            <w:vAlign w:val="bottom"/>
          </w:tcPr>
          <w:p>
            <w:pPr>
              <w:spacing w:after="0"/>
              <w:rPr>
                <w:sz w:val="11"/>
                <w:szCs w:val="11"/>
                <w:color w:val="auto"/>
              </w:rPr>
            </w:pPr>
          </w:p>
        </w:tc>
        <w:tc>
          <w:tcPr>
            <w:tcW w:w="680" w:type="dxa"/>
            <w:vAlign w:val="bottom"/>
            <w:gridSpan w:val="2"/>
          </w:tcPr>
          <w:p>
            <w:pPr>
              <w:jc w:val="center"/>
              <w:ind w:right="60"/>
              <w:spacing w:after="0" w:line="129" w:lineRule="exact"/>
              <w:rPr>
                <w:sz w:val="20"/>
                <w:szCs w:val="20"/>
                <w:color w:val="auto"/>
              </w:rPr>
            </w:pPr>
            <w:r>
              <w:rPr>
                <w:rFonts w:ascii="Arial" w:cs="Arial" w:eastAsia="Arial" w:hAnsi="Arial"/>
                <w:sz w:val="14"/>
                <w:szCs w:val="14"/>
                <w:b w:val="1"/>
                <w:bCs w:val="1"/>
                <w:color w:val="auto"/>
                <w:w w:val="83"/>
              </w:rPr>
              <w:t>Gross</w:t>
            </w: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8"/>
              </w:rPr>
              <w:t>Net</w:t>
            </w:r>
          </w:p>
        </w:tc>
        <w:tc>
          <w:tcPr>
            <w:tcW w:w="1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gridSpan w:val="2"/>
          </w:tcPr>
          <w:p>
            <w:pPr>
              <w:jc w:val="center"/>
              <w:ind w:right="100"/>
              <w:spacing w:after="0" w:line="129" w:lineRule="exact"/>
              <w:rPr>
                <w:sz w:val="20"/>
                <w:szCs w:val="20"/>
                <w:color w:val="auto"/>
              </w:rPr>
            </w:pPr>
            <w:r>
              <w:rPr>
                <w:rFonts w:ascii="Arial" w:cs="Arial" w:eastAsia="Arial" w:hAnsi="Arial"/>
                <w:sz w:val="14"/>
                <w:szCs w:val="14"/>
                <w:b w:val="1"/>
                <w:bCs w:val="1"/>
                <w:color w:val="auto"/>
                <w:w w:val="78"/>
              </w:rPr>
              <w:t>Gross</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jc w:val="center"/>
              <w:ind w:right="17"/>
              <w:spacing w:after="0" w:line="129" w:lineRule="exact"/>
              <w:rPr>
                <w:sz w:val="20"/>
                <w:szCs w:val="20"/>
                <w:color w:val="auto"/>
              </w:rPr>
            </w:pPr>
            <w:r>
              <w:rPr>
                <w:rFonts w:ascii="Arial" w:cs="Arial" w:eastAsia="Arial" w:hAnsi="Arial"/>
                <w:sz w:val="14"/>
                <w:szCs w:val="14"/>
                <w:b w:val="1"/>
                <w:bCs w:val="1"/>
                <w:color w:val="auto"/>
                <w:w w:val="88"/>
              </w:rPr>
              <w:t>Net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3020" w:type="dxa"/>
            <w:vAlign w:val="bottom"/>
          </w:tcPr>
          <w:p>
            <w:pPr>
              <w:spacing w:after="0"/>
              <w:rPr>
                <w:sz w:val="11"/>
                <w:szCs w:val="11"/>
                <w:color w:val="auto"/>
              </w:rPr>
            </w:pPr>
          </w:p>
        </w:tc>
        <w:tc>
          <w:tcPr>
            <w:tcW w:w="2540" w:type="dxa"/>
            <w:vAlign w:val="bottom"/>
            <w:gridSpan w:val="2"/>
            <w:vMerge w:val="continue"/>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gridSpan w:val="2"/>
          </w:tcPr>
          <w:p>
            <w:pPr>
              <w:jc w:val="center"/>
              <w:ind w:right="40"/>
              <w:spacing w:after="0" w:line="135" w:lineRule="exact"/>
              <w:rPr>
                <w:sz w:val="20"/>
                <w:szCs w:val="20"/>
                <w:color w:val="auto"/>
              </w:rPr>
            </w:pPr>
            <w:r>
              <w:rPr>
                <w:rFonts w:ascii="Arial" w:cs="Arial" w:eastAsia="Arial" w:hAnsi="Arial"/>
                <w:sz w:val="14"/>
                <w:szCs w:val="14"/>
                <w:b w:val="1"/>
                <w:bCs w:val="1"/>
                <w:color w:val="auto"/>
                <w:w w:val="90"/>
              </w:rPr>
              <w:t>Carrying</w:t>
            </w:r>
          </w:p>
        </w:tc>
        <w:tc>
          <w:tcPr>
            <w:tcW w:w="280" w:type="dxa"/>
            <w:vAlign w:val="bottom"/>
          </w:tcPr>
          <w:p>
            <w:pPr>
              <w:spacing w:after="0"/>
              <w:rPr>
                <w:sz w:val="11"/>
                <w:szCs w:val="11"/>
                <w:color w:val="auto"/>
              </w:rPr>
            </w:pPr>
          </w:p>
        </w:tc>
        <w:tc>
          <w:tcPr>
            <w:tcW w:w="1080" w:type="dxa"/>
            <w:vAlign w:val="bottom"/>
            <w:gridSpan w:val="3"/>
          </w:tcPr>
          <w:p>
            <w:pPr>
              <w:spacing w:after="0" w:line="135" w:lineRule="exact"/>
              <w:rPr>
                <w:sz w:val="20"/>
                <w:szCs w:val="20"/>
                <w:color w:val="auto"/>
              </w:rPr>
            </w:pPr>
            <w:r>
              <w:rPr>
                <w:rFonts w:ascii="Arial" w:cs="Arial" w:eastAsia="Arial" w:hAnsi="Arial"/>
                <w:sz w:val="14"/>
                <w:szCs w:val="14"/>
                <w:b w:val="1"/>
                <w:bCs w:val="1"/>
                <w:color w:val="auto"/>
              </w:rPr>
              <w:t>Accumulated</w:t>
            </w:r>
          </w:p>
        </w:tc>
        <w:tc>
          <w:tcPr>
            <w:tcW w:w="820" w:type="dxa"/>
            <w:vAlign w:val="bottom"/>
            <w:gridSpan w:val="3"/>
          </w:tcPr>
          <w:p>
            <w:pPr>
              <w:jc w:val="center"/>
              <w:ind w:right="160"/>
              <w:spacing w:after="0" w:line="135" w:lineRule="exact"/>
              <w:rPr>
                <w:sz w:val="20"/>
                <w:szCs w:val="20"/>
                <w:color w:val="auto"/>
              </w:rPr>
            </w:pPr>
            <w:r>
              <w:rPr>
                <w:rFonts w:ascii="Arial" w:cs="Arial" w:eastAsia="Arial" w:hAnsi="Arial"/>
                <w:sz w:val="14"/>
                <w:szCs w:val="14"/>
                <w:b w:val="1"/>
                <w:bCs w:val="1"/>
                <w:color w:val="auto"/>
                <w:w w:val="93"/>
              </w:rPr>
              <w:t>Carrying</w:t>
            </w:r>
          </w:p>
        </w:tc>
        <w:tc>
          <w:tcPr>
            <w:tcW w:w="140" w:type="dxa"/>
            <w:vAlign w:val="bottom"/>
          </w:tcPr>
          <w:p>
            <w:pPr>
              <w:spacing w:after="0"/>
              <w:rPr>
                <w:sz w:val="11"/>
                <w:szCs w:val="11"/>
                <w:color w:val="auto"/>
              </w:rPr>
            </w:pPr>
          </w:p>
        </w:tc>
        <w:tc>
          <w:tcPr>
            <w:tcW w:w="780" w:type="dxa"/>
            <w:vAlign w:val="bottom"/>
            <w:gridSpan w:val="2"/>
          </w:tcPr>
          <w:p>
            <w:pPr>
              <w:jc w:val="center"/>
              <w:ind w:right="100"/>
              <w:spacing w:after="0" w:line="135" w:lineRule="exact"/>
              <w:rPr>
                <w:sz w:val="20"/>
                <w:szCs w:val="20"/>
                <w:color w:val="auto"/>
              </w:rPr>
            </w:pPr>
            <w:r>
              <w:rPr>
                <w:rFonts w:ascii="Arial" w:cs="Arial" w:eastAsia="Arial" w:hAnsi="Arial"/>
                <w:sz w:val="14"/>
                <w:szCs w:val="14"/>
                <w:b w:val="1"/>
                <w:bCs w:val="1"/>
                <w:color w:val="auto"/>
                <w:w w:val="90"/>
              </w:rPr>
              <w:t>Carrying</w:t>
            </w:r>
          </w:p>
        </w:tc>
        <w:tc>
          <w:tcPr>
            <w:tcW w:w="200" w:type="dxa"/>
            <w:vAlign w:val="bottom"/>
          </w:tcPr>
          <w:p>
            <w:pPr>
              <w:spacing w:after="0"/>
              <w:rPr>
                <w:sz w:val="11"/>
                <w:szCs w:val="11"/>
                <w:color w:val="auto"/>
              </w:rPr>
            </w:pPr>
          </w:p>
        </w:tc>
        <w:tc>
          <w:tcPr>
            <w:tcW w:w="1100" w:type="dxa"/>
            <w:vAlign w:val="bottom"/>
            <w:gridSpan w:val="3"/>
          </w:tcPr>
          <w:p>
            <w:pPr>
              <w:spacing w:after="0" w:line="135" w:lineRule="exact"/>
              <w:rPr>
                <w:sz w:val="20"/>
                <w:szCs w:val="20"/>
                <w:color w:val="auto"/>
              </w:rPr>
            </w:pPr>
            <w:r>
              <w:rPr>
                <w:rFonts w:ascii="Arial" w:cs="Arial" w:eastAsia="Arial" w:hAnsi="Arial"/>
                <w:sz w:val="14"/>
                <w:szCs w:val="14"/>
                <w:b w:val="1"/>
                <w:bCs w:val="1"/>
                <w:color w:val="auto"/>
              </w:rPr>
              <w:t>Accumulated</w:t>
            </w:r>
          </w:p>
        </w:tc>
        <w:tc>
          <w:tcPr>
            <w:tcW w:w="760" w:type="dxa"/>
            <w:vAlign w:val="bottom"/>
            <w:gridSpan w:val="3"/>
          </w:tcPr>
          <w:p>
            <w:pPr>
              <w:jc w:val="center"/>
              <w:ind w:right="100"/>
              <w:spacing w:after="0" w:line="135"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75"/>
        </w:trPr>
        <w:tc>
          <w:tcPr>
            <w:tcW w:w="3020" w:type="dxa"/>
            <w:vAlign w:val="bottom"/>
          </w:tcPr>
          <w:p>
            <w:pPr>
              <w:spacing w:after="0"/>
              <w:rPr>
                <w:sz w:val="15"/>
                <w:szCs w:val="15"/>
                <w:color w:val="auto"/>
              </w:rPr>
            </w:pPr>
          </w:p>
        </w:tc>
        <w:tc>
          <w:tcPr>
            <w:tcW w:w="25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4"/>
              </w:rPr>
              <w:t>Useful Lives</w:t>
            </w:r>
          </w:p>
        </w:tc>
        <w:tc>
          <w:tcPr>
            <w:tcW w:w="20" w:type="dxa"/>
            <w:vAlign w:val="bottom"/>
          </w:tcPr>
          <w:p>
            <w:pPr>
              <w:spacing w:after="0"/>
              <w:rPr>
                <w:sz w:val="15"/>
                <w:szCs w:val="15"/>
                <w:color w:val="auto"/>
              </w:rPr>
            </w:pPr>
          </w:p>
        </w:tc>
        <w:tc>
          <w:tcPr>
            <w:tcW w:w="680" w:type="dxa"/>
            <w:vAlign w:val="bottom"/>
            <w:gridSpan w:val="2"/>
          </w:tcPr>
          <w:p>
            <w:pPr>
              <w:jc w:val="center"/>
              <w:ind w:right="40"/>
              <w:spacing w:after="0"/>
              <w:rPr>
                <w:sz w:val="20"/>
                <w:szCs w:val="20"/>
                <w:color w:val="auto"/>
              </w:rPr>
            </w:pPr>
            <w:r>
              <w:rPr>
                <w:rFonts w:ascii="Arial" w:cs="Arial" w:eastAsia="Arial" w:hAnsi="Arial"/>
                <w:sz w:val="14"/>
                <w:szCs w:val="14"/>
                <w:b w:val="1"/>
                <w:bCs w:val="1"/>
                <w:color w:val="auto"/>
                <w:w w:val="85"/>
              </w:rPr>
              <w:t>Amounts</w:t>
            </w:r>
          </w:p>
        </w:tc>
        <w:tc>
          <w:tcPr>
            <w:tcW w:w="280" w:type="dxa"/>
            <w:vAlign w:val="bottom"/>
          </w:tcPr>
          <w:p>
            <w:pPr>
              <w:spacing w:after="0"/>
              <w:rPr>
                <w:sz w:val="15"/>
                <w:szCs w:val="15"/>
                <w:color w:val="auto"/>
              </w:rPr>
            </w:pPr>
          </w:p>
        </w:tc>
        <w:tc>
          <w:tcPr>
            <w:tcW w:w="1080" w:type="dxa"/>
            <w:vAlign w:val="bottom"/>
            <w:gridSpan w:val="3"/>
          </w:tcPr>
          <w:p>
            <w:pPr>
              <w:spacing w:after="0"/>
              <w:rPr>
                <w:sz w:val="20"/>
                <w:szCs w:val="20"/>
                <w:color w:val="auto"/>
              </w:rPr>
            </w:pPr>
            <w:r>
              <w:rPr>
                <w:rFonts w:ascii="Arial" w:cs="Arial" w:eastAsia="Arial" w:hAnsi="Arial"/>
                <w:sz w:val="14"/>
                <w:szCs w:val="14"/>
                <w:b w:val="1"/>
                <w:bCs w:val="1"/>
                <w:color w:val="auto"/>
              </w:rPr>
              <w:t>Amortization</w:t>
            </w:r>
          </w:p>
        </w:tc>
        <w:tc>
          <w:tcPr>
            <w:tcW w:w="100" w:type="dxa"/>
            <w:vAlign w:val="bottom"/>
          </w:tcPr>
          <w:p>
            <w:pPr>
              <w:spacing w:after="0"/>
              <w:rPr>
                <w:sz w:val="15"/>
                <w:szCs w:val="15"/>
                <w:color w:val="auto"/>
              </w:rPr>
            </w:pPr>
          </w:p>
        </w:tc>
        <w:tc>
          <w:tcPr>
            <w:tcW w:w="7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0"/>
              </w:rPr>
              <w:t>Amount</w:t>
            </w:r>
          </w:p>
        </w:tc>
        <w:tc>
          <w:tcPr>
            <w:tcW w:w="140" w:type="dxa"/>
            <w:vAlign w:val="bottom"/>
          </w:tcPr>
          <w:p>
            <w:pPr>
              <w:spacing w:after="0"/>
              <w:rPr>
                <w:sz w:val="15"/>
                <w:szCs w:val="15"/>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Amounts</w:t>
            </w:r>
          </w:p>
        </w:tc>
        <w:tc>
          <w:tcPr>
            <w:tcW w:w="200" w:type="dxa"/>
            <w:vAlign w:val="bottom"/>
          </w:tcPr>
          <w:p>
            <w:pPr>
              <w:spacing w:after="0"/>
              <w:rPr>
                <w:sz w:val="15"/>
                <w:szCs w:val="15"/>
                <w:color w:val="auto"/>
              </w:rPr>
            </w:pPr>
          </w:p>
        </w:tc>
        <w:tc>
          <w:tcPr>
            <w:tcW w:w="1100" w:type="dxa"/>
            <w:vAlign w:val="bottom"/>
            <w:gridSpan w:val="3"/>
          </w:tcPr>
          <w:p>
            <w:pPr>
              <w:spacing w:after="0"/>
              <w:rPr>
                <w:sz w:val="20"/>
                <w:szCs w:val="20"/>
                <w:color w:val="auto"/>
              </w:rPr>
            </w:pPr>
            <w:r>
              <w:rPr>
                <w:rFonts w:ascii="Arial" w:cs="Arial" w:eastAsia="Arial" w:hAnsi="Arial"/>
                <w:sz w:val="14"/>
                <w:szCs w:val="14"/>
                <w:b w:val="1"/>
                <w:bCs w:val="1"/>
                <w:color w:val="auto"/>
              </w:rPr>
              <w:t>Amortization</w:t>
            </w:r>
          </w:p>
        </w:tc>
        <w:tc>
          <w:tcPr>
            <w:tcW w:w="80" w:type="dxa"/>
            <w:vAlign w:val="bottom"/>
          </w:tcPr>
          <w:p>
            <w:pPr>
              <w:spacing w:after="0"/>
              <w:rPr>
                <w:sz w:val="15"/>
                <w:szCs w:val="15"/>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6"/>
              </w:rPr>
              <w:t>Amount</w:t>
            </w:r>
          </w:p>
        </w:tc>
        <w:tc>
          <w:tcPr>
            <w:tcW w:w="0" w:type="dxa"/>
            <w:vAlign w:val="bottom"/>
          </w:tcPr>
          <w:p>
            <w:pPr>
              <w:spacing w:after="0"/>
              <w:rPr>
                <w:sz w:val="1"/>
                <w:szCs w:val="1"/>
                <w:color w:val="auto"/>
              </w:rPr>
            </w:pPr>
          </w:p>
        </w:tc>
      </w:tr>
      <w:tr>
        <w:trPr>
          <w:trHeight w:val="210"/>
        </w:trPr>
        <w:tc>
          <w:tcPr>
            <w:tcW w:w="30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Purchased technology</w:t>
            </w:r>
          </w:p>
        </w:tc>
        <w:tc>
          <w:tcPr>
            <w:tcW w:w="23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5"/>
              </w:rPr>
              <w:t>2.5 - 7 years</w:t>
            </w:r>
          </w:p>
        </w:tc>
        <w:tc>
          <w:tcPr>
            <w:tcW w:w="2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$103,490</w:t>
            </w:r>
          </w:p>
        </w:tc>
        <w:tc>
          <w:tcPr>
            <w:tcW w:w="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(59,867)</w:t>
            </w:r>
          </w:p>
        </w:tc>
        <w:tc>
          <w:tcPr>
            <w:tcW w:w="3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43,623</w:t>
            </w: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$103,490</w:t>
            </w: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(50,906)</w:t>
            </w:r>
          </w:p>
        </w:tc>
        <w:tc>
          <w:tcPr>
            <w:tcW w:w="3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52,584</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20" w:type="dxa"/>
            <w:vAlign w:val="bottom"/>
          </w:tcPr>
          <w:p>
            <w:pPr>
              <w:spacing w:after="0"/>
              <w:rPr>
                <w:sz w:val="20"/>
                <w:szCs w:val="20"/>
                <w:color w:val="auto"/>
              </w:rPr>
            </w:pPr>
            <w:r>
              <w:rPr>
                <w:rFonts w:ascii="Arial" w:cs="Arial" w:eastAsia="Arial" w:hAnsi="Arial"/>
                <w:sz w:val="18"/>
                <w:szCs w:val="18"/>
                <w:color w:val="auto"/>
              </w:rPr>
              <w:t>Core technology</w:t>
            </w:r>
          </w:p>
        </w:tc>
        <w:tc>
          <w:tcPr>
            <w:tcW w:w="2540" w:type="dxa"/>
            <w:vAlign w:val="bottom"/>
            <w:gridSpan w:val="2"/>
          </w:tcPr>
          <w:p>
            <w:pPr>
              <w:jc w:val="center"/>
              <w:ind w:right="200"/>
              <w:spacing w:after="0"/>
              <w:rPr>
                <w:sz w:val="20"/>
                <w:szCs w:val="20"/>
                <w:color w:val="auto"/>
              </w:rPr>
            </w:pPr>
            <w:r>
              <w:rPr>
                <w:rFonts w:ascii="Arial" w:cs="Arial" w:eastAsia="Arial" w:hAnsi="Arial"/>
                <w:sz w:val="18"/>
                <w:szCs w:val="18"/>
                <w:color w:val="auto"/>
                <w:w w:val="86"/>
              </w:rPr>
              <w:t>6 - 8 years</w:t>
            </w:r>
          </w:p>
        </w:tc>
        <w:tc>
          <w:tcPr>
            <w:tcW w:w="700" w:type="dxa"/>
            <w:vAlign w:val="bottom"/>
            <w:gridSpan w:val="3"/>
          </w:tcPr>
          <w:p>
            <w:pPr>
              <w:jc w:val="right"/>
              <w:ind w:right="20"/>
              <w:spacing w:after="0"/>
              <w:rPr>
                <w:sz w:val="20"/>
                <w:szCs w:val="20"/>
                <w:color w:val="auto"/>
              </w:rPr>
            </w:pPr>
            <w:r>
              <w:rPr>
                <w:rFonts w:ascii="Arial" w:cs="Arial" w:eastAsia="Arial" w:hAnsi="Arial"/>
                <w:sz w:val="18"/>
                <w:szCs w:val="18"/>
                <w:color w:val="auto"/>
              </w:rPr>
              <w:t>178,000</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w w:val="90"/>
              </w:rPr>
              <w:t>(153,208)</w:t>
            </w:r>
          </w:p>
        </w:tc>
        <w:tc>
          <w:tcPr>
            <w:tcW w:w="100" w:type="dxa"/>
            <w:vAlign w:val="bottom"/>
          </w:tcPr>
          <w:p>
            <w:pPr>
              <w:spacing w:after="0"/>
              <w:rPr>
                <w:sz w:val="18"/>
                <w:szCs w:val="18"/>
                <w:color w:val="auto"/>
              </w:rPr>
            </w:pPr>
          </w:p>
        </w:tc>
        <w:tc>
          <w:tcPr>
            <w:tcW w:w="720" w:type="dxa"/>
            <w:vAlign w:val="bottom"/>
            <w:gridSpan w:val="2"/>
          </w:tcPr>
          <w:p>
            <w:pPr>
              <w:jc w:val="right"/>
              <w:ind w:right="160"/>
              <w:spacing w:after="0"/>
              <w:rPr>
                <w:sz w:val="20"/>
                <w:szCs w:val="20"/>
                <w:color w:val="auto"/>
              </w:rPr>
            </w:pPr>
            <w:r>
              <w:rPr>
                <w:rFonts w:ascii="Arial" w:cs="Arial" w:eastAsia="Arial" w:hAnsi="Arial"/>
                <w:sz w:val="18"/>
                <w:szCs w:val="18"/>
                <w:color w:val="auto"/>
                <w:w w:val="98"/>
              </w:rPr>
              <w:t>24,792</w:t>
            </w:r>
          </w:p>
        </w:tc>
        <w:tc>
          <w:tcPr>
            <w:tcW w:w="920" w:type="dxa"/>
            <w:vAlign w:val="bottom"/>
            <w:gridSpan w:val="3"/>
          </w:tcPr>
          <w:p>
            <w:pPr>
              <w:jc w:val="right"/>
              <w:ind w:right="100"/>
              <w:spacing w:after="0"/>
              <w:rPr>
                <w:sz w:val="20"/>
                <w:szCs w:val="20"/>
                <w:color w:val="auto"/>
              </w:rPr>
            </w:pPr>
            <w:r>
              <w:rPr>
                <w:rFonts w:ascii="Arial" w:cs="Arial" w:eastAsia="Arial" w:hAnsi="Arial"/>
                <w:sz w:val="18"/>
                <w:szCs w:val="18"/>
                <w:color w:val="auto"/>
              </w:rPr>
              <w:t>178,000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260"/>
              <w:spacing w:after="0"/>
              <w:rPr>
                <w:sz w:val="20"/>
                <w:szCs w:val="20"/>
                <w:color w:val="auto"/>
              </w:rPr>
            </w:pPr>
            <w:r>
              <w:rPr>
                <w:rFonts w:ascii="Arial" w:cs="Arial" w:eastAsia="Arial" w:hAnsi="Arial"/>
                <w:sz w:val="18"/>
                <w:szCs w:val="18"/>
                <w:color w:val="auto"/>
                <w:w w:val="90"/>
              </w:rPr>
              <w:t>(142,932)</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35,068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2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2540" w:type="dxa"/>
            <w:vAlign w:val="bottom"/>
            <w:gridSpan w:val="2"/>
            <w:shd w:val="clear" w:color="auto" w:fill="CCEEFF"/>
          </w:tcPr>
          <w:p>
            <w:pPr>
              <w:jc w:val="center"/>
              <w:ind w:right="200"/>
              <w:spacing w:after="0"/>
              <w:rPr>
                <w:sz w:val="20"/>
                <w:szCs w:val="20"/>
                <w:color w:val="auto"/>
              </w:rPr>
            </w:pPr>
            <w:r>
              <w:rPr>
                <w:rFonts w:ascii="Arial" w:cs="Arial" w:eastAsia="Arial" w:hAnsi="Arial"/>
                <w:sz w:val="18"/>
                <w:szCs w:val="18"/>
                <w:color w:val="auto"/>
                <w:w w:val="84"/>
              </w:rPr>
              <w:t>5 years</w:t>
            </w:r>
          </w:p>
        </w:tc>
        <w:tc>
          <w:tcPr>
            <w:tcW w:w="70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1,500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(374)</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1,126</w:t>
            </w:r>
          </w:p>
        </w:tc>
        <w:tc>
          <w:tcPr>
            <w:tcW w:w="9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1,500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(232)</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20" w:type="dxa"/>
            <w:vAlign w:val="bottom"/>
          </w:tcPr>
          <w:p>
            <w:pPr>
              <w:spacing w:after="0"/>
              <w:rPr>
                <w:sz w:val="20"/>
                <w:szCs w:val="20"/>
                <w:color w:val="auto"/>
              </w:rPr>
            </w:pPr>
            <w:r>
              <w:rPr>
                <w:rFonts w:ascii="Arial" w:cs="Arial" w:eastAsia="Arial" w:hAnsi="Arial"/>
                <w:sz w:val="18"/>
                <w:szCs w:val="18"/>
                <w:color w:val="auto"/>
              </w:rPr>
              <w:t>Customer contracts</w:t>
            </w:r>
          </w:p>
        </w:tc>
        <w:tc>
          <w:tcPr>
            <w:tcW w:w="2540" w:type="dxa"/>
            <w:vAlign w:val="bottom"/>
            <w:gridSpan w:val="2"/>
          </w:tcPr>
          <w:p>
            <w:pPr>
              <w:jc w:val="center"/>
              <w:ind w:right="200"/>
              <w:spacing w:after="0"/>
              <w:rPr>
                <w:sz w:val="20"/>
                <w:szCs w:val="20"/>
                <w:color w:val="auto"/>
              </w:rPr>
            </w:pPr>
            <w:r>
              <w:rPr>
                <w:rFonts w:ascii="Arial" w:cs="Arial" w:eastAsia="Arial" w:hAnsi="Arial"/>
                <w:sz w:val="18"/>
                <w:szCs w:val="18"/>
                <w:color w:val="auto"/>
                <w:w w:val="86"/>
              </w:rPr>
              <w:t>5 - 7 years</w:t>
            </w:r>
          </w:p>
        </w:tc>
        <w:tc>
          <w:tcPr>
            <w:tcW w:w="700" w:type="dxa"/>
            <w:vAlign w:val="bottom"/>
            <w:gridSpan w:val="3"/>
          </w:tcPr>
          <w:p>
            <w:pPr>
              <w:jc w:val="right"/>
              <w:ind w:right="20"/>
              <w:spacing w:after="0"/>
              <w:rPr>
                <w:sz w:val="20"/>
                <w:szCs w:val="20"/>
                <w:color w:val="auto"/>
              </w:rPr>
            </w:pPr>
            <w:r>
              <w:rPr>
                <w:rFonts w:ascii="Arial" w:cs="Arial" w:eastAsia="Arial" w:hAnsi="Arial"/>
                <w:sz w:val="18"/>
                <w:szCs w:val="18"/>
                <w:color w:val="auto"/>
              </w:rPr>
              <w:t>89,900</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(55,014)</w:t>
            </w:r>
          </w:p>
        </w:tc>
        <w:tc>
          <w:tcPr>
            <w:tcW w:w="100" w:type="dxa"/>
            <w:vAlign w:val="bottom"/>
          </w:tcPr>
          <w:p>
            <w:pPr>
              <w:spacing w:after="0"/>
              <w:rPr>
                <w:sz w:val="18"/>
                <w:szCs w:val="18"/>
                <w:color w:val="auto"/>
              </w:rPr>
            </w:pPr>
          </w:p>
        </w:tc>
        <w:tc>
          <w:tcPr>
            <w:tcW w:w="720" w:type="dxa"/>
            <w:vAlign w:val="bottom"/>
            <w:gridSpan w:val="2"/>
          </w:tcPr>
          <w:p>
            <w:pPr>
              <w:jc w:val="right"/>
              <w:ind w:right="160"/>
              <w:spacing w:after="0"/>
              <w:rPr>
                <w:sz w:val="20"/>
                <w:szCs w:val="20"/>
                <w:color w:val="auto"/>
              </w:rPr>
            </w:pPr>
            <w:r>
              <w:rPr>
                <w:rFonts w:ascii="Arial" w:cs="Arial" w:eastAsia="Arial" w:hAnsi="Arial"/>
                <w:sz w:val="18"/>
                <w:szCs w:val="18"/>
                <w:color w:val="auto"/>
                <w:w w:val="98"/>
              </w:rPr>
              <w:t>34,886</w:t>
            </w:r>
          </w:p>
        </w:tc>
        <w:tc>
          <w:tcPr>
            <w:tcW w:w="920" w:type="dxa"/>
            <w:vAlign w:val="bottom"/>
            <w:gridSpan w:val="3"/>
          </w:tcPr>
          <w:p>
            <w:pPr>
              <w:jc w:val="right"/>
              <w:ind w:right="100"/>
              <w:spacing w:after="0"/>
              <w:rPr>
                <w:sz w:val="20"/>
                <w:szCs w:val="20"/>
                <w:color w:val="auto"/>
              </w:rPr>
            </w:pPr>
            <w:r>
              <w:rPr>
                <w:rFonts w:ascii="Arial" w:cs="Arial" w:eastAsia="Arial" w:hAnsi="Arial"/>
                <w:sz w:val="18"/>
                <w:szCs w:val="18"/>
                <w:color w:val="auto"/>
              </w:rPr>
              <w:t>89,900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260"/>
              <w:spacing w:after="0"/>
              <w:rPr>
                <w:sz w:val="20"/>
                <w:szCs w:val="20"/>
                <w:color w:val="auto"/>
              </w:rPr>
            </w:pPr>
            <w:r>
              <w:rPr>
                <w:rFonts w:ascii="Arial" w:cs="Arial" w:eastAsia="Arial" w:hAnsi="Arial"/>
                <w:sz w:val="18"/>
                <w:szCs w:val="18"/>
                <w:color w:val="auto"/>
              </w:rPr>
              <w:t>(47,856)</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42,044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020" w:type="dxa"/>
            <w:vAlign w:val="bottom"/>
            <w:shd w:val="clear" w:color="auto" w:fill="CCEEFF"/>
          </w:tcPr>
          <w:p>
            <w:pPr>
              <w:spacing w:after="0"/>
              <w:rPr>
                <w:sz w:val="20"/>
                <w:szCs w:val="20"/>
                <w:color w:val="auto"/>
              </w:rPr>
            </w:pPr>
            <w:r>
              <w:rPr>
                <w:rFonts w:ascii="Arial" w:cs="Arial" w:eastAsia="Arial" w:hAnsi="Arial"/>
                <w:sz w:val="18"/>
                <w:szCs w:val="18"/>
                <w:color w:val="auto"/>
                <w:w w:val="99"/>
              </w:rPr>
              <w:t>In-process research and development</w:t>
            </w:r>
          </w:p>
        </w:tc>
        <w:tc>
          <w:tcPr>
            <w:tcW w:w="2340" w:type="dxa"/>
            <w:vAlign w:val="bottom"/>
            <w:shd w:val="clear" w:color="auto" w:fill="CCEEFF"/>
          </w:tcPr>
          <w:p>
            <w:pPr>
              <w:jc w:val="center"/>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9,700</w:t>
            </w:r>
          </w:p>
        </w:tc>
        <w:tc>
          <w:tcPr>
            <w:tcW w:w="9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10,541</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10,541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020" w:type="dxa"/>
            <w:vAlign w:val="bottom"/>
            <w:vMerge w:val="restart"/>
          </w:tcPr>
          <w:p>
            <w:pPr>
              <w:ind w:left="440"/>
              <w:spacing w:after="0"/>
              <w:rPr>
                <w:sz w:val="20"/>
                <w:szCs w:val="20"/>
                <w:color w:val="auto"/>
              </w:rPr>
            </w:pPr>
            <w:r>
              <w:rPr>
                <w:rFonts w:ascii="Arial" w:cs="Arial" w:eastAsia="Arial" w:hAnsi="Arial"/>
                <w:sz w:val="18"/>
                <w:szCs w:val="18"/>
                <w:color w:val="auto"/>
              </w:rPr>
              <w:t>Total intangible assets, net</w:t>
            </w:r>
          </w:p>
        </w:tc>
        <w:tc>
          <w:tcPr>
            <w:tcW w:w="23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3020" w:type="dxa"/>
            <w:vAlign w:val="bottom"/>
            <w:vMerge w:val="continue"/>
          </w:tcPr>
          <w:p>
            <w:pPr>
              <w:spacing w:after="0"/>
              <w:rPr>
                <w:sz w:val="19"/>
                <w:szCs w:val="19"/>
                <w:color w:val="auto"/>
              </w:rPr>
            </w:pPr>
          </w:p>
        </w:tc>
        <w:tc>
          <w:tcPr>
            <w:tcW w:w="23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700" w:type="dxa"/>
            <w:vAlign w:val="bottom"/>
            <w:gridSpan w:val="3"/>
          </w:tcPr>
          <w:p>
            <w:pPr>
              <w:jc w:val="right"/>
              <w:ind w:right="20"/>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382,590</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w w:val="90"/>
              </w:rPr>
              <w:t>(268,463)</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gridSpan w:val="2"/>
          </w:tcPr>
          <w:p>
            <w:pPr>
              <w:jc w:val="right"/>
              <w:ind w:right="160"/>
              <w:spacing w:after="0"/>
              <w:rPr>
                <w:sz w:val="20"/>
                <w:szCs w:val="20"/>
                <w:color w:val="auto"/>
              </w:rPr>
            </w:pPr>
            <w:r>
              <w:rPr>
                <w:rFonts w:ascii="Arial" w:cs="Arial" w:eastAsia="Arial" w:hAnsi="Arial"/>
                <w:sz w:val="18"/>
                <w:szCs w:val="18"/>
                <w:color w:val="auto"/>
                <w:w w:val="82"/>
              </w:rPr>
              <w:t>114,127</w:t>
            </w:r>
          </w:p>
        </w:tc>
        <w:tc>
          <w:tcPr>
            <w:tcW w:w="920" w:type="dxa"/>
            <w:vAlign w:val="bottom"/>
            <w:gridSpan w:val="3"/>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383,431</w:t>
            </w:r>
          </w:p>
        </w:tc>
        <w:tc>
          <w:tcPr>
            <w:tcW w:w="320" w:type="dxa"/>
            <w:vAlign w:val="bottom"/>
            <w:gridSpan w:val="2"/>
          </w:tcPr>
          <w:p>
            <w:pPr>
              <w:ind w:left="200"/>
              <w:spacing w:after="0"/>
              <w:rPr>
                <w:sz w:val="20"/>
                <w:szCs w:val="20"/>
                <w:color w:val="auto"/>
              </w:rPr>
            </w:pPr>
            <w:r>
              <w:rPr>
                <w:rFonts w:ascii="Arial" w:cs="Arial" w:eastAsia="Arial" w:hAnsi="Arial"/>
                <w:sz w:val="18"/>
                <w:szCs w:val="18"/>
                <w:color w:val="auto"/>
                <w:w w:val="99"/>
              </w:rPr>
              <w:t>$</w:t>
            </w:r>
          </w:p>
        </w:tc>
        <w:tc>
          <w:tcPr>
            <w:tcW w:w="980" w:type="dxa"/>
            <w:vAlign w:val="bottom"/>
            <w:gridSpan w:val="2"/>
          </w:tcPr>
          <w:p>
            <w:pPr>
              <w:jc w:val="right"/>
              <w:ind w:right="260"/>
              <w:spacing w:after="0"/>
              <w:rPr>
                <w:sz w:val="20"/>
                <w:szCs w:val="20"/>
                <w:color w:val="auto"/>
              </w:rPr>
            </w:pPr>
            <w:r>
              <w:rPr>
                <w:rFonts w:ascii="Arial" w:cs="Arial" w:eastAsia="Arial" w:hAnsi="Arial"/>
                <w:sz w:val="18"/>
                <w:szCs w:val="18"/>
                <w:color w:val="auto"/>
                <w:w w:val="90"/>
              </w:rPr>
              <w:t>(241,926)</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141,505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0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220" w:right="220" w:hanging="212"/>
        <w:spacing w:after="0" w:line="259" w:lineRule="auto"/>
        <w:tabs>
          <w:tab w:leader="none" w:pos="220" w:val="left"/>
        </w:tabs>
        <w:numPr>
          <w:ilvl w:val="0"/>
          <w:numId w:val="3"/>
        </w:numPr>
        <w:rPr>
          <w:rFonts w:ascii="Arial" w:cs="Arial" w:eastAsia="Arial" w:hAnsi="Arial"/>
          <w:sz w:val="18"/>
          <w:szCs w:val="18"/>
          <w:color w:val="auto"/>
        </w:rPr>
      </w:pPr>
      <w:r>
        <w:rPr>
          <w:rFonts w:ascii="Arial" w:cs="Arial" w:eastAsia="Arial" w:hAnsi="Arial"/>
          <w:sz w:val="18"/>
          <w:szCs w:val="18"/>
          <w:color w:val="auto"/>
        </w:rPr>
        <w:t>Upon completion of the project, the related in-process research and development (“IPR&amp;D”) assets will be amortized over its estimated useful life. If any of the projects are abandoned or the forecast of the project indicates that the fair value is less than the carrying amount, the Company will be required to write down the related IPR&amp;D asset.</w:t>
      </w:r>
    </w:p>
    <w:p>
      <w:pPr>
        <w:spacing w:after="0" w:line="140"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Based on the identified intangible assets recorded at July 28, 2012, the future amortization expense excluding IPR&amp;D for the next five fiscal years is as follows (in thousands):</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38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26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720" w:type="dxa"/>
            <w:vAlign w:val="bottom"/>
          </w:tcPr>
          <w:p>
            <w:pPr>
              <w:spacing w:after="0" w:line="20" w:lineRule="exact"/>
              <w:rPr>
                <w:sz w:val="1"/>
                <w:szCs w:val="1"/>
                <w:color w:val="auto"/>
              </w:rPr>
            </w:pPr>
          </w:p>
        </w:tc>
        <w:tc>
          <w:tcPr>
            <w:tcW w:w="2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Remainder of fiscal 2013</w:t>
            </w:r>
          </w:p>
        </w:tc>
        <w:tc>
          <w:tcPr>
            <w:tcW w:w="2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24,390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2014</w:t>
            </w:r>
          </w:p>
        </w:tc>
        <w:tc>
          <w:tcPr>
            <w:tcW w:w="3720" w:type="dxa"/>
            <w:vAlign w:val="bottom"/>
          </w:tcPr>
          <w:p>
            <w:pPr>
              <w:spacing w:after="0"/>
              <w:rPr>
                <w:sz w:val="18"/>
                <w:szCs w:val="18"/>
                <w:color w:val="auto"/>
              </w:rPr>
            </w:pPr>
          </w:p>
        </w:tc>
        <w:tc>
          <w:tcPr>
            <w:tcW w:w="2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36,254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2015</w:t>
            </w:r>
          </w:p>
        </w:tc>
        <w:tc>
          <w:tcPr>
            <w:tcW w:w="3720" w:type="dxa"/>
            <w:vAlign w:val="bottom"/>
            <w:shd w:val="clear" w:color="auto" w:fill="CCEEFF"/>
          </w:tcPr>
          <w:p>
            <w:pPr>
              <w:spacing w:after="0"/>
              <w:rPr>
                <w:sz w:val="18"/>
                <w:szCs w:val="18"/>
                <w:color w:val="auto"/>
              </w:rPr>
            </w:pPr>
          </w:p>
        </w:tc>
        <w:tc>
          <w:tcPr>
            <w:tcW w:w="2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2016</w:t>
            </w:r>
          </w:p>
        </w:tc>
        <w:tc>
          <w:tcPr>
            <w:tcW w:w="3720" w:type="dxa"/>
            <w:vAlign w:val="bottom"/>
          </w:tcPr>
          <w:p>
            <w:pPr>
              <w:spacing w:after="0"/>
              <w:rPr>
                <w:sz w:val="18"/>
                <w:szCs w:val="18"/>
                <w:color w:val="auto"/>
              </w:rPr>
            </w:pPr>
          </w:p>
        </w:tc>
        <w:tc>
          <w:tcPr>
            <w:tcW w:w="2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12,088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2017</w:t>
            </w:r>
          </w:p>
        </w:tc>
        <w:tc>
          <w:tcPr>
            <w:tcW w:w="3720" w:type="dxa"/>
            <w:vAlign w:val="bottom"/>
            <w:shd w:val="clear" w:color="auto" w:fill="CCEEFF"/>
          </w:tcPr>
          <w:p>
            <w:pPr>
              <w:spacing w:after="0"/>
              <w:rPr>
                <w:sz w:val="18"/>
                <w:szCs w:val="18"/>
                <w:color w:val="auto"/>
              </w:rPr>
            </w:pPr>
          </w:p>
        </w:tc>
        <w:tc>
          <w:tcPr>
            <w:tcW w:w="2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36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26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5,947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720" w:type="dxa"/>
            <w:vAlign w:val="bottom"/>
            <w:shd w:val="clear" w:color="auto" w:fill="CCEEFF"/>
          </w:tcPr>
          <w:p>
            <w:pPr>
              <w:spacing w:after="0"/>
              <w:rPr>
                <w:sz w:val="18"/>
                <w:szCs w:val="18"/>
                <w:color w:val="auto"/>
              </w:rPr>
            </w:pPr>
          </w:p>
        </w:tc>
        <w:tc>
          <w:tcPr>
            <w:tcW w:w="2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104,427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720" w:type="dxa"/>
            <w:vAlign w:val="bottom"/>
          </w:tcPr>
          <w:p>
            <w:pPr>
              <w:spacing w:after="0" w:line="20" w:lineRule="exact"/>
              <w:rPr>
                <w:sz w:val="1"/>
                <w:szCs w:val="1"/>
                <w:color w:val="auto"/>
              </w:rPr>
            </w:pPr>
          </w:p>
        </w:tc>
        <w:tc>
          <w:tcPr>
            <w:tcW w:w="26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Income Tax</w:t>
      </w:r>
    </w:p>
    <w:p>
      <w:pPr>
        <w:spacing w:after="0" w:line="96"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The income tax provision for the three and six months ended July 28, 2012 included the current income tax liability of $5.9 million and $8.6 million, respectively, which were primarily offset by net reductions in unrecognized tax benefits of $3.4 million in the three months ended July 28, 2012 and $6.0 million in the six months ended July 28, 2012. These net reductions in unrecognized tax benefits primarily arose from the expiration of statute of limitations and from the settlement of an audit in non-U.S. jurisdictions less increases in current unrecognized tax benefit estimates.</w:t>
      </w:r>
    </w:p>
    <w:p>
      <w:pPr>
        <w:spacing w:after="0" w:line="113"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The income tax provision for the three and six months ended July 30, 2011 included the current income tax liability of $4.9 million and $8.3 million, respectively, which were partially offset by a net reduction in unrecognized tax benefits of $1.0 million in the three months ended July 30, 2011 and $3.4 million in the six months ended July 30, 2011 primarily due to the expiration of the statute of limitations in non-U.S. jurisdictions less increases in current unrecognized tax benefit estimates.</w:t>
      </w:r>
    </w:p>
    <w:p>
      <w:pPr>
        <w:spacing w:after="0" w:line="143"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During the next 12 months, it is reasonably possible that the amount of unrecognized tax benefits could decrease due to a potential settlement with tax authorities and/or the expiration of applicable statutes of limitations. However, the amount cannot be reasonably estimated as the Company will have negotiations with various tax authorities throughout the year.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payment of all costs and expenses incurred through the date of cancellation. As of July 28, 2012, these foundries had incurred approximately $256.3 million of manufacturing costs and expenses related to the Company’s outstanding purchase orders.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In certain cases,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60" w:firstLine="456"/>
        <w:spacing w:after="0" w:line="285" w:lineRule="auto"/>
        <w:rPr>
          <w:sz w:val="20"/>
          <w:szCs w:val="20"/>
          <w:color w:val="auto"/>
        </w:rPr>
      </w:pPr>
      <w:r>
        <w:rPr>
          <w:rFonts w:ascii="Arial" w:cs="Arial" w:eastAsia="Arial" w:hAnsi="Arial"/>
          <w:sz w:val="16"/>
          <w:szCs w:val="16"/>
          <w:i w:val="1"/>
          <w:iCs w:val="1"/>
          <w:color w:val="auto"/>
        </w:rPr>
        <w:t xml:space="preserve">Section 16(b) Litigation. </w:t>
      </w:r>
      <w:r>
        <w:rPr>
          <w:rFonts w:ascii="Arial" w:cs="Arial" w:eastAsia="Arial" w:hAnsi="Arial"/>
          <w:sz w:val="16"/>
          <w:szCs w:val="16"/>
          <w:color w:val="auto"/>
        </w:rPr>
        <w:t>On October 9, 2007, a purported shareholder of the Company filed a complaint for violation of Section 16(b) of the Exchange</w:t>
      </w:r>
      <w:r>
        <w:rPr>
          <w:rFonts w:ascii="Arial" w:cs="Arial" w:eastAsia="Arial" w:hAnsi="Arial"/>
          <w:sz w:val="16"/>
          <w:szCs w:val="16"/>
          <w:i w:val="1"/>
          <w:iCs w:val="1"/>
          <w:color w:val="auto"/>
        </w:rPr>
        <w:t xml:space="preserve"> </w:t>
      </w:r>
      <w:r>
        <w:rPr>
          <w:rFonts w:ascii="Arial" w:cs="Arial" w:eastAsia="Arial" w:hAnsi="Arial"/>
          <w:sz w:val="16"/>
          <w:szCs w:val="16"/>
          <w:color w:val="auto"/>
        </w:rPr>
        <w:t>Act, which prohibits short swing trading, against the Company’s IPO underwriters. The complaint Vanessa Simmonds v. The Goldman Sachs Group, et al., Case No. C07-1632 filed in District Court for the Western District of Washington, seeks the recovery of short swing profits. The Company is named as a nominal defendant only, and no recovery is sought from the Company. In March 2009, the district court granted a motion to dismiss filed by the underwriter defendants, which caused the case against the Company to be dismissed. The plaintiff appealed to the U.S. Court of Appeals for the Ninth Circuit, and in December 2010, the Ninth Circuit reversed the dismissal and remanded to the district court. On January 25, 2011, the Ninth Circuit entered an order staying the mandate pending the filing of petitions for writ of certiorari in the United States Supreme Court by the underwriter defendants. Both sides have filed petitions for writ of certiorari to the United States Supreme Court. The Supreme Court denied plaintiff’s writ, but granted the underwriters’ writ, which argued that the case should have been dismissed on statute of limitations grounds. On March 26, 2012, the U.S. Supreme Court issued its opinion in the case. The Court vacated and remanded the Ninth Circuit’s decision and held that the two-year statute of limitations for actions under Section 16(b) is not automatically subject to equitable tolling pending the filing of the public disclosure statement required by Section 16(a) of the Act. On May 15, 2012, the Ninth Circuit entered an order remanding the cases of the non-moving issuer defendants (including the Company) to the District Court for proceedings consistent with the opinion of the U.S. Supreme Court and dismissing with prejudice the cases of the moving issuer defendants. On June 11, 2012, the plaintiff filed a Notice of Dismissal in the District Court, dismissing the action against the Company with prejudice as to the adequacy of the pre-suit demand letters in accordance with the Ninth Circuit’s opinion and without prejudice as to all other issues.</w:t>
      </w:r>
    </w:p>
    <w:p>
      <w:pPr>
        <w:spacing w:after="0" w:line="126"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i w:val="1"/>
          <w:iCs w:val="1"/>
          <w:color w:val="auto"/>
        </w:rPr>
        <w:t>Jasmine Networks Litigation</w:t>
      </w:r>
      <w:r>
        <w:rPr>
          <w:rFonts w:ascii="Arial" w:cs="Arial" w:eastAsia="Arial" w:hAnsi="Arial"/>
          <w:sz w:val="16"/>
          <w:szCs w:val="16"/>
          <w:color w:val="auto"/>
        </w:rPr>
        <w:t>. 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Marvell Semiconductor, Inc. (“MSI”) and three of its officers for allegedly improperly obtaining and using information and technologies during the course of the negotiations with its personnel regarding the potential acquisition of certain Jasmine assets by MSI.</w:t>
      </w:r>
    </w:p>
    <w:p>
      <w:pPr>
        <w:spacing w:after="0" w:line="107"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The case proceeded to trial on September 20, 2010. On November 24, 2010, a Santa Clara County jury returned a verdict in favor of MSI on all claims. On January 7, 2011, the court entered judgment in MSI’s favor. Pursuant to California Civil Procedure provisions, Jasmine filed motions for a new trial and for a judgment notwithstanding the verdict. These motions were heard by the court on February 25, 2011 and denied in written orders. Jasmine has appealed and MSI is contesting the appeal vigorously. The Company is currently unable to predict the outcome of this lawsuit and therefore cannot determine the likelihood of loss nor estimate a range of possible loss.</w:t>
      </w:r>
    </w:p>
    <w:p>
      <w:pPr>
        <w:spacing w:after="0" w:line="14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Wage and Hour Class Action</w:t>
      </w:r>
      <w:r>
        <w:rPr>
          <w:rFonts w:ascii="Arial" w:cs="Arial" w:eastAsia="Arial" w:hAnsi="Arial"/>
          <w:sz w:val="16"/>
          <w:szCs w:val="16"/>
          <w:color w:val="auto"/>
        </w:rPr>
        <w:t>. On October 18, 2006, Dan Holton (“Holton”), a former employee of MSI, filed a civil complaint in Santa Clara County</w:t>
      </w:r>
      <w:r>
        <w:rPr>
          <w:rFonts w:ascii="Arial" w:cs="Arial" w:eastAsia="Arial" w:hAnsi="Arial"/>
          <w:sz w:val="16"/>
          <w:szCs w:val="16"/>
          <w:i w:val="1"/>
          <w:iCs w:val="1"/>
          <w:color w:val="auto"/>
        </w:rPr>
        <w:t xml:space="preserve"> </w:t>
      </w:r>
      <w:r>
        <w:rPr>
          <w:rFonts w:ascii="Arial" w:cs="Arial" w:eastAsia="Arial" w:hAnsi="Arial"/>
          <w:sz w:val="16"/>
          <w:szCs w:val="16"/>
          <w:color w:val="auto"/>
        </w:rPr>
        <w:t>Superior Court. Holton alleges that MSI misclassified him as an exempt employee. Holton claims that due to its misclassification MSI owes him unpaid wages for overtime, penalties for missed meal periods, and various other penalties under the California Labor Code, as well as interest. Holton also pursues a cause of action for unfair business practices under the California Business &amp; Profession Code. Holton brought his complaint as a class action. On July 8, 2009, the court granted certification of the following class: “All Individual Contributor Engineers who held the title of PCB Designer, Associate Engineer, Engineer, Staff Engineer and Senior Engineers, who at any time during the class period while holding these positions did not have a degree above a baccalaureate degree nor a degree above a baccalaureate degree in a field of science related to the work performed, and worked for MSI in California, at any time from October 19, 2002 through the present.” MSI disputed all of plaintiff’s class claims. On November 23, 2011, the parties executed a settlement agreement and plaintiffs filed their motion for preliminary approval of the settlement. The settlement was preliminarily approved by the Court on March 16, 2012. No class members objected to the settlement, and the Court approved the settlement at the final settlement approval hearing on July 6, 2012. The settlement amount, which was recorded in the Company’s financial statements in fiscal 2012, was not material to the Company’s results of operations.</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i w:val="1"/>
          <w:iCs w:val="1"/>
          <w:color w:val="auto"/>
        </w:rPr>
        <w:t xml:space="preserve">Carnegie Mellon Litigation. </w:t>
      </w:r>
      <w:r>
        <w:rPr>
          <w:rFonts w:ascii="Arial" w:cs="Arial" w:eastAsia="Arial" w:hAnsi="Arial"/>
          <w:sz w:val="16"/>
          <w:szCs w:val="16"/>
          <w:color w:val="auto"/>
        </w:rPr>
        <w:t>On March 6, 2009, Carnegie Mellon University (“CMU”) filed a complaint in the United States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Western District of Pennsylvania naming MSI and the Company as defendants and alleging patent infringement. CMU has asserted U.S. Patent Nos. 6,201,839 and 6,438,180 (collectively, the “CMU patents in suit”), which purportedly relate to read-channel integrated circuit devices and the HDD products incorporating such devices. The complaint seeks unspecified damages and an injunction. On June 1, 2009, MSI and the Company filed their answers and MSI filed counterclaims to the complaint seeking declaratory judgments of non-infringement and invalidity as to both of the asserted patents. The claim construction hearing was held on April 12 and 13, 2010. On April 29, 2010, MSI and the Company filed their amended answers and counterclaims. The court issued a Markman ruling on October 1, 2010. MSI and the Company filed a motion for partial summary judgment of invalidity on December 22, 2010, which was denied on September 28, 2011. MSI and the Company filed a second motion for partial summary judgment of invalidity on November 2, 2011, which was denied on April 10, 2012. On April 20, 2012, MSI and the Company filed a motion for partial summary judgment of no infringement and no damages with respect to extraterritorial conduct, a summary judgment motion of no infringement and no damages with respect to licensed use and a summary judgment motion of non-infringement regarding Group II claims. A hearing on summary judgment motions was held on July 10 and 11, 2012. On August 24, 2012, the Court granted in part and denied in part the motion of no infringement and no damages with respect to extraterritorial conduct; granted in part and denied in part the motion of no infringement and no damages with respect to licensed use; and granted the motion of non-infringement regarding Group II claims. A jury trial is set for November 26, 2012. MSI and the Company strongly dispute their liability and the damages claimed by CMU. MSI and the Company believe that they do not infringe any valid and enforceable claims of the asserted CMU patents in suit and intend to litigate this action vigorously (including any potential appeal, as necessary). Based on the procedural posture and the nature of the litigation, the Company is currently unable to predict the outcome of this lawsuit.</w:t>
      </w:r>
    </w:p>
    <w:p>
      <w:pPr>
        <w:spacing w:after="0" w:line="124" w:lineRule="exact"/>
        <w:rPr>
          <w:sz w:val="20"/>
          <w:szCs w:val="20"/>
          <w:color w:val="auto"/>
        </w:rPr>
      </w:pPr>
    </w:p>
    <w:p>
      <w:pPr>
        <w:ind w:right="440" w:firstLine="456"/>
        <w:spacing w:after="0" w:line="298" w:lineRule="auto"/>
        <w:rPr>
          <w:sz w:val="20"/>
          <w:szCs w:val="20"/>
          <w:color w:val="auto"/>
        </w:rPr>
      </w:pPr>
      <w:r>
        <w:rPr>
          <w:rFonts w:ascii="Arial" w:cs="Arial" w:eastAsia="Arial" w:hAnsi="Arial"/>
          <w:sz w:val="16"/>
          <w:szCs w:val="16"/>
          <w:i w:val="1"/>
          <w:iCs w:val="1"/>
          <w:color w:val="auto"/>
        </w:rPr>
        <w:t>USEI Litigation</w:t>
      </w:r>
      <w:r>
        <w:rPr>
          <w:rFonts w:ascii="Arial" w:cs="Arial" w:eastAsia="Arial" w:hAnsi="Arial"/>
          <w:sz w:val="16"/>
          <w:szCs w:val="16"/>
          <w:color w:val="auto"/>
        </w:rPr>
        <w:t>. On October 9, 2009, U.S. Ethernet Innovations, LLC (“USEI”) filed a complaint in the United States District Court for the Eastern</w:t>
      </w:r>
      <w:r>
        <w:rPr>
          <w:rFonts w:ascii="Arial" w:cs="Arial" w:eastAsia="Arial" w:hAnsi="Arial"/>
          <w:sz w:val="16"/>
          <w:szCs w:val="16"/>
          <w:i w:val="1"/>
          <w:iCs w:val="1"/>
          <w:color w:val="auto"/>
        </w:rPr>
        <w:t xml:space="preserve"> </w:t>
      </w:r>
      <w:r>
        <w:rPr>
          <w:rFonts w:ascii="Arial" w:cs="Arial" w:eastAsia="Arial" w:hAnsi="Arial"/>
          <w:sz w:val="16"/>
          <w:szCs w:val="16"/>
          <w:color w:val="auto"/>
        </w:rPr>
        <w:t>District of Texas, in which USEI has accused a number of system manufacturers, including the Company’s customers, of patent infringement (the “USEI litigation”). Specifically, USEI has asserted that these customers infringe U.S. Patent Nos. 5,307,459, 5,434,872, 5,732,094 and 5,299,313 (collectively, the “USEI patents in suit”), which purportedly relate to Ethernet technologies. The complaint seeks unspecified damages and an injunction.</w:t>
      </w:r>
    </w:p>
    <w:p>
      <w:pPr>
        <w:spacing w:after="0" w:line="11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On May 4, 2010, MSI filed a motion to intervene in the USEI litigation, which was granted on May 19, 2010. On July 13, 2010, the court issued an order granting the Defendants’ motion to transfer the action to the Northern District of California; the case was formally transferred on August 23, 2010. On September 14, 2011, USEI withdrew its allegations against MSI for the ‘459 patent. On October 21, 2011, the court conducted a claim construction hearing, and a ruling was issued on January 31, 2012. A supplemental claim construction hearing was held on May 3, 2012. MSI believes that it does not infringe any valid and enforceable claim of the USEI patents in suit, and intends to litigate this action vigorously. The Company is currently unable to predict the outcome of this lawsuit and therefore cannot determine the likelihood of loss nor estimate a range of possible loss.</w:t>
      </w:r>
    </w:p>
    <w:p>
      <w:pPr>
        <w:spacing w:after="0" w:line="12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i w:val="1"/>
          <w:iCs w:val="1"/>
          <w:color w:val="auto"/>
        </w:rPr>
        <w:t xml:space="preserve">Lake Cherokee Patent Litigation. </w:t>
      </w:r>
      <w:r>
        <w:rPr>
          <w:rFonts w:ascii="Arial" w:cs="Arial" w:eastAsia="Arial" w:hAnsi="Arial"/>
          <w:sz w:val="16"/>
          <w:szCs w:val="16"/>
          <w:color w:val="auto"/>
        </w:rPr>
        <w:t>On June 30, 2010, Lake Cherokee Hard Drive Technologies, L.L.C. filed a complaint in the United States District Court</w:t>
      </w:r>
      <w:r>
        <w:rPr>
          <w:rFonts w:ascii="Arial" w:cs="Arial" w:eastAsia="Arial" w:hAnsi="Arial"/>
          <w:sz w:val="16"/>
          <w:szCs w:val="16"/>
          <w:i w:val="1"/>
          <w:iCs w:val="1"/>
          <w:color w:val="auto"/>
        </w:rPr>
        <w:t xml:space="preserve"> </w:t>
      </w:r>
      <w:r>
        <w:rPr>
          <w:rFonts w:ascii="Arial" w:cs="Arial" w:eastAsia="Arial" w:hAnsi="Arial"/>
          <w:sz w:val="16"/>
          <w:szCs w:val="16"/>
          <w:color w:val="auto"/>
        </w:rPr>
        <w:t>for the Eastern District of Texas. The complaint names MSI and seven other defendants, and alleges infringement of U.S. Patent Nos. 5,844,738 and 5,978,162 (collectively, the “Lake Cherokee patents in suit”). The Lake Cherokee patents in suit purportedly relate to read-channel integrated circuit devices, and allegedly, to certain unspecified HDD products incorporating such devices. The complaint seeks unspecified damages and a permanent injunction. MSI filed its answer and counterclaims to the complaint on September 13, 2010. Defendants filed a motion to transfer on April 1, 2011, which was denied on February 13, 2012. Lake Cherokee filed an amended complaint on April 21, 2011. MSI filed its answer and counterclaims to the amended complaint on May 9, 2011. A claim construction hearing was held on May 14, 2012, and a ruling was issued on August 6, 2012. Trial is set for August 5, 2013. MSI believes that it does not infringe any valid and enforceable claim of the Lake Cherokee patents in suit, and intends to litigate this action vigorously. The Company is currently unable to predict the outcome of this lawsuit and therefore cannot determine the likelihood of loss nor estimate a range of possible loss.</w:t>
      </w:r>
    </w:p>
    <w:p>
      <w:pPr>
        <w:spacing w:after="0" w:line="120"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i w:val="1"/>
          <w:iCs w:val="1"/>
          <w:color w:val="auto"/>
        </w:rPr>
        <w:t xml:space="preserve">APT Patent Litigations. </w:t>
      </w:r>
      <w:r>
        <w:rPr>
          <w:rFonts w:ascii="Arial" w:cs="Arial" w:eastAsia="Arial" w:hAnsi="Arial"/>
          <w:sz w:val="16"/>
          <w:szCs w:val="16"/>
          <w:color w:val="auto"/>
        </w:rPr>
        <w:t>On January 18, 2011, Advanced Processor Technologies, LLC (“APT”), a subsidiary of Acacia Research Corp., filed a complaint</w:t>
      </w:r>
      <w:r>
        <w:rPr>
          <w:rFonts w:ascii="Arial" w:cs="Arial" w:eastAsia="Arial" w:hAnsi="Arial"/>
          <w:sz w:val="16"/>
          <w:szCs w:val="16"/>
          <w:i w:val="1"/>
          <w:iCs w:val="1"/>
          <w:color w:val="auto"/>
        </w:rPr>
        <w:t xml:space="preserve"> </w:t>
      </w:r>
      <w:r>
        <w:rPr>
          <w:rFonts w:ascii="Arial" w:cs="Arial" w:eastAsia="Arial" w:hAnsi="Arial"/>
          <w:sz w:val="16"/>
          <w:szCs w:val="16"/>
          <w:color w:val="auto"/>
        </w:rPr>
        <w:t>in the United States District Court for the Eastern District of Texas. The complaint names MSI and eight other defendants and alleges infringement of U.S. Patent Nos. 6,047,354 (“’354 patent”) and 5,796,978 (“’978 patent”). The asserted patents purportedly relate to microprocessor technologies. The complaint seeks unspecified damages and a permanent injunction. A first amended complaint was filed on January 26, 2011. The first amended complaint continues to assert the ‘354 patent against MSI, but appears to no longer assert the ‘978 patent against MSI. MSI filed its answer and counterclaims on April 15, 2011. A claim construction hearing is scheduled for January 29, 2013, and jury selection is set for July 1, 2013. On March 23, 2012, APT filed a separate complaint in the United States District Court for the Eastern District of Texas. The complaint alleges that MSI infringes U.S. Patent Nos. 6,092,172 and 6,629,207. The asserted patents purportedly relate to microprocessor technologies. The complaint seeks unspecified damages and a permanent injunction. MSI filed its answer and counterclaims on May 25, 2012. In both cases, ARM filed a motion to intervene on July 23, 2012 and a motion to transfer on July 27, 2012. MSI believes that it does not infringe any valid and enforceable claim of the APT patents in suit, and intends to litigate these actions vigorously. The Company is currently unable to predict the outcome of these lawsuits and therefore cannot determine the likelihood of loss nor estimate a range of possible loss.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i w:val="1"/>
          <w:iCs w:val="1"/>
          <w:color w:val="auto"/>
        </w:rPr>
        <w:t>MOSAID Litigation</w:t>
      </w:r>
      <w:r>
        <w:rPr>
          <w:rFonts w:ascii="Arial" w:cs="Arial" w:eastAsia="Arial" w:hAnsi="Arial"/>
          <w:sz w:val="16"/>
          <w:szCs w:val="16"/>
          <w:color w:val="auto"/>
        </w:rPr>
        <w:t>. On March 16, 2011, MOSAID Technologies Inc. filed suit in the United States District for the Eastern District of Texas against MSI</w:t>
      </w:r>
      <w:r>
        <w:rPr>
          <w:rFonts w:ascii="Arial" w:cs="Arial" w:eastAsia="Arial" w:hAnsi="Arial"/>
          <w:sz w:val="16"/>
          <w:szCs w:val="16"/>
          <w:i w:val="1"/>
          <w:iCs w:val="1"/>
          <w:color w:val="auto"/>
        </w:rPr>
        <w:t xml:space="preserve"> </w:t>
      </w:r>
      <w:r>
        <w:rPr>
          <w:rFonts w:ascii="Arial" w:cs="Arial" w:eastAsia="Arial" w:hAnsi="Arial"/>
          <w:sz w:val="16"/>
          <w:szCs w:val="16"/>
          <w:color w:val="auto"/>
        </w:rPr>
        <w:t>and 16 other companies. The complaint alleges that defendants’ products, which operate in compliance with the IEEE 802.11a, 802.11b, 802.11g, and 802.11n standards, infringe the six asserted patents (U.S. Patent Nos. 5,131,006; 5,151,920; 5,422,887; 5,706,428; 6,563,768; 6,992,972). MSI filed its answer and counterclaims on June 9, 2011. On March 28, 2012, MSI and other defendants filed a motion to transfer. A claim construction hearing is scheduled for February 18, 2014 and jury selection is set for August 4, 2014. MSI believes that it does not infringe any valid and enforceable claim of the MOSAID patents in suit, and intends to litigate this action vigorously. The Company is currently unable to predict the outcome of this lawsuit and therefore cannot determine the likelihood of loss nor estimate a range of possible loss.</w:t>
      </w:r>
    </w:p>
    <w:p>
      <w:pPr>
        <w:spacing w:after="0" w:line="118"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i w:val="1"/>
          <w:iCs w:val="1"/>
          <w:color w:val="auto"/>
        </w:rPr>
        <w:t>Azure Networks Litigation</w:t>
      </w:r>
      <w:r>
        <w:rPr>
          <w:rFonts w:ascii="Arial" w:cs="Arial" w:eastAsia="Arial" w:hAnsi="Arial"/>
          <w:sz w:val="16"/>
          <w:szCs w:val="16"/>
          <w:color w:val="auto"/>
        </w:rPr>
        <w:t>. On March 22, 2011, Azure Networks, LLC and Tri-County Excelsior Foundation filed suit in the Eastern District of Texas</w:t>
      </w:r>
      <w:r>
        <w:rPr>
          <w:rFonts w:ascii="Arial" w:cs="Arial" w:eastAsia="Arial" w:hAnsi="Arial"/>
          <w:sz w:val="16"/>
          <w:szCs w:val="16"/>
          <w:i w:val="1"/>
          <w:iCs w:val="1"/>
          <w:color w:val="auto"/>
        </w:rPr>
        <w:t xml:space="preserve"> </w:t>
      </w:r>
      <w:r>
        <w:rPr>
          <w:rFonts w:ascii="Arial" w:cs="Arial" w:eastAsia="Arial" w:hAnsi="Arial"/>
          <w:sz w:val="16"/>
          <w:szCs w:val="16"/>
          <w:color w:val="auto"/>
        </w:rPr>
        <w:t>against MSI and eight other companies. The Complaint asserts U.S. Patent No. 7,756,129 against MSI’s Bluetooth products. MSI filed its answer and counterclaims on July 20, 2011. On December 9, 2011, defendants filed a motion to dismiss or transfer venue to S.D.N.Y. or, alternatively, to N.D. Cal., which was denied on June 25, 2012. A claim construction hearing is scheduled for November 29, 2012 and trial is set for November 12, 2013. MSI believes that it does not infringe any valid and enforceable claim of the Azure Networks patents in suit, and intends to litigate this action vigorously. The Company is currently unable to predict the outcome of this lawsuit and therefore cannot determine the likelihood of loss nor estimate a range of possible loss.</w:t>
      </w:r>
    </w:p>
    <w:p>
      <w:pPr>
        <w:spacing w:after="0" w:line="12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i w:val="1"/>
          <w:iCs w:val="1"/>
          <w:color w:val="auto"/>
        </w:rPr>
        <w:t xml:space="preserve">Power Management Systems Litigation. </w:t>
      </w:r>
      <w:r>
        <w:rPr>
          <w:rFonts w:ascii="Arial" w:cs="Arial" w:eastAsia="Arial" w:hAnsi="Arial"/>
          <w:sz w:val="16"/>
          <w:szCs w:val="16"/>
          <w:color w:val="auto"/>
        </w:rPr>
        <w:t>On August 22, 2011, Power Management Systems LLC (“PMS”), a subsidiary of Acacia Research Corp., filed a</w:t>
      </w:r>
      <w:r>
        <w:rPr>
          <w:rFonts w:ascii="Arial" w:cs="Arial" w:eastAsia="Arial" w:hAnsi="Arial"/>
          <w:sz w:val="16"/>
          <w:szCs w:val="16"/>
          <w:i w:val="1"/>
          <w:iCs w:val="1"/>
          <w:color w:val="auto"/>
        </w:rPr>
        <w:t xml:space="preserve"> </w:t>
      </w:r>
      <w:r>
        <w:rPr>
          <w:rFonts w:ascii="Arial" w:cs="Arial" w:eastAsia="Arial" w:hAnsi="Arial"/>
          <w:sz w:val="16"/>
          <w:szCs w:val="16"/>
          <w:color w:val="auto"/>
        </w:rPr>
        <w:t>complaint against the Company’s subsidiary Marvell Semiconductor, Ltd. (“MSL”) and three other defendants, in the United States District Court for the District of Delaware. The complaint asserts U.S. Patent No. 5,504,909, which purportedly relates to a power management apparatus, against various products. The complaint seeks unspecified damages. On October 17, 2011, PMS amended its complaint by substituting MSL with MSI. MSI filed its answer and counterclaims on November 4, 2011. A claim construction hearing is scheduled for January 18, 2013 and trial is set for March 3, 2014. MSI believes that it does not infringe any valid and enforceable claim of the PMS’ patents in suit, and intends to litigate this action vigorously. The Company is currently unable to predict the outcome of this lawsuit and therefore cannot determine the likelihood of loss nor estimate a range of possible loss.</w:t>
      </w:r>
    </w:p>
    <w:p>
      <w:pPr>
        <w:spacing w:after="0" w:line="11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i w:val="1"/>
          <w:iCs w:val="1"/>
          <w:color w:val="auto"/>
        </w:rPr>
        <w:t xml:space="preserve">HSM/TPL Litigation. </w:t>
      </w:r>
      <w:r>
        <w:rPr>
          <w:rFonts w:ascii="Arial" w:cs="Arial" w:eastAsia="Arial" w:hAnsi="Arial"/>
          <w:sz w:val="16"/>
          <w:szCs w:val="16"/>
          <w:color w:val="auto"/>
        </w:rPr>
        <w:t>On September 1, 2011, HSM Portfolio, LLC and Technology Properties Limited, LLC filed a complaint against the Company and</w:t>
      </w:r>
      <w:r>
        <w:rPr>
          <w:rFonts w:ascii="Arial" w:cs="Arial" w:eastAsia="Arial" w:hAnsi="Arial"/>
          <w:sz w:val="16"/>
          <w:szCs w:val="16"/>
          <w:i w:val="1"/>
          <w:iCs w:val="1"/>
          <w:color w:val="auto"/>
        </w:rPr>
        <w:t xml:space="preserve"> </w:t>
      </w:r>
      <w:r>
        <w:rPr>
          <w:rFonts w:ascii="Arial" w:cs="Arial" w:eastAsia="Arial" w:hAnsi="Arial"/>
          <w:sz w:val="16"/>
          <w:szCs w:val="16"/>
          <w:color w:val="auto"/>
        </w:rPr>
        <w:t>MSL in the United States District Court for the District of Delaware. The complaint also named numerous other defendants. The complaint asserts U.S. Patent No. 5,030,853, purportedly relating to high speed logic and memory circuitry, against various products. The complaint seeks unspecified damages. On January 9, 2012, HSM/TPL filed an amended complaint adding MSI to the case. On February 15, 2012, the Company and MSL were dismissed from the case. On July 18, 2012, HSM filed a second amended complaint against MSI, and MSI filed its answer and counterclaims on August 13, 2012. MSI believes that it does not infringe any valid and enforceable claim of the HSM/TPL patents in suit, and intends to litigate this action vigorously. The Company is currently unable to predict the outcome of this lawsuit and therefore cannot determine the likelihood of loss nor estimate a range of possible loss.</w:t>
      </w:r>
    </w:p>
    <w:p>
      <w:pPr>
        <w:spacing w:after="0" w:line="118"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i w:val="1"/>
          <w:iCs w:val="1"/>
          <w:color w:val="auto"/>
        </w:rPr>
        <w:t xml:space="preserve">France Telecom Litigation. </w:t>
      </w:r>
      <w:r>
        <w:rPr>
          <w:rFonts w:ascii="Arial" w:cs="Arial" w:eastAsia="Arial" w:hAnsi="Arial"/>
          <w:sz w:val="16"/>
          <w:szCs w:val="16"/>
          <w:color w:val="auto"/>
        </w:rPr>
        <w:t>On June 26, 2012, France Telecom S.A. (“France Telecom”) filed a complaint against MSI in the United States District Court</w:t>
      </w:r>
      <w:r>
        <w:rPr>
          <w:rFonts w:ascii="Arial" w:cs="Arial" w:eastAsia="Arial" w:hAnsi="Arial"/>
          <w:sz w:val="16"/>
          <w:szCs w:val="16"/>
          <w:i w:val="1"/>
          <w:iCs w:val="1"/>
          <w:color w:val="auto"/>
        </w:rPr>
        <w:t xml:space="preserve"> </w:t>
      </w:r>
      <w:r>
        <w:rPr>
          <w:rFonts w:ascii="Arial" w:cs="Arial" w:eastAsia="Arial" w:hAnsi="Arial"/>
          <w:sz w:val="16"/>
          <w:szCs w:val="16"/>
          <w:color w:val="auto"/>
        </w:rPr>
        <w:t>for the Southern District of New York. The complaint asserts U.S. Patent No 5,446,747 (the “’747 patent”) against MSI’s communications processors and thin modems. The complaint seeks unspecified damages as well as injunctive relief. MSI answered the complaint on July 18, 2012 and August 1, 2012. On July 30, 2012, MSI filed a motion to transfer the lawsuit to the United States District Court for the Northern District of California. Trial is set for January 3, 2013. MSI believes that it does not infringe any valid and enforceable claim of the ‘747 patent, and intends to litigate this action vigorously. The Company is currently unable to predict the outcome of this lawsuit and therefore cannot determine the likelihood of loss nor estimate a range of possible loss.</w:t>
      </w:r>
    </w:p>
    <w:p>
      <w:pPr>
        <w:spacing w:after="0" w:line="120"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i w:val="1"/>
          <w:iCs w:val="1"/>
          <w:color w:val="auto"/>
        </w:rPr>
        <w:t xml:space="preserve">Freescale Litigation. </w:t>
      </w:r>
      <w:r>
        <w:rPr>
          <w:rFonts w:ascii="Arial" w:cs="Arial" w:eastAsia="Arial" w:hAnsi="Arial"/>
          <w:sz w:val="16"/>
          <w:szCs w:val="16"/>
          <w:color w:val="auto"/>
        </w:rPr>
        <w:t>On July 6, 2012, Freescale Semiconductor, Inc. (“Freescale”) filed a complaint against MSI in the United States District Court for</w:t>
      </w:r>
      <w:r>
        <w:rPr>
          <w:rFonts w:ascii="Arial" w:cs="Arial" w:eastAsia="Arial" w:hAnsi="Arial"/>
          <w:sz w:val="16"/>
          <w:szCs w:val="16"/>
          <w:i w:val="1"/>
          <w:iCs w:val="1"/>
          <w:color w:val="auto"/>
        </w:rPr>
        <w:t xml:space="preserve"> </w:t>
      </w:r>
      <w:r>
        <w:rPr>
          <w:rFonts w:ascii="Arial" w:cs="Arial" w:eastAsia="Arial" w:hAnsi="Arial"/>
          <w:sz w:val="16"/>
          <w:szCs w:val="16"/>
          <w:color w:val="auto"/>
        </w:rPr>
        <w:t>the Western District of Texas. The complaint asserts U.S. Patent Nos. 6,920,316, 5,825,640, 5,943,274, 5,467,455 and 7,927,927 (collectively, the “Freescale patents in suit”) against certain of the Company’s integrated circuits and/or chipsets. The complaint seeks unspecified damages and a permanent injunction. MSI believes that it does not infringe any valid and enforceable claim of the Freescale patents in suit, and intends to litigate this action vigorously. The Company is currently unable to predict the outcome of this lawsuit and therefore cannot determine the likelihood of loss nor estimate a range of possible loss.</w:t>
      </w:r>
    </w:p>
    <w:p>
      <w:pPr>
        <w:spacing w:after="0" w:line="116" w:lineRule="exact"/>
        <w:rPr>
          <w:sz w:val="20"/>
          <w:szCs w:val="20"/>
          <w:color w:val="auto"/>
        </w:rPr>
      </w:pPr>
    </w:p>
    <w:p>
      <w:pPr>
        <w:ind w:right="120" w:firstLine="456"/>
        <w:spacing w:after="0" w:line="253" w:lineRule="auto"/>
        <w:rPr>
          <w:sz w:val="20"/>
          <w:szCs w:val="20"/>
          <w:color w:val="auto"/>
        </w:rPr>
      </w:pPr>
      <w:r>
        <w:rPr>
          <w:rFonts w:ascii="Arial" w:cs="Arial" w:eastAsia="Arial" w:hAnsi="Arial"/>
          <w:sz w:val="18"/>
          <w:szCs w:val="18"/>
          <w:i w:val="1"/>
          <w:iCs w:val="1"/>
          <w:color w:val="auto"/>
        </w:rPr>
        <w:t xml:space="preserve">General. </w:t>
      </w:r>
      <w:r>
        <w:rPr>
          <w:rFonts w:ascii="Arial" w:cs="Arial" w:eastAsia="Arial" w:hAnsi="Arial"/>
          <w:sz w:val="18"/>
          <w:szCs w:val="18"/>
          <w:color w:val="auto"/>
        </w:rPr>
        <w:t>The Company is also party to various other legal proceedings and claims arising in the normal course of business. The legal proceedings and</w:t>
      </w:r>
      <w:r>
        <w:rPr>
          <w:rFonts w:ascii="Arial" w:cs="Arial" w:eastAsia="Arial" w:hAnsi="Arial"/>
          <w:sz w:val="18"/>
          <w:szCs w:val="18"/>
          <w:i w:val="1"/>
          <w:iCs w:val="1"/>
          <w:color w:val="auto"/>
        </w:rPr>
        <w:t xml:space="preserve"> </w:t>
      </w:r>
      <w:r>
        <w:rPr>
          <w:rFonts w:ascii="Arial" w:cs="Arial" w:eastAsia="Arial" w:hAnsi="Arial"/>
          <w:sz w:val="18"/>
          <w:szCs w:val="18"/>
          <w:color w:val="auto"/>
        </w:rPr>
        <w:t>claims described above could result in substantial costs and could divert the attention and resources of the Company’s management. Although the legal responsibility and financial impact with respect to each of these proceedings and claims cannot currently be ascertained, an unfavorable outcome in any of such actions could have a material adverse effect on the Company’s cash flows. As to each of the ongoing legal matters mentioned above, the Company is unable to predict its outcome and therefore cannot determine the likelihood of loss nor estimate a range of possible loss. Litigation is subject to inherent uncertainties and unfavorable rulings could occur. An unfavorable ruling in litigation could require the Company to pay damages or one-time license fees or royalty payments and could prevent the Company</w:t>
      </w:r>
    </w:p>
    <w:p>
      <w:pPr>
        <w:spacing w:after="0" w:line="13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45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40"/>
        <w:spacing w:after="0" w:line="323" w:lineRule="auto"/>
        <w:rPr>
          <w:sz w:val="20"/>
          <w:szCs w:val="20"/>
          <w:color w:val="auto"/>
        </w:rPr>
      </w:pPr>
      <w:r>
        <w:rPr>
          <w:rFonts w:ascii="Arial" w:cs="Arial" w:eastAsia="Arial" w:hAnsi="Arial"/>
          <w:sz w:val="15"/>
          <w:szCs w:val="15"/>
          <w:color w:val="auto"/>
        </w:rPr>
        <w:t>from manufacturing or selling some of its products or limit or restrict the type of work that employees involved in such litigation may perform for the Company, any of which could adversely affect financial results in future periods. The Company believes that it competes lawfully and that its marketing, business and intellectual property benefit its customers and shareholders, and it will continue to conduct a vigorous defense in these proceedings. There can be no assurance that these matters will be resolved in a manner that is not adverse to the Company’s business, financial condition, results of operations or cash flows.</w:t>
      </w:r>
    </w:p>
    <w:p>
      <w:pPr>
        <w:spacing w:after="0" w:line="17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80" w:firstLine="456"/>
        <w:spacing w:after="0" w:line="286"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unaudited condensed consolidated balance sheets as the amounts, if any, cannot be reasonably estimated. The Company does, however, accrue for losses for any known contingent liability, including those that may arise from indemnification provisions, when future payment is probable.</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Activity under the Company’s stock option plans for the six months ended July 28, 2012 is summarized below (in thousands, except per share amounts):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00" w:type="dxa"/>
            <w:vAlign w:val="bottom"/>
          </w:tcPr>
          <w:p>
            <w:pPr>
              <w:spacing w:after="0"/>
              <w:rPr>
                <w:sz w:val="14"/>
                <w:szCs w:val="14"/>
                <w:color w:val="auto"/>
              </w:rPr>
            </w:pPr>
          </w:p>
        </w:tc>
        <w:tc>
          <w:tcPr>
            <w:tcW w:w="2180" w:type="dxa"/>
            <w:vAlign w:val="bottom"/>
            <w:gridSpan w:val="5"/>
          </w:tcPr>
          <w:p>
            <w:pPr>
              <w:ind w:left="260"/>
              <w:spacing w:after="0"/>
              <w:rPr>
                <w:sz w:val="20"/>
                <w:szCs w:val="20"/>
                <w:color w:val="auto"/>
              </w:rPr>
            </w:pPr>
            <w:r>
              <w:rPr>
                <w:rFonts w:ascii="Arial" w:cs="Arial" w:eastAsia="Arial" w:hAnsi="Arial"/>
                <w:sz w:val="14"/>
                <w:szCs w:val="14"/>
                <w:b w:val="1"/>
                <w:bCs w:val="1"/>
                <w:color w:val="auto"/>
              </w:rPr>
              <w:t>Time-Based Options</w:t>
            </w:r>
          </w:p>
        </w:tc>
        <w:tc>
          <w:tcPr>
            <w:tcW w:w="2660" w:type="dxa"/>
            <w:vAlign w:val="bottom"/>
            <w:gridSpan w:val="5"/>
          </w:tcPr>
          <w:p>
            <w:pPr>
              <w:jc w:val="right"/>
              <w:ind w:right="920"/>
              <w:spacing w:after="0"/>
              <w:rPr>
                <w:sz w:val="20"/>
                <w:szCs w:val="20"/>
                <w:color w:val="auto"/>
              </w:rPr>
            </w:pPr>
            <w:r>
              <w:rPr>
                <w:rFonts w:ascii="Arial" w:cs="Arial" w:eastAsia="Arial" w:hAnsi="Arial"/>
                <w:sz w:val="14"/>
                <w:szCs w:val="14"/>
                <w:b w:val="1"/>
                <w:bCs w:val="1"/>
                <w:color w:val="auto"/>
              </w:rPr>
              <w:t>Market-Based Options</w:t>
            </w:r>
          </w:p>
        </w:tc>
        <w:tc>
          <w:tcPr>
            <w:tcW w:w="620" w:type="dxa"/>
            <w:vAlign w:val="bottom"/>
          </w:tcPr>
          <w:p>
            <w:pPr>
              <w:spacing w:after="0"/>
              <w:rPr>
                <w:sz w:val="14"/>
                <w:szCs w:val="14"/>
                <w:color w:val="auto"/>
              </w:rPr>
            </w:pPr>
          </w:p>
        </w:tc>
        <w:tc>
          <w:tcPr>
            <w:tcW w:w="500" w:type="dxa"/>
            <w:vAlign w:val="bottom"/>
          </w:tcPr>
          <w:p>
            <w:pPr>
              <w:jc w:val="right"/>
              <w:ind w:right="72"/>
              <w:spacing w:after="0"/>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80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2"/>
              </w:rPr>
              <w:t>Weighted</w:t>
            </w:r>
          </w:p>
        </w:tc>
        <w:tc>
          <w:tcPr>
            <w:tcW w:w="50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2"/>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40" w:type="dxa"/>
            <w:vAlign w:val="bottom"/>
            <w:gridSpan w:val="3"/>
          </w:tcPr>
          <w:p>
            <w:pPr>
              <w:jc w:val="center"/>
              <w:ind w:right="500"/>
              <w:spacing w:after="0" w:line="149" w:lineRule="exact"/>
              <w:rPr>
                <w:sz w:val="20"/>
                <w:szCs w:val="20"/>
                <w:color w:val="auto"/>
              </w:rPr>
            </w:pPr>
            <w:r>
              <w:rPr>
                <w:rFonts w:ascii="Arial" w:cs="Arial" w:eastAsia="Arial" w:hAnsi="Arial"/>
                <w:sz w:val="14"/>
                <w:szCs w:val="14"/>
                <w:b w:val="1"/>
                <w:bCs w:val="1"/>
                <w:color w:val="auto"/>
                <w:w w:val="83"/>
              </w:rPr>
              <w:t>Average</w:t>
            </w:r>
          </w:p>
        </w:tc>
        <w:tc>
          <w:tcPr>
            <w:tcW w:w="6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4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00" w:type="dxa"/>
            <w:vAlign w:val="bottom"/>
          </w:tcPr>
          <w:p>
            <w:pPr>
              <w:spacing w:after="0"/>
              <w:rPr>
                <w:sz w:val="12"/>
                <w:szCs w:val="12"/>
                <w:color w:val="auto"/>
              </w:rPr>
            </w:pPr>
          </w:p>
        </w:tc>
        <w:tc>
          <w:tcPr>
            <w:tcW w:w="1140" w:type="dxa"/>
            <w:vAlign w:val="bottom"/>
            <w:gridSpan w:val="2"/>
          </w:tcPr>
          <w:p>
            <w:pPr>
              <w:jc w:val="right"/>
              <w:ind w:right="500"/>
              <w:spacing w:after="0" w:line="149" w:lineRule="exact"/>
              <w:rPr>
                <w:sz w:val="20"/>
                <w:szCs w:val="20"/>
                <w:color w:val="auto"/>
              </w:rPr>
            </w:pPr>
            <w:r>
              <w:rPr>
                <w:rFonts w:ascii="Arial" w:cs="Arial" w:eastAsia="Arial" w:hAnsi="Arial"/>
                <w:sz w:val="14"/>
                <w:szCs w:val="14"/>
                <w:b w:val="1"/>
                <w:bCs w:val="1"/>
                <w:color w:val="auto"/>
                <w:w w:val="88"/>
              </w:rPr>
              <w:t>Number of</w:t>
            </w:r>
          </w:p>
        </w:tc>
        <w:tc>
          <w:tcPr>
            <w:tcW w:w="10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Exercise</w:t>
            </w:r>
          </w:p>
        </w:tc>
        <w:tc>
          <w:tcPr>
            <w:tcW w:w="1120" w:type="dxa"/>
            <w:vAlign w:val="bottom"/>
            <w:gridSpan w:val="2"/>
          </w:tcPr>
          <w:p>
            <w:pPr>
              <w:jc w:val="right"/>
              <w:ind w:right="500"/>
              <w:spacing w:after="0" w:line="149" w:lineRule="exact"/>
              <w:rPr>
                <w:sz w:val="20"/>
                <w:szCs w:val="20"/>
                <w:color w:val="auto"/>
              </w:rPr>
            </w:pPr>
            <w:r>
              <w:rPr>
                <w:rFonts w:ascii="Arial" w:cs="Arial" w:eastAsia="Arial" w:hAnsi="Arial"/>
                <w:sz w:val="14"/>
                <w:szCs w:val="14"/>
                <w:b w:val="1"/>
                <w:bCs w:val="1"/>
                <w:color w:val="auto"/>
                <w:w w:val="85"/>
              </w:rPr>
              <w:t>Number of</w:t>
            </w:r>
          </w:p>
        </w:tc>
        <w:tc>
          <w:tcPr>
            <w:tcW w:w="15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Weighted Average</w:t>
            </w:r>
          </w:p>
        </w:tc>
        <w:tc>
          <w:tcPr>
            <w:tcW w:w="1120" w:type="dxa"/>
            <w:vAlign w:val="bottom"/>
            <w:gridSpan w:val="2"/>
          </w:tcPr>
          <w:p>
            <w:pPr>
              <w:jc w:val="right"/>
              <w:ind w:right="432"/>
              <w:spacing w:after="0" w:line="149" w:lineRule="exact"/>
              <w:rPr>
                <w:sz w:val="20"/>
                <w:szCs w:val="20"/>
                <w:color w:val="auto"/>
              </w:rPr>
            </w:pPr>
            <w:r>
              <w:rPr>
                <w:rFonts w:ascii="Arial" w:cs="Arial" w:eastAsia="Arial" w:hAnsi="Arial"/>
                <w:sz w:val="14"/>
                <w:szCs w:val="14"/>
                <w:b w:val="1"/>
                <w:bCs w:val="1"/>
                <w:color w:val="auto"/>
                <w:w w:val="85"/>
              </w:rPr>
              <w:t>Number of</w:t>
            </w:r>
          </w:p>
        </w:tc>
        <w:tc>
          <w:tcPr>
            <w:tcW w:w="6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Exercise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800" w:type="dxa"/>
            <w:vAlign w:val="bottom"/>
          </w:tcPr>
          <w:p>
            <w:pPr>
              <w:spacing w:after="0"/>
              <w:rPr>
                <w:sz w:val="14"/>
                <w:szCs w:val="14"/>
                <w:color w:val="auto"/>
              </w:rPr>
            </w:pPr>
          </w:p>
        </w:tc>
        <w:tc>
          <w:tcPr>
            <w:tcW w:w="114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rPr>
              <w:t>Shares</w:t>
            </w:r>
          </w:p>
        </w:tc>
        <w:tc>
          <w:tcPr>
            <w:tcW w:w="100" w:type="dxa"/>
            <w:vAlign w:val="bottom"/>
          </w:tcPr>
          <w:p>
            <w:pPr>
              <w:spacing w:after="0"/>
              <w:rPr>
                <w:sz w:val="14"/>
                <w:szCs w:val="14"/>
                <w:color w:val="auto"/>
              </w:rPr>
            </w:pPr>
          </w:p>
        </w:tc>
        <w:tc>
          <w:tcPr>
            <w:tcW w:w="940" w:type="dxa"/>
            <w:vAlign w:val="bottom"/>
            <w:gridSpan w:val="2"/>
          </w:tcPr>
          <w:p>
            <w:pPr>
              <w:jc w:val="center"/>
              <w:ind w:right="600"/>
              <w:spacing w:after="0"/>
              <w:rPr>
                <w:sz w:val="20"/>
                <w:szCs w:val="20"/>
                <w:color w:val="auto"/>
              </w:rPr>
            </w:pPr>
            <w:r>
              <w:rPr>
                <w:rFonts w:ascii="Arial" w:cs="Arial" w:eastAsia="Arial" w:hAnsi="Arial"/>
                <w:sz w:val="14"/>
                <w:szCs w:val="14"/>
                <w:b w:val="1"/>
                <w:bCs w:val="1"/>
                <w:color w:val="auto"/>
                <w:w w:val="87"/>
              </w:rPr>
              <w:t>Price</w:t>
            </w:r>
          </w:p>
        </w:tc>
        <w:tc>
          <w:tcPr>
            <w:tcW w:w="112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rPr>
              <w:t>Shares</w:t>
            </w:r>
          </w:p>
        </w:tc>
        <w:tc>
          <w:tcPr>
            <w:tcW w:w="100" w:type="dxa"/>
            <w:vAlign w:val="bottom"/>
          </w:tcPr>
          <w:p>
            <w:pPr>
              <w:spacing w:after="0"/>
              <w:rPr>
                <w:sz w:val="14"/>
                <w:szCs w:val="14"/>
                <w:color w:val="auto"/>
              </w:rPr>
            </w:pPr>
          </w:p>
        </w:tc>
        <w:tc>
          <w:tcPr>
            <w:tcW w:w="144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w w:val="83"/>
              </w:rPr>
              <w:t>Exercise Price</w:t>
            </w:r>
          </w:p>
        </w:tc>
        <w:tc>
          <w:tcPr>
            <w:tcW w:w="1120" w:type="dxa"/>
            <w:vAlign w:val="bottom"/>
            <w:gridSpan w:val="2"/>
          </w:tcPr>
          <w:p>
            <w:pPr>
              <w:jc w:val="right"/>
              <w:ind w:right="552"/>
              <w:spacing w:after="0"/>
              <w:rPr>
                <w:sz w:val="20"/>
                <w:szCs w:val="20"/>
                <w:color w:val="auto"/>
              </w:rPr>
            </w:pPr>
            <w:r>
              <w:rPr>
                <w:rFonts w:ascii="Arial" w:cs="Arial" w:eastAsia="Arial" w:hAnsi="Arial"/>
                <w:sz w:val="14"/>
                <w:szCs w:val="14"/>
                <w:b w:val="1"/>
                <w:bCs w:val="1"/>
                <w:color w:val="auto"/>
              </w:rPr>
              <w:t>Shares</w:t>
            </w:r>
          </w:p>
        </w:tc>
        <w:tc>
          <w:tcPr>
            <w:tcW w:w="100" w:type="dxa"/>
            <w:vAlign w:val="bottom"/>
          </w:tcPr>
          <w:p>
            <w:pPr>
              <w:spacing w:after="0"/>
              <w:rPr>
                <w:sz w:val="14"/>
                <w:szCs w:val="14"/>
                <w:color w:val="auto"/>
              </w:rPr>
            </w:pPr>
          </w:p>
        </w:tc>
        <w:tc>
          <w:tcPr>
            <w:tcW w:w="5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28, 2012</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52,467</w:t>
            </w:r>
          </w:p>
        </w:tc>
        <w:tc>
          <w:tcPr>
            <w:tcW w:w="5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12.53</w:t>
            </w:r>
          </w:p>
        </w:tc>
        <w:tc>
          <w:tcPr>
            <w:tcW w:w="50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3,124</w:t>
            </w:r>
          </w:p>
        </w:tc>
        <w:tc>
          <w:tcPr>
            <w:tcW w:w="5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15.43</w:t>
            </w:r>
          </w:p>
        </w:tc>
        <w:tc>
          <w:tcPr>
            <w:tcW w:w="50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55,591</w:t>
            </w:r>
          </w:p>
        </w:tc>
        <w:tc>
          <w:tcPr>
            <w:tcW w:w="5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12.70</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tcPr>
          <w:p>
            <w:pPr>
              <w:ind w:left="420"/>
              <w:spacing w:after="0"/>
              <w:rPr>
                <w:sz w:val="20"/>
                <w:szCs w:val="20"/>
                <w:color w:val="auto"/>
              </w:rPr>
            </w:pPr>
            <w:r>
              <w:rPr>
                <w:rFonts w:ascii="Arial" w:cs="Arial" w:eastAsia="Arial" w:hAnsi="Arial"/>
                <w:sz w:val="18"/>
                <w:szCs w:val="18"/>
                <w:color w:val="auto"/>
              </w:rPr>
              <w:t>Granted</w:t>
            </w:r>
          </w:p>
        </w:tc>
        <w:tc>
          <w:tcPr>
            <w:tcW w:w="1140" w:type="dxa"/>
            <w:vAlign w:val="bottom"/>
            <w:gridSpan w:val="2"/>
          </w:tcPr>
          <w:p>
            <w:pPr>
              <w:jc w:val="right"/>
              <w:ind w:right="500"/>
              <w:spacing w:after="0"/>
              <w:rPr>
                <w:sz w:val="20"/>
                <w:szCs w:val="20"/>
                <w:color w:val="auto"/>
              </w:rPr>
            </w:pPr>
            <w:r>
              <w:rPr>
                <w:rFonts w:ascii="Arial" w:cs="Arial" w:eastAsia="Arial" w:hAnsi="Arial"/>
                <w:sz w:val="18"/>
                <w:szCs w:val="18"/>
                <w:color w:val="auto"/>
              </w:rPr>
              <w:t>6,855</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14.75</w:t>
            </w:r>
          </w:p>
        </w:tc>
        <w:tc>
          <w:tcPr>
            <w:tcW w:w="500" w:type="dxa"/>
            <w:vAlign w:val="bottom"/>
          </w:tcPr>
          <w:p>
            <w:pPr>
              <w:spacing w:after="0"/>
              <w:rPr>
                <w:sz w:val="18"/>
                <w:szCs w:val="18"/>
                <w:color w:val="auto"/>
              </w:rPr>
            </w:pPr>
          </w:p>
        </w:tc>
        <w:tc>
          <w:tcPr>
            <w:tcW w:w="1120" w:type="dxa"/>
            <w:vAlign w:val="bottom"/>
            <w:gridSpan w:val="2"/>
          </w:tcPr>
          <w:p>
            <w:pPr>
              <w:jc w:val="right"/>
              <w:ind w:right="5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440" w:type="dxa"/>
            <w:vAlign w:val="bottom"/>
            <w:gridSpan w:val="2"/>
          </w:tcPr>
          <w:p>
            <w:pPr>
              <w:jc w:val="right"/>
              <w:ind w:right="58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432"/>
              <w:spacing w:after="0"/>
              <w:rPr>
                <w:sz w:val="20"/>
                <w:szCs w:val="20"/>
                <w:color w:val="auto"/>
              </w:rPr>
            </w:pPr>
            <w:r>
              <w:rPr>
                <w:rFonts w:ascii="Arial" w:cs="Arial" w:eastAsia="Arial" w:hAnsi="Arial"/>
                <w:sz w:val="18"/>
                <w:szCs w:val="18"/>
                <w:color w:val="auto"/>
              </w:rPr>
              <w:t>6,855</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14.75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11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(3,117)</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7.23</w:t>
            </w:r>
          </w:p>
        </w:tc>
        <w:tc>
          <w:tcPr>
            <w:tcW w:w="5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44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372"/>
              <w:spacing w:after="0"/>
              <w:rPr>
                <w:sz w:val="20"/>
                <w:szCs w:val="20"/>
                <w:color w:val="auto"/>
              </w:rPr>
            </w:pPr>
            <w:r>
              <w:rPr>
                <w:rFonts w:ascii="Arial" w:cs="Arial" w:eastAsia="Arial" w:hAnsi="Arial"/>
                <w:sz w:val="18"/>
                <w:szCs w:val="18"/>
                <w:color w:val="auto"/>
              </w:rPr>
              <w:t>(3,117)</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40" w:type="dxa"/>
            <w:vAlign w:val="bottom"/>
            <w:gridSpan w:val="2"/>
          </w:tcPr>
          <w:p>
            <w:pPr>
              <w:jc w:val="right"/>
              <w:ind w:right="440"/>
              <w:spacing w:after="0"/>
              <w:rPr>
                <w:sz w:val="20"/>
                <w:szCs w:val="20"/>
                <w:color w:val="auto"/>
              </w:rPr>
            </w:pPr>
            <w:r>
              <w:rPr>
                <w:rFonts w:ascii="Arial" w:cs="Arial" w:eastAsia="Arial" w:hAnsi="Arial"/>
                <w:sz w:val="18"/>
                <w:szCs w:val="18"/>
                <w:color w:val="auto"/>
              </w:rPr>
              <w:t>(963)</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16.20</w:t>
            </w:r>
          </w:p>
        </w:tc>
        <w:tc>
          <w:tcPr>
            <w:tcW w:w="500" w:type="dxa"/>
            <w:vAlign w:val="bottom"/>
          </w:tcPr>
          <w:p>
            <w:pPr>
              <w:spacing w:after="0"/>
              <w:rPr>
                <w:sz w:val="18"/>
                <w:szCs w:val="18"/>
                <w:color w:val="auto"/>
              </w:rPr>
            </w:pPr>
          </w:p>
        </w:tc>
        <w:tc>
          <w:tcPr>
            <w:tcW w:w="1120" w:type="dxa"/>
            <w:vAlign w:val="bottom"/>
            <w:gridSpan w:val="2"/>
          </w:tcPr>
          <w:p>
            <w:pPr>
              <w:jc w:val="right"/>
              <w:ind w:right="440"/>
              <w:spacing w:after="0"/>
              <w:rPr>
                <w:sz w:val="20"/>
                <w:szCs w:val="20"/>
                <w:color w:val="auto"/>
              </w:rPr>
            </w:pPr>
            <w:r>
              <w:rPr>
                <w:rFonts w:ascii="Arial" w:cs="Arial" w:eastAsia="Arial" w:hAnsi="Arial"/>
                <w:sz w:val="18"/>
                <w:szCs w:val="18"/>
                <w:color w:val="auto"/>
              </w:rPr>
              <w:t>(60)</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440" w:type="dxa"/>
            <w:vAlign w:val="bottom"/>
            <w:gridSpan w:val="2"/>
          </w:tcPr>
          <w:p>
            <w:pPr>
              <w:jc w:val="right"/>
              <w:ind w:right="500"/>
              <w:spacing w:after="0"/>
              <w:rPr>
                <w:sz w:val="20"/>
                <w:szCs w:val="20"/>
                <w:color w:val="auto"/>
              </w:rPr>
            </w:pPr>
            <w:r>
              <w:rPr>
                <w:rFonts w:ascii="Arial" w:cs="Arial" w:eastAsia="Arial" w:hAnsi="Arial"/>
                <w:sz w:val="18"/>
                <w:szCs w:val="18"/>
                <w:color w:val="auto"/>
              </w:rPr>
              <w:t>15.43</w:t>
            </w:r>
          </w:p>
        </w:tc>
        <w:tc>
          <w:tcPr>
            <w:tcW w:w="1120" w:type="dxa"/>
            <w:vAlign w:val="bottom"/>
            <w:gridSpan w:val="2"/>
          </w:tcPr>
          <w:p>
            <w:pPr>
              <w:jc w:val="right"/>
              <w:ind w:right="372"/>
              <w:spacing w:after="0"/>
              <w:rPr>
                <w:sz w:val="20"/>
                <w:szCs w:val="20"/>
                <w:color w:val="auto"/>
              </w:rPr>
            </w:pPr>
            <w:r>
              <w:rPr>
                <w:rFonts w:ascii="Arial" w:cs="Arial" w:eastAsia="Arial" w:hAnsi="Arial"/>
                <w:sz w:val="18"/>
                <w:szCs w:val="18"/>
                <w:color w:val="auto"/>
              </w:rPr>
              <w:t>(1,023)</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16.16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80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440" w:type="dxa"/>
            <w:vAlign w:val="bottom"/>
          </w:tcPr>
          <w:p>
            <w:pPr>
              <w:spacing w:after="0"/>
              <w:rPr>
                <w:sz w:val="2"/>
                <w:szCs w:val="2"/>
                <w:color w:val="auto"/>
              </w:rPr>
            </w:pPr>
          </w:p>
        </w:tc>
        <w:tc>
          <w:tcPr>
            <w:tcW w:w="50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940" w:type="dxa"/>
            <w:vAlign w:val="bottom"/>
          </w:tcPr>
          <w:p>
            <w:pPr>
              <w:spacing w:after="0"/>
              <w:rPr>
                <w:sz w:val="2"/>
                <w:szCs w:val="2"/>
                <w:color w:val="auto"/>
              </w:rPr>
            </w:pPr>
          </w:p>
        </w:tc>
        <w:tc>
          <w:tcPr>
            <w:tcW w:w="50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Balance at July 28, 2012</w:t>
            </w:r>
          </w:p>
        </w:tc>
        <w:tc>
          <w:tcPr>
            <w:tcW w:w="114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55,242</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13.04</w:t>
            </w:r>
          </w:p>
        </w:tc>
        <w:tc>
          <w:tcPr>
            <w:tcW w:w="5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3,064</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44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15.43</w:t>
            </w:r>
          </w:p>
        </w:tc>
        <w:tc>
          <w:tcPr>
            <w:tcW w:w="1120" w:type="dxa"/>
            <w:vAlign w:val="bottom"/>
            <w:gridSpan w:val="2"/>
            <w:shd w:val="clear" w:color="auto" w:fill="CCEEFF"/>
          </w:tcPr>
          <w:p>
            <w:pPr>
              <w:jc w:val="right"/>
              <w:ind w:right="432"/>
              <w:spacing w:after="0"/>
              <w:rPr>
                <w:sz w:val="20"/>
                <w:szCs w:val="20"/>
                <w:color w:val="auto"/>
              </w:rPr>
            </w:pPr>
            <w:r>
              <w:rPr>
                <w:rFonts w:ascii="Arial" w:cs="Arial" w:eastAsia="Arial" w:hAnsi="Arial"/>
                <w:sz w:val="18"/>
                <w:szCs w:val="18"/>
                <w:color w:val="auto"/>
              </w:rPr>
              <w:t>58,306</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13.17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2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July 28, 2012</w:t>
            </w:r>
          </w:p>
        </w:tc>
        <w:tc>
          <w:tcPr>
            <w:tcW w:w="6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vMerge w:val="restart"/>
          </w:tcPr>
          <w:p>
            <w:pPr>
              <w:spacing w:after="0"/>
              <w:rPr>
                <w:sz w:val="20"/>
                <w:szCs w:val="20"/>
                <w:color w:val="auto"/>
              </w:rPr>
            </w:pPr>
            <w:r>
              <w:rPr>
                <w:rFonts w:ascii="Arial" w:cs="Arial" w:eastAsia="Arial" w:hAnsi="Arial"/>
                <w:sz w:val="18"/>
                <w:szCs w:val="18"/>
                <w:color w:val="auto"/>
                <w:w w:val="79"/>
              </w:rPr>
              <w:t>$</w:t>
            </w:r>
          </w:p>
        </w:tc>
        <w:tc>
          <w:tcPr>
            <w:tcW w:w="440" w:type="dxa"/>
            <w:vAlign w:val="bottom"/>
            <w:vMerge w:val="restart"/>
          </w:tcPr>
          <w:p>
            <w:pPr>
              <w:jc w:val="right"/>
              <w:spacing w:after="0"/>
              <w:rPr>
                <w:sz w:val="20"/>
                <w:szCs w:val="20"/>
                <w:color w:val="auto"/>
              </w:rPr>
            </w:pPr>
            <w:r>
              <w:rPr>
                <w:rFonts w:ascii="Arial" w:cs="Arial" w:eastAsia="Arial" w:hAnsi="Arial"/>
                <w:sz w:val="18"/>
                <w:szCs w:val="18"/>
                <w:color w:val="auto"/>
                <w:w w:val="93"/>
              </w:rPr>
              <w:t>13.00</w:t>
            </w:r>
          </w:p>
        </w:tc>
        <w:tc>
          <w:tcPr>
            <w:tcW w:w="5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820" w:type="dxa"/>
            <w:vAlign w:val="bottom"/>
            <w:gridSpan w:val="2"/>
            <w:vMerge w:val="continue"/>
          </w:tcPr>
          <w:p>
            <w:pPr>
              <w:spacing w:after="0"/>
              <w:rPr>
                <w:sz w:val="18"/>
                <w:szCs w:val="18"/>
                <w:color w:val="auto"/>
              </w:rPr>
            </w:pPr>
          </w:p>
        </w:tc>
        <w:tc>
          <w:tcPr>
            <w:tcW w:w="1140" w:type="dxa"/>
            <w:vAlign w:val="bottom"/>
            <w:gridSpan w:val="2"/>
          </w:tcPr>
          <w:p>
            <w:pPr>
              <w:jc w:val="right"/>
              <w:ind w:right="500"/>
              <w:spacing w:after="0"/>
              <w:rPr>
                <w:sz w:val="20"/>
                <w:szCs w:val="20"/>
                <w:color w:val="auto"/>
              </w:rPr>
            </w:pPr>
            <w:r>
              <w:rPr>
                <w:rFonts w:ascii="Arial" w:cs="Arial" w:eastAsia="Arial" w:hAnsi="Arial"/>
                <w:sz w:val="18"/>
                <w:szCs w:val="18"/>
                <w:color w:val="auto"/>
              </w:rPr>
              <w:t>53,650</w:t>
            </w:r>
          </w:p>
        </w:tc>
        <w:tc>
          <w:tcPr>
            <w:tcW w:w="100" w:type="dxa"/>
            <w:vAlign w:val="bottom"/>
            <w:vMerge w:val="continue"/>
          </w:tcPr>
          <w:p>
            <w:pPr>
              <w:spacing w:after="0"/>
              <w:rPr>
                <w:sz w:val="18"/>
                <w:szCs w:val="18"/>
                <w:color w:val="auto"/>
              </w:rPr>
            </w:pPr>
          </w:p>
        </w:tc>
        <w:tc>
          <w:tcPr>
            <w:tcW w:w="440" w:type="dxa"/>
            <w:vAlign w:val="bottom"/>
            <w:vMerge w:val="continue"/>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July 28, 2012</w:t>
            </w:r>
          </w:p>
        </w:tc>
        <w:tc>
          <w:tcPr>
            <w:tcW w:w="114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41,521</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12.89</w:t>
            </w:r>
          </w:p>
        </w:tc>
        <w:tc>
          <w:tcPr>
            <w:tcW w:w="5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For time-based stock options vested and expected to vest at July 28, 2012, the aggregate intrinsic value was $82.7 million and the weighted average remaining contractual term was 4.9 years. For time-based stock options exercisable at July 28, 2012, the aggregate intrinsic value was $82.1 million and the weighted average remaining contractual term was 4.8 years. There was no aggregate intrinsic value for market-based stock options at July 28, 2012 and the weighted average remaining contractual term of market-based stock options vested and expected to reach the end of the vesting period at July 28, 2012 was 8.8 years. The Company’s closing stock price as reported on the NASDAQ Global Select Market for all in-the-money options as of July 27, 2012 is used to calculate the aggregate intrinsic value.</w:t>
      </w:r>
    </w:p>
    <w:p>
      <w:pPr>
        <w:spacing w:after="0" w:line="144"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As of July 28, 2012, the unamortized compensation expense for time-based stock options was $60.1 million and market-based stock options was $8.0 million. The unamortized compensation expense for time-based and market-based stock options will be amortized on a straight-line basis and is expected to be recognized over a weighted-average period of 2.7 years and 1.4 years, respectively.</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720" w:firstLine="456"/>
        <w:spacing w:after="0" w:line="268" w:lineRule="auto"/>
        <w:rPr>
          <w:sz w:val="20"/>
          <w:szCs w:val="20"/>
          <w:color w:val="auto"/>
        </w:rPr>
      </w:pPr>
      <w:r>
        <w:rPr>
          <w:rFonts w:ascii="Arial" w:cs="Arial" w:eastAsia="Arial" w:hAnsi="Arial"/>
          <w:sz w:val="18"/>
          <w:szCs w:val="18"/>
          <w:color w:val="auto"/>
        </w:rPr>
        <w:t>Included in the following table is activity related to the non-vested portion of the restricted stock units for the six months ended July 28, 2012 (in thousands, except for prices):</w:t>
      </w:r>
    </w:p>
    <w:p>
      <w:pPr>
        <w:spacing w:after="0" w:line="156"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2820" w:type="dxa"/>
            <w:vAlign w:val="bottom"/>
            <w:gridSpan w:val="3"/>
          </w:tcPr>
          <w:p>
            <w:pPr>
              <w:jc w:val="center"/>
              <w:ind w:left="879"/>
              <w:spacing w:after="0"/>
              <w:rPr>
                <w:sz w:val="20"/>
                <w:szCs w:val="20"/>
                <w:color w:val="auto"/>
              </w:rPr>
            </w:pPr>
            <w:r>
              <w:rPr>
                <w:rFonts w:ascii="Arial" w:cs="Arial" w:eastAsia="Arial" w:hAnsi="Arial"/>
                <w:sz w:val="14"/>
                <w:szCs w:val="14"/>
                <w:b w:val="1"/>
                <w:bCs w:val="1"/>
                <w:color w:val="auto"/>
                <w:w w:val="85"/>
              </w:rPr>
              <w:t>Restricted Stock</w:t>
            </w:r>
          </w:p>
        </w:tc>
        <w:tc>
          <w:tcPr>
            <w:tcW w:w="1560" w:type="dxa"/>
            <w:vAlign w:val="bottom"/>
            <w:gridSpan w:val="4"/>
          </w:tcPr>
          <w:p>
            <w:pPr>
              <w:ind w:left="400"/>
              <w:spacing w:after="0"/>
              <w:rPr>
                <w:sz w:val="20"/>
                <w:szCs w:val="20"/>
                <w:color w:val="auto"/>
              </w:rPr>
            </w:pPr>
            <w:r>
              <w:rPr>
                <w:rFonts w:ascii="Arial" w:cs="Arial" w:eastAsia="Arial" w:hAnsi="Arial"/>
                <w:sz w:val="14"/>
                <w:szCs w:val="14"/>
                <w:b w:val="1"/>
                <w:bCs w:val="1"/>
                <w:color w:val="auto"/>
                <w:w w:val="93"/>
              </w:rPr>
              <w:t>Weighted Average</w:t>
            </w:r>
          </w:p>
        </w:tc>
      </w:tr>
      <w:tr>
        <w:trPr>
          <w:trHeight w:val="149"/>
        </w:trPr>
        <w:tc>
          <w:tcPr>
            <w:tcW w:w="20" w:type="dxa"/>
            <w:vAlign w:val="bottom"/>
          </w:tcPr>
          <w:p>
            <w:pPr>
              <w:spacing w:after="0"/>
              <w:rPr>
                <w:sz w:val="12"/>
                <w:szCs w:val="12"/>
                <w:color w:val="auto"/>
              </w:rPr>
            </w:pPr>
          </w:p>
        </w:tc>
        <w:tc>
          <w:tcPr>
            <w:tcW w:w="3360" w:type="dxa"/>
            <w:vAlign w:val="bottom"/>
          </w:tcPr>
          <w:p>
            <w:pPr>
              <w:spacing w:after="0"/>
              <w:rPr>
                <w:sz w:val="12"/>
                <w:szCs w:val="12"/>
                <w:color w:val="auto"/>
              </w:rPr>
            </w:pPr>
          </w:p>
        </w:tc>
        <w:tc>
          <w:tcPr>
            <w:tcW w:w="1420" w:type="dxa"/>
            <w:vAlign w:val="bottom"/>
          </w:tcPr>
          <w:p>
            <w:pPr>
              <w:spacing w:after="0"/>
              <w:rPr>
                <w:sz w:val="12"/>
                <w:szCs w:val="12"/>
                <w:color w:val="auto"/>
              </w:rPr>
            </w:pPr>
          </w:p>
        </w:tc>
        <w:tc>
          <w:tcPr>
            <w:tcW w:w="140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5"/>
              </w:rPr>
              <w:t>Units</w:t>
            </w:r>
          </w:p>
        </w:tc>
        <w:tc>
          <w:tcPr>
            <w:tcW w:w="4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2"/>
              </w:rPr>
              <w:t>Grant Date</w:t>
            </w:r>
          </w:p>
        </w:tc>
      </w:tr>
      <w:tr>
        <w:trPr>
          <w:trHeight w:val="161"/>
        </w:trPr>
        <w:tc>
          <w:tcPr>
            <w:tcW w:w="2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40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7"/>
              </w:rPr>
              <w:t>Outstanding</w:t>
            </w:r>
          </w:p>
        </w:tc>
        <w:tc>
          <w:tcPr>
            <w:tcW w:w="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9"/>
              </w:rPr>
              <w:t>Fair Value</w:t>
            </w:r>
          </w:p>
        </w:tc>
      </w:tr>
      <w:tr>
        <w:trPr>
          <w:trHeight w:val="210"/>
        </w:trPr>
        <w:tc>
          <w:tcPr>
            <w:tcW w:w="20" w:type="dxa"/>
            <w:vAlign w:val="bottom"/>
          </w:tcPr>
          <w:p>
            <w:pPr>
              <w:spacing w:after="0"/>
              <w:rPr>
                <w:sz w:val="18"/>
                <w:szCs w:val="18"/>
                <w:color w:val="auto"/>
              </w:rPr>
            </w:pPr>
          </w:p>
        </w:tc>
        <w:tc>
          <w:tcPr>
            <w:tcW w:w="33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28, 2012</w:t>
            </w:r>
          </w:p>
        </w:tc>
        <w:tc>
          <w:tcPr>
            <w:tcW w:w="142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9,646</w:t>
            </w:r>
          </w:p>
        </w:tc>
        <w:tc>
          <w:tcPr>
            <w:tcW w:w="440" w:type="dxa"/>
            <w:vAlign w:val="bottom"/>
            <w:tcBorders>
              <w:top w:val="single" w:sz="8" w:color="CCEEFF"/>
            </w:tcBorders>
            <w:shd w:val="clear" w:color="auto" w:fill="CCEEFF"/>
          </w:tcPr>
          <w:p>
            <w:pPr>
              <w:spacing w:after="0"/>
              <w:rPr>
                <w:sz w:val="18"/>
                <w:szCs w:val="18"/>
                <w:color w:val="auto"/>
              </w:rPr>
            </w:pPr>
          </w:p>
        </w:tc>
        <w:tc>
          <w:tcPr>
            <w:tcW w:w="4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17.38</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360" w:type="dxa"/>
            <w:vAlign w:val="bottom"/>
          </w:tcPr>
          <w:p>
            <w:pPr>
              <w:ind w:left="420"/>
              <w:spacing w:after="0"/>
              <w:rPr>
                <w:sz w:val="20"/>
                <w:szCs w:val="20"/>
                <w:color w:val="auto"/>
              </w:rPr>
            </w:pPr>
            <w:r>
              <w:rPr>
                <w:rFonts w:ascii="Arial" w:cs="Arial" w:eastAsia="Arial" w:hAnsi="Arial"/>
                <w:sz w:val="18"/>
                <w:szCs w:val="18"/>
                <w:color w:val="auto"/>
              </w:rPr>
              <w:t>Granted</w:t>
            </w:r>
          </w:p>
        </w:tc>
        <w:tc>
          <w:tcPr>
            <w:tcW w:w="2380" w:type="dxa"/>
            <w:vAlign w:val="bottom"/>
            <w:gridSpan w:val="2"/>
          </w:tcPr>
          <w:p>
            <w:pPr>
              <w:jc w:val="right"/>
              <w:spacing w:after="0"/>
              <w:rPr>
                <w:sz w:val="20"/>
                <w:szCs w:val="20"/>
                <w:color w:val="auto"/>
              </w:rPr>
            </w:pPr>
            <w:r>
              <w:rPr>
                <w:rFonts w:ascii="Arial" w:cs="Arial" w:eastAsia="Arial" w:hAnsi="Arial"/>
                <w:sz w:val="18"/>
                <w:szCs w:val="18"/>
                <w:color w:val="auto"/>
              </w:rPr>
              <w:t>6,829</w:t>
            </w:r>
          </w:p>
        </w:tc>
        <w:tc>
          <w:tcPr>
            <w:tcW w:w="440" w:type="dxa"/>
            <w:vAlign w:val="bottom"/>
          </w:tcPr>
          <w:p>
            <w:pPr>
              <w:spacing w:after="0"/>
              <w:rPr>
                <w:sz w:val="18"/>
                <w:szCs w:val="18"/>
                <w:color w:val="auto"/>
              </w:rPr>
            </w:pPr>
          </w:p>
        </w:tc>
        <w:tc>
          <w:tcPr>
            <w:tcW w:w="54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15.13</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282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(2,429)</w:t>
            </w:r>
          </w:p>
        </w:tc>
        <w:tc>
          <w:tcPr>
            <w:tcW w:w="54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17.87</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336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420" w:type="dxa"/>
            <w:vAlign w:val="bottom"/>
          </w:tcPr>
          <w:p>
            <w:pPr>
              <w:spacing w:after="0"/>
              <w:rPr>
                <w:sz w:val="19"/>
                <w:szCs w:val="19"/>
                <w:color w:val="auto"/>
              </w:rPr>
            </w:pPr>
          </w:p>
        </w:tc>
        <w:tc>
          <w:tcPr>
            <w:tcW w:w="1400" w:type="dxa"/>
            <w:vAlign w:val="bottom"/>
            <w:gridSpan w:val="2"/>
          </w:tcPr>
          <w:p>
            <w:pPr>
              <w:jc w:val="right"/>
              <w:ind w:right="400"/>
              <w:spacing w:after="0"/>
              <w:rPr>
                <w:sz w:val="20"/>
                <w:szCs w:val="20"/>
                <w:color w:val="auto"/>
              </w:rPr>
            </w:pPr>
            <w:r>
              <w:rPr>
                <w:rFonts w:ascii="Arial" w:cs="Arial" w:eastAsia="Arial" w:hAnsi="Arial"/>
                <w:sz w:val="18"/>
                <w:szCs w:val="18"/>
                <w:color w:val="auto"/>
              </w:rPr>
              <w:t>(809)</w:t>
            </w:r>
          </w:p>
        </w:tc>
        <w:tc>
          <w:tcPr>
            <w:tcW w:w="54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18.02</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Balance at July 28, 2012</w:t>
            </w:r>
          </w:p>
        </w:tc>
        <w:tc>
          <w:tcPr>
            <w:tcW w:w="1420" w:type="dxa"/>
            <w:vAlign w:val="bottom"/>
            <w:shd w:val="clear" w:color="auto" w:fill="CCEEFF"/>
          </w:tcPr>
          <w:p>
            <w:pPr>
              <w:spacing w:after="0"/>
              <w:rPr>
                <w:sz w:val="18"/>
                <w:szCs w:val="18"/>
                <w:color w:val="auto"/>
              </w:rPr>
            </w:pP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13,237</w:t>
            </w:r>
          </w:p>
        </w:tc>
        <w:tc>
          <w:tcPr>
            <w:tcW w:w="440" w:type="dxa"/>
            <w:vAlign w:val="bottom"/>
            <w:shd w:val="clear" w:color="auto" w:fill="CCEEFF"/>
          </w:tcPr>
          <w:p>
            <w:pPr>
              <w:spacing w:after="0"/>
              <w:rPr>
                <w:sz w:val="18"/>
                <w:szCs w:val="18"/>
                <w:color w:val="auto"/>
              </w:rPr>
            </w:pPr>
          </w:p>
        </w:tc>
        <w:tc>
          <w:tcPr>
            <w:tcW w:w="54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16.09</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336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20" w:firstLine="456"/>
        <w:spacing w:after="0" w:line="370" w:lineRule="auto"/>
        <w:rPr>
          <w:sz w:val="20"/>
          <w:szCs w:val="20"/>
          <w:color w:val="auto"/>
        </w:rPr>
      </w:pPr>
      <w:r>
        <w:rPr>
          <w:rFonts w:ascii="Arial" w:cs="Arial" w:eastAsia="Arial" w:hAnsi="Arial"/>
          <w:sz w:val="15"/>
          <w:szCs w:val="15"/>
          <w:color w:val="auto"/>
        </w:rPr>
        <w:t>As of July 28, 2012, compensation costs related to restricted stock units not yet recognized amounted to $165.3 million. The unamortized compensation expense for restricted stock units will be amortized on a straight-line basis and is expected to be recognized over a weighted-average period of 1.8 years.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color w:val="auto"/>
        </w:rPr>
        <w:t>During the three and six months ended July 28, 2012, a total of 3.3 million shares were issued at a weighted-average price of $10.40 per share under the 2000 Employee Stock Purchase Plan, as amended and restated (the “ESPP”). During the three and six months ended July 30, 2011, a total of 2.4 million shares were issued at a weighted-average price of $12.57 per share under the ESPP. As of July 28, 2012, there was $56.7 million of unrecognized compensation cost related to the ESPP.</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Company repurchased 19.8 million common shares for $250.3 million in cash during the three months ended July 28, 2012 and 9.1 million common shares for $135.7 million in cash during the three months ended July 30, 2011. The Company repurchased 34.4 million common shares for $473.5 million in cash during the six months ended July 28, 2012 and 59.4 million common shares for $939.2 million in cash during the six months ended July 30, 2011. The repurchased shares were retired immediately after the repurchases were completed. As of July 28, 2012, a total of 127.1 million cumulative shares have been repurchased under the Company’s share repurchase program for a total $1.9 billion in cash and there was $598.2 million remaining available for future share repurchases.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Dividend Program</w:t>
      </w:r>
    </w:p>
    <w:p>
      <w:pPr>
        <w:spacing w:after="0" w:line="90"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In May 2012, the Company announced that it had declared the payment of its first quarterly dividend of $0.06 per share. As a result, cash dividends of $33.5 million were paid in the three and six months ended July 28, 2012.</w:t>
      </w:r>
    </w:p>
    <w:p>
      <w:pPr>
        <w:spacing w:after="0" w:line="132"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On August 16, 2012, the Company announced that its board of directors declared a cash dividend of $0.06 per share to be paid on October 4, 2012 to shareholders of record as of September 13, 2012. The Company intends to pay a regular quarterly cash dividend on its common shares subject to, among other things, the best interests of its shareholders, the Company’s results of operations, cash balances and future cash requirements, financial condition, statutory requirements of Bermuda law and other factors that the Company’s board of directors may deem relevant.</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share-based compensation expenses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60" w:type="dxa"/>
            <w:vAlign w:val="bottom"/>
            <w:gridSpan w:val="4"/>
          </w:tcPr>
          <w:p>
            <w:pPr>
              <w:jc w:val="right"/>
              <w:ind w:right="76"/>
              <w:spacing w:after="0"/>
              <w:rPr>
                <w:sz w:val="20"/>
                <w:szCs w:val="20"/>
                <w:color w:val="auto"/>
              </w:rPr>
            </w:pPr>
            <w:r>
              <w:rPr>
                <w:rFonts w:ascii="Arial" w:cs="Arial" w:eastAsia="Arial" w:hAnsi="Arial"/>
                <w:sz w:val="14"/>
                <w:szCs w:val="14"/>
                <w:b w:val="1"/>
                <w:bCs w:val="1"/>
                <w:color w:val="auto"/>
                <w:w w:val="92"/>
              </w:rPr>
              <w:t>Three Months Ended</w:t>
            </w:r>
          </w:p>
        </w:tc>
        <w:tc>
          <w:tcPr>
            <w:tcW w:w="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60" w:type="dxa"/>
            <w:vAlign w:val="bottom"/>
            <w:gridSpan w:val="5"/>
          </w:tcPr>
          <w:p>
            <w:pPr>
              <w:ind w:left="16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6900" w:type="dxa"/>
            <w:vAlign w:val="bottom"/>
          </w:tcPr>
          <w:p>
            <w:pPr>
              <w:spacing w:after="0"/>
              <w:rPr>
                <w:sz w:val="11"/>
                <w:szCs w:val="11"/>
                <w:color w:val="auto"/>
              </w:rPr>
            </w:pPr>
          </w:p>
        </w:tc>
        <w:tc>
          <w:tcPr>
            <w:tcW w:w="980" w:type="dxa"/>
            <w:vAlign w:val="bottom"/>
            <w:tcBorders>
              <w:top w:val="single" w:sz="8" w:color="auto"/>
            </w:tcBorders>
            <w:gridSpan w:val="3"/>
          </w:tcPr>
          <w:p>
            <w:pPr>
              <w:jc w:val="center"/>
              <w:ind w:right="380"/>
              <w:spacing w:after="0" w:line="129" w:lineRule="exact"/>
              <w:rPr>
                <w:sz w:val="20"/>
                <w:szCs w:val="20"/>
                <w:color w:val="auto"/>
              </w:rPr>
            </w:pPr>
            <w:r>
              <w:rPr>
                <w:rFonts w:ascii="Arial" w:cs="Arial" w:eastAsia="Arial" w:hAnsi="Arial"/>
                <w:sz w:val="14"/>
                <w:szCs w:val="14"/>
                <w:b w:val="1"/>
                <w:bCs w:val="1"/>
                <w:color w:val="auto"/>
                <w:w w:val="85"/>
              </w:rPr>
              <w:t>July 28,</w:t>
            </w: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7"/>
              </w:rPr>
              <w:t>July 30,</w:t>
            </w:r>
          </w:p>
        </w:tc>
        <w:tc>
          <w:tcPr>
            <w:tcW w:w="400" w:type="dxa"/>
            <w:vAlign w:val="bottom"/>
          </w:tcPr>
          <w:p>
            <w:pPr>
              <w:spacing w:after="0"/>
              <w:rPr>
                <w:sz w:val="11"/>
                <w:szCs w:val="11"/>
                <w:color w:val="auto"/>
              </w:rPr>
            </w:pP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July 28,</w:t>
            </w:r>
          </w:p>
        </w:tc>
        <w:tc>
          <w:tcPr>
            <w:tcW w:w="3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7"/>
              </w:rPr>
              <w:t>July 30,</w:t>
            </w:r>
          </w:p>
        </w:tc>
        <w:tc>
          <w:tcPr>
            <w:tcW w:w="100" w:type="dxa"/>
            <w:vAlign w:val="bottom"/>
          </w:tcPr>
          <w:p>
            <w:pPr>
              <w:spacing w:after="0"/>
              <w:rPr>
                <w:sz w:val="11"/>
                <w:szCs w:val="11"/>
                <w:color w:val="auto"/>
              </w:rPr>
            </w:pPr>
          </w:p>
        </w:tc>
      </w:tr>
      <w:tr>
        <w:trPr>
          <w:trHeight w:val="161"/>
        </w:trPr>
        <w:tc>
          <w:tcPr>
            <w:tcW w:w="69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8"/>
              <w:spacing w:after="0"/>
              <w:rPr>
                <w:sz w:val="20"/>
                <w:szCs w:val="20"/>
                <w:color w:val="auto"/>
              </w:rPr>
            </w:pPr>
            <w:r>
              <w:rPr>
                <w:rFonts w:ascii="Arial" w:cs="Arial" w:eastAsia="Arial" w:hAnsi="Arial"/>
                <w:sz w:val="14"/>
                <w:szCs w:val="14"/>
                <w:b w:val="1"/>
                <w:bCs w:val="1"/>
                <w:color w:val="auto"/>
              </w:rPr>
              <w:t>2012</w:t>
            </w:r>
          </w:p>
        </w:tc>
        <w:tc>
          <w:tcPr>
            <w:tcW w:w="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w w:val="96"/>
              </w:rPr>
              <w:t>2011</w:t>
            </w:r>
          </w:p>
        </w:tc>
        <w:tc>
          <w:tcPr>
            <w:tcW w:w="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2012</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w w:val="96"/>
              </w:rPr>
              <w:t>2011</w:t>
            </w:r>
          </w:p>
        </w:tc>
        <w:tc>
          <w:tcPr>
            <w:tcW w:w="100" w:type="dxa"/>
            <w:vAlign w:val="bottom"/>
            <w:tcBorders>
              <w:bottom w:val="single" w:sz="8" w:color="CCEEFF"/>
            </w:tcBorders>
          </w:tcPr>
          <w:p>
            <w:pPr>
              <w:spacing w:after="0"/>
              <w:rPr>
                <w:sz w:val="14"/>
                <w:szCs w:val="14"/>
                <w:color w:val="auto"/>
              </w:rPr>
            </w:pPr>
          </w:p>
        </w:tc>
      </w:tr>
      <w:tr>
        <w:trPr>
          <w:trHeight w:val="210"/>
        </w:trPr>
        <w:tc>
          <w:tcPr>
            <w:tcW w:w="69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1,775</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1,916</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3,898</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3,611</w:t>
            </w:r>
          </w:p>
        </w:tc>
        <w:tc>
          <w:tcPr>
            <w:tcW w:w="100" w:type="dxa"/>
            <w:vAlign w:val="bottom"/>
            <w:shd w:val="clear" w:color="auto" w:fill="CCEEFF"/>
          </w:tcPr>
          <w:p>
            <w:pPr>
              <w:spacing w:after="0"/>
              <w:rPr>
                <w:sz w:val="18"/>
                <w:szCs w:val="18"/>
                <w:color w:val="auto"/>
              </w:rPr>
            </w:pPr>
          </w:p>
        </w:tc>
      </w:tr>
      <w:tr>
        <w:trPr>
          <w:trHeight w:val="216"/>
        </w:trPr>
        <w:tc>
          <w:tcPr>
            <w:tcW w:w="69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w w:val="83"/>
              </w:rPr>
              <w:t>22,413</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22,128</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39,587</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41,721</w:t>
            </w:r>
          </w:p>
        </w:tc>
        <w:tc>
          <w:tcPr>
            <w:tcW w:w="100" w:type="dxa"/>
            <w:vAlign w:val="bottom"/>
          </w:tcPr>
          <w:p>
            <w:pPr>
              <w:spacing w:after="0"/>
              <w:rPr>
                <w:sz w:val="18"/>
                <w:szCs w:val="18"/>
                <w:color w:val="auto"/>
              </w:rPr>
            </w:pPr>
          </w:p>
        </w:tc>
      </w:tr>
      <w:tr>
        <w:trPr>
          <w:trHeight w:val="216"/>
        </w:trPr>
        <w:tc>
          <w:tcPr>
            <w:tcW w:w="69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3,458</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3,207</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6,494</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5,861</w:t>
            </w:r>
          </w:p>
        </w:tc>
        <w:tc>
          <w:tcPr>
            <w:tcW w:w="100" w:type="dxa"/>
            <w:vAlign w:val="bottom"/>
            <w:shd w:val="clear" w:color="auto" w:fill="CCEEFF"/>
          </w:tcPr>
          <w:p>
            <w:pPr>
              <w:spacing w:after="0"/>
              <w:rPr>
                <w:sz w:val="18"/>
                <w:szCs w:val="18"/>
                <w:color w:val="auto"/>
              </w:rPr>
            </w:pPr>
          </w:p>
        </w:tc>
      </w:tr>
      <w:tr>
        <w:trPr>
          <w:trHeight w:val="216"/>
        </w:trPr>
        <w:tc>
          <w:tcPr>
            <w:tcW w:w="69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rPr>
              <w:t>5,582</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3,104</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10,441</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6,642</w:t>
            </w:r>
          </w:p>
        </w:tc>
        <w:tc>
          <w:tcPr>
            <w:tcW w:w="100" w:type="dxa"/>
            <w:vAlign w:val="bottom"/>
          </w:tcPr>
          <w:p>
            <w:pPr>
              <w:spacing w:after="0"/>
              <w:rPr>
                <w:sz w:val="18"/>
                <w:szCs w:val="18"/>
                <w:color w:val="auto"/>
              </w:rPr>
            </w:pPr>
          </w:p>
        </w:tc>
      </w:tr>
      <w:tr>
        <w:trPr>
          <w:trHeight w:val="27"/>
        </w:trPr>
        <w:tc>
          <w:tcPr>
            <w:tcW w:w="69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69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3"/>
              </w:rPr>
              <w:t>33,228</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30,355</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60,420</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57,835</w:t>
            </w:r>
          </w:p>
        </w:tc>
        <w:tc>
          <w:tcPr>
            <w:tcW w:w="100" w:type="dxa"/>
            <w:vAlign w:val="bottom"/>
            <w:shd w:val="clear" w:color="auto" w:fill="CCEEFF"/>
          </w:tcPr>
          <w:p>
            <w:pPr>
              <w:spacing w:after="0"/>
              <w:rPr>
                <w:sz w:val="18"/>
                <w:szCs w:val="18"/>
                <w:color w:val="auto"/>
              </w:rPr>
            </w:pPr>
          </w:p>
        </w:tc>
      </w:tr>
      <w:tr>
        <w:trPr>
          <w:trHeight w:val="20"/>
        </w:trPr>
        <w:tc>
          <w:tcPr>
            <w:tcW w:w="6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Share-based compensation capitalized in inventory was $1.7 million at July 28, 2012 and $2.1 million at January 28, 2012.</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360"/>
          </w:cols>
          <w:pgMar w:left="240" w:top="459" w:right="29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right="20" w:firstLine="456"/>
        <w:spacing w:after="0" w:line="332" w:lineRule="auto"/>
        <w:rPr>
          <w:sz w:val="20"/>
          <w:szCs w:val="20"/>
          <w:color w:val="auto"/>
        </w:rPr>
      </w:pPr>
      <w:r>
        <w:rPr>
          <w:rFonts w:ascii="Arial" w:cs="Arial" w:eastAsia="Arial" w:hAnsi="Arial"/>
          <w:sz w:val="16"/>
          <w:szCs w:val="16"/>
          <w:color w:val="auto"/>
        </w:rPr>
        <w:t>The following weighted average assumptions were used for each respective period to calculate the fair value of each time-based stock option award on the date of grant using the Black-Scholes valuation model and of each market-based equity award using a Monte Carlo simulation model:</w:t>
      </w:r>
    </w:p>
    <w:p>
      <w:pPr>
        <w:spacing w:after="0" w:line="12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5600" w:type="dxa"/>
            <w:vAlign w:val="bottom"/>
          </w:tcPr>
          <w:p>
            <w:pPr>
              <w:spacing w:after="0"/>
              <w:rPr>
                <w:sz w:val="14"/>
                <w:szCs w:val="14"/>
                <w:color w:val="auto"/>
              </w:rPr>
            </w:pPr>
          </w:p>
        </w:tc>
        <w:tc>
          <w:tcPr>
            <w:tcW w:w="1920" w:type="dxa"/>
            <w:vAlign w:val="bottom"/>
            <w:gridSpan w:val="7"/>
          </w:tcPr>
          <w:p>
            <w:pPr>
              <w:jc w:val="center"/>
              <w:ind w:right="320"/>
              <w:spacing w:after="0"/>
              <w:rPr>
                <w:sz w:val="20"/>
                <w:szCs w:val="20"/>
                <w:color w:val="auto"/>
              </w:rPr>
            </w:pPr>
            <w:r>
              <w:rPr>
                <w:rFonts w:ascii="Arial" w:cs="Arial" w:eastAsia="Arial" w:hAnsi="Arial"/>
                <w:sz w:val="14"/>
                <w:szCs w:val="14"/>
                <w:b w:val="1"/>
                <w:bCs w:val="1"/>
                <w:color w:val="auto"/>
                <w:w w:val="89"/>
              </w:rPr>
              <w:t>Three Months Ended</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60" w:type="dxa"/>
            <w:vAlign w:val="bottom"/>
            <w:gridSpan w:val="6"/>
          </w:tcPr>
          <w:p>
            <w:pPr>
              <w:jc w:val="right"/>
              <w:ind w:right="44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920" w:type="dxa"/>
            <w:vAlign w:val="bottom"/>
          </w:tcPr>
          <w:p>
            <w:pPr>
              <w:spacing w:after="0"/>
              <w:rPr>
                <w:sz w:val="11"/>
                <w:szCs w:val="11"/>
                <w:color w:val="auto"/>
              </w:rPr>
            </w:pPr>
          </w:p>
        </w:tc>
        <w:tc>
          <w:tcPr>
            <w:tcW w:w="5600" w:type="dxa"/>
            <w:vAlign w:val="bottom"/>
          </w:tcPr>
          <w:p>
            <w:pPr>
              <w:spacing w:after="0"/>
              <w:rPr>
                <w:sz w:val="11"/>
                <w:szCs w:val="11"/>
                <w:color w:val="auto"/>
              </w:rPr>
            </w:pPr>
          </w:p>
        </w:tc>
        <w:tc>
          <w:tcPr>
            <w:tcW w:w="640" w:type="dxa"/>
            <w:vAlign w:val="bottom"/>
            <w:tcBorders>
              <w:top w:val="single" w:sz="8" w:color="auto"/>
            </w:tcBorders>
            <w:gridSpan w:val="3"/>
          </w:tcPr>
          <w:p>
            <w:pPr>
              <w:jc w:val="right"/>
              <w:ind w:right="112"/>
              <w:spacing w:after="0" w:line="129" w:lineRule="exact"/>
              <w:rPr>
                <w:sz w:val="20"/>
                <w:szCs w:val="20"/>
                <w:color w:val="auto"/>
              </w:rPr>
            </w:pPr>
            <w:r>
              <w:rPr>
                <w:rFonts w:ascii="Arial" w:cs="Arial" w:eastAsia="Arial" w:hAnsi="Arial"/>
                <w:sz w:val="14"/>
                <w:szCs w:val="14"/>
                <w:b w:val="1"/>
                <w:bCs w:val="1"/>
                <w:color w:val="auto"/>
                <w:w w:val="85"/>
              </w:rPr>
              <w:t>July 28,</w:t>
            </w:r>
          </w:p>
        </w:tc>
        <w:tc>
          <w:tcPr>
            <w:tcW w:w="460" w:type="dxa"/>
            <w:vAlign w:val="bottom"/>
            <w:tcBorders>
              <w:top w:val="single" w:sz="8" w:color="auto"/>
            </w:tcBorders>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9"/>
              </w:rPr>
              <w:t>July 30,</w:t>
            </w:r>
          </w:p>
        </w:tc>
        <w:tc>
          <w:tcPr>
            <w:tcW w:w="3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tcBorders>
              <w:top w:val="single" w:sz="8" w:color="auto"/>
            </w:tcBorders>
            <w:gridSpan w:val="3"/>
          </w:tcPr>
          <w:p>
            <w:pPr>
              <w:jc w:val="right"/>
              <w:ind w:right="400"/>
              <w:spacing w:after="0" w:line="129" w:lineRule="exact"/>
              <w:rPr>
                <w:sz w:val="20"/>
                <w:szCs w:val="20"/>
                <w:color w:val="auto"/>
              </w:rPr>
            </w:pPr>
            <w:r>
              <w:rPr>
                <w:rFonts w:ascii="Arial" w:cs="Arial" w:eastAsia="Arial" w:hAnsi="Arial"/>
                <w:sz w:val="14"/>
                <w:szCs w:val="14"/>
                <w:b w:val="1"/>
                <w:bCs w:val="1"/>
                <w:color w:val="auto"/>
                <w:w w:val="85"/>
              </w:rPr>
              <w:t>July 28,</w:t>
            </w:r>
          </w:p>
        </w:tc>
        <w:tc>
          <w:tcPr>
            <w:tcW w:w="240" w:type="dxa"/>
            <w:vAlign w:val="bottom"/>
            <w:tcBorders>
              <w:top w:val="single" w:sz="8" w:color="auto"/>
            </w:tcBorders>
          </w:tcPr>
          <w:p>
            <w:pPr>
              <w:spacing w:after="0"/>
              <w:rPr>
                <w:sz w:val="11"/>
                <w:szCs w:val="11"/>
                <w:color w:val="auto"/>
              </w:rPr>
            </w:pPr>
          </w:p>
        </w:tc>
        <w:tc>
          <w:tcPr>
            <w:tcW w:w="4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July 30,</w:t>
            </w:r>
          </w:p>
        </w:tc>
        <w:tc>
          <w:tcPr>
            <w:tcW w:w="200" w:type="dxa"/>
            <w:vAlign w:val="bottom"/>
          </w:tcPr>
          <w:p>
            <w:pPr>
              <w:spacing w:after="0"/>
              <w:rPr>
                <w:sz w:val="11"/>
                <w:szCs w:val="11"/>
                <w:color w:val="auto"/>
              </w:rPr>
            </w:pPr>
          </w:p>
        </w:tc>
      </w:tr>
      <w:tr>
        <w:trPr>
          <w:trHeight w:val="161"/>
        </w:trPr>
        <w:tc>
          <w:tcPr>
            <w:tcW w:w="920" w:type="dxa"/>
            <w:vAlign w:val="bottom"/>
          </w:tcPr>
          <w:p>
            <w:pPr>
              <w:spacing w:after="0"/>
              <w:rPr>
                <w:sz w:val="14"/>
                <w:szCs w:val="14"/>
                <w:color w:val="auto"/>
              </w:rPr>
            </w:pPr>
          </w:p>
        </w:tc>
        <w:tc>
          <w:tcPr>
            <w:tcW w:w="5600" w:type="dxa"/>
            <w:vAlign w:val="bottom"/>
          </w:tcPr>
          <w:p>
            <w:pPr>
              <w:spacing w:after="0"/>
              <w:rPr>
                <w:sz w:val="14"/>
                <w:szCs w:val="14"/>
                <w:color w:val="auto"/>
              </w:rPr>
            </w:pPr>
          </w:p>
        </w:tc>
        <w:tc>
          <w:tcPr>
            <w:tcW w:w="460" w:type="dxa"/>
            <w:vAlign w:val="bottom"/>
          </w:tcPr>
          <w:p>
            <w:pPr>
              <w:jc w:val="right"/>
              <w:ind w:right="19"/>
              <w:spacing w:after="0"/>
              <w:rPr>
                <w:sz w:val="20"/>
                <w:szCs w:val="20"/>
                <w:color w:val="auto"/>
              </w:rPr>
            </w:pPr>
            <w:r>
              <w:rPr>
                <w:rFonts w:ascii="Arial" w:cs="Arial" w:eastAsia="Arial" w:hAnsi="Arial"/>
                <w:sz w:val="14"/>
                <w:szCs w:val="14"/>
                <w:b w:val="1"/>
                <w:bCs w:val="1"/>
                <w:color w:val="auto"/>
              </w:rPr>
              <w:t>2012</w:t>
            </w: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60" w:type="dxa"/>
            <w:vAlign w:val="bottom"/>
            <w:gridSpan w:val="3"/>
          </w:tcPr>
          <w:p>
            <w:pPr>
              <w:jc w:val="right"/>
              <w:ind w:right="42"/>
              <w:spacing w:after="0"/>
              <w:rPr>
                <w:sz w:val="20"/>
                <w:szCs w:val="20"/>
                <w:color w:val="auto"/>
              </w:rPr>
            </w:pPr>
            <w:r>
              <w:rPr>
                <w:rFonts w:ascii="Arial" w:cs="Arial" w:eastAsia="Arial" w:hAnsi="Arial"/>
                <w:sz w:val="14"/>
                <w:szCs w:val="14"/>
                <w:b w:val="1"/>
                <w:bCs w:val="1"/>
                <w:color w:val="auto"/>
              </w:rPr>
              <w:t>2011</w:t>
            </w:r>
          </w:p>
        </w:tc>
        <w:tc>
          <w:tcPr>
            <w:tcW w:w="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80" w:type="dxa"/>
            <w:vAlign w:val="bottom"/>
          </w:tcPr>
          <w:p>
            <w:pPr>
              <w:jc w:val="right"/>
              <w:ind w:right="20"/>
              <w:spacing w:after="0"/>
              <w:rPr>
                <w:sz w:val="20"/>
                <w:szCs w:val="20"/>
                <w:color w:val="auto"/>
              </w:rPr>
            </w:pPr>
            <w:r>
              <w:rPr>
                <w:rFonts w:ascii="Arial" w:cs="Arial" w:eastAsia="Arial" w:hAnsi="Arial"/>
                <w:sz w:val="14"/>
                <w:szCs w:val="14"/>
                <w:b w:val="1"/>
                <w:bCs w:val="1"/>
                <w:color w:val="auto"/>
              </w:rPr>
              <w:t>2012</w:t>
            </w:r>
          </w:p>
        </w:tc>
        <w:tc>
          <w:tcPr>
            <w:tcW w:w="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00" w:type="dxa"/>
            <w:vAlign w:val="bottom"/>
            <w:gridSpan w:val="2"/>
          </w:tcPr>
          <w:p>
            <w:pPr>
              <w:jc w:val="right"/>
              <w:ind w:right="22"/>
              <w:spacing w:after="0"/>
              <w:rPr>
                <w:sz w:val="20"/>
                <w:szCs w:val="20"/>
                <w:color w:val="auto"/>
              </w:rPr>
            </w:pPr>
            <w:r>
              <w:rPr>
                <w:rFonts w:ascii="Arial" w:cs="Arial" w:eastAsia="Arial" w:hAnsi="Arial"/>
                <w:sz w:val="14"/>
                <w:szCs w:val="14"/>
                <w:b w:val="1"/>
                <w:bCs w:val="1"/>
                <w:color w:val="auto"/>
              </w:rPr>
              <w:t>2011</w:t>
            </w:r>
          </w:p>
        </w:tc>
        <w:tc>
          <w:tcPr>
            <w:tcW w:w="200" w:type="dxa"/>
            <w:vAlign w:val="bottom"/>
          </w:tcPr>
          <w:p>
            <w:pPr>
              <w:spacing w:after="0"/>
              <w:rPr>
                <w:sz w:val="14"/>
                <w:szCs w:val="14"/>
                <w:color w:val="auto"/>
              </w:rPr>
            </w:pPr>
          </w:p>
        </w:tc>
      </w:tr>
      <w:tr>
        <w:trPr>
          <w:trHeight w:val="196"/>
        </w:trPr>
        <w:tc>
          <w:tcPr>
            <w:tcW w:w="652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Time-based Stock Options:</w:t>
            </w:r>
          </w:p>
        </w:tc>
        <w:tc>
          <w:tcPr>
            <w:tcW w:w="46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6520" w:type="dxa"/>
            <w:vAlign w:val="bottom"/>
            <w:gridSpan w:val="2"/>
          </w:tcPr>
          <w:p>
            <w:pPr>
              <w:spacing w:after="0"/>
              <w:rPr>
                <w:sz w:val="20"/>
                <w:szCs w:val="20"/>
                <w:color w:val="auto"/>
              </w:rPr>
            </w:pPr>
            <w:r>
              <w:rPr>
                <w:rFonts w:ascii="Arial" w:cs="Arial" w:eastAsia="Arial" w:hAnsi="Arial"/>
                <w:sz w:val="18"/>
                <w:szCs w:val="18"/>
                <w:color w:val="auto"/>
              </w:rPr>
              <w:t>Weighted average fair value</w:t>
            </w:r>
          </w:p>
        </w:tc>
        <w:tc>
          <w:tcPr>
            <w:tcW w:w="460" w:type="dxa"/>
            <w:vAlign w:val="bottom"/>
          </w:tcPr>
          <w:p>
            <w:pPr>
              <w:jc w:val="right"/>
              <w:spacing w:after="0"/>
              <w:rPr>
                <w:sz w:val="20"/>
                <w:szCs w:val="20"/>
                <w:color w:val="auto"/>
              </w:rPr>
            </w:pPr>
            <w:r>
              <w:rPr>
                <w:rFonts w:ascii="Arial" w:cs="Arial" w:eastAsia="Arial" w:hAnsi="Arial"/>
                <w:sz w:val="18"/>
                <w:szCs w:val="18"/>
                <w:color w:val="auto"/>
                <w:w w:val="87"/>
              </w:rPr>
              <w:t>$ 3.73</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$ 6.24</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gridSpan w:val="2"/>
          </w:tcPr>
          <w:p>
            <w:pPr>
              <w:jc w:val="right"/>
              <w:ind w:right="180"/>
              <w:spacing w:after="0"/>
              <w:rPr>
                <w:sz w:val="20"/>
                <w:szCs w:val="20"/>
                <w:color w:val="auto"/>
              </w:rPr>
            </w:pPr>
            <w:r>
              <w:rPr>
                <w:rFonts w:ascii="Arial" w:cs="Arial" w:eastAsia="Arial" w:hAnsi="Arial"/>
                <w:sz w:val="18"/>
                <w:szCs w:val="18"/>
                <w:color w:val="auto"/>
                <w:w w:val="91"/>
              </w:rPr>
              <w:t>$ 5.59</w:t>
            </w:r>
          </w:p>
        </w:tc>
        <w:tc>
          <w:tcPr>
            <w:tcW w:w="20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$ 6.09</w:t>
            </w:r>
          </w:p>
        </w:tc>
        <w:tc>
          <w:tcPr>
            <w:tcW w:w="200" w:type="dxa"/>
            <w:vAlign w:val="bottom"/>
          </w:tcPr>
          <w:p>
            <w:pPr>
              <w:spacing w:after="0"/>
              <w:rPr>
                <w:sz w:val="18"/>
                <w:szCs w:val="18"/>
                <w:color w:val="auto"/>
              </w:rPr>
            </w:pPr>
          </w:p>
        </w:tc>
      </w:tr>
      <w:tr>
        <w:trPr>
          <w:trHeight w:val="216"/>
        </w:trPr>
        <w:tc>
          <w:tcPr>
            <w:tcW w:w="6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6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46%</w:t>
            </w:r>
          </w:p>
        </w:tc>
        <w:tc>
          <w:tcPr>
            <w:tcW w:w="1280" w:type="dxa"/>
            <w:vAlign w:val="bottom"/>
            <w:gridSpan w:val="4"/>
            <w:shd w:val="clear" w:color="auto" w:fill="CCEEFF"/>
          </w:tcPr>
          <w:p>
            <w:pPr>
              <w:jc w:val="right"/>
              <w:ind w:right="160"/>
              <w:spacing w:after="0"/>
              <w:rPr>
                <w:sz w:val="20"/>
                <w:szCs w:val="20"/>
                <w:color w:val="auto"/>
              </w:rPr>
            </w:pPr>
            <w:r>
              <w:rPr>
                <w:rFonts w:ascii="Arial" w:cs="Arial" w:eastAsia="Arial" w:hAnsi="Arial"/>
                <w:sz w:val="18"/>
                <w:szCs w:val="18"/>
                <w:color w:val="auto"/>
              </w:rPr>
              <w:t>46%</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44%</w:t>
            </w:r>
          </w:p>
        </w:tc>
        <w:tc>
          <w:tcPr>
            <w:tcW w:w="20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43%</w:t>
            </w:r>
          </w:p>
        </w:tc>
      </w:tr>
      <w:tr>
        <w:trPr>
          <w:trHeight w:val="216"/>
        </w:trPr>
        <w:tc>
          <w:tcPr>
            <w:tcW w:w="6520" w:type="dxa"/>
            <w:vAlign w:val="bottom"/>
            <w:gridSpan w:val="2"/>
          </w:tcPr>
          <w:p>
            <w:pPr>
              <w:spacing w:after="0"/>
              <w:rPr>
                <w:sz w:val="20"/>
                <w:szCs w:val="20"/>
                <w:color w:val="auto"/>
              </w:rPr>
            </w:pPr>
            <w:r>
              <w:rPr>
                <w:rFonts w:ascii="Arial" w:cs="Arial" w:eastAsia="Arial" w:hAnsi="Arial"/>
                <w:sz w:val="18"/>
                <w:szCs w:val="18"/>
                <w:color w:val="auto"/>
              </w:rPr>
              <w:t>Expected term (in years)</w:t>
            </w:r>
          </w:p>
        </w:tc>
        <w:tc>
          <w:tcPr>
            <w:tcW w:w="460" w:type="dxa"/>
            <w:vAlign w:val="bottom"/>
          </w:tcPr>
          <w:p>
            <w:pPr>
              <w:jc w:val="right"/>
              <w:spacing w:after="0"/>
              <w:rPr>
                <w:sz w:val="20"/>
                <w:szCs w:val="20"/>
                <w:color w:val="auto"/>
              </w:rPr>
            </w:pPr>
            <w:r>
              <w:rPr>
                <w:rFonts w:ascii="Arial" w:cs="Arial" w:eastAsia="Arial" w:hAnsi="Arial"/>
                <w:sz w:val="18"/>
                <w:szCs w:val="18"/>
                <w:color w:val="auto"/>
              </w:rPr>
              <w:t>4.8</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4.8</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gridSpan w:val="2"/>
          </w:tcPr>
          <w:p>
            <w:pPr>
              <w:jc w:val="right"/>
              <w:ind w:right="180"/>
              <w:spacing w:after="0"/>
              <w:rPr>
                <w:sz w:val="20"/>
                <w:szCs w:val="20"/>
                <w:color w:val="auto"/>
              </w:rPr>
            </w:pPr>
            <w:r>
              <w:rPr>
                <w:rFonts w:ascii="Arial" w:cs="Arial" w:eastAsia="Arial" w:hAnsi="Arial"/>
                <w:sz w:val="18"/>
                <w:szCs w:val="18"/>
                <w:color w:val="auto"/>
              </w:rPr>
              <w:t>4.8</w:t>
            </w:r>
          </w:p>
        </w:tc>
        <w:tc>
          <w:tcPr>
            <w:tcW w:w="20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4.8</w:t>
            </w:r>
          </w:p>
        </w:tc>
        <w:tc>
          <w:tcPr>
            <w:tcW w:w="200" w:type="dxa"/>
            <w:vAlign w:val="bottom"/>
          </w:tcPr>
          <w:p>
            <w:pPr>
              <w:spacing w:after="0"/>
              <w:rPr>
                <w:sz w:val="18"/>
                <w:szCs w:val="18"/>
                <w:color w:val="auto"/>
              </w:rPr>
            </w:pPr>
          </w:p>
        </w:tc>
      </w:tr>
      <w:tr>
        <w:trPr>
          <w:trHeight w:val="216"/>
        </w:trPr>
        <w:tc>
          <w:tcPr>
            <w:tcW w:w="6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6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1280" w:type="dxa"/>
            <w:vAlign w:val="bottom"/>
            <w:gridSpan w:val="4"/>
            <w:shd w:val="clear" w:color="auto" w:fill="CCEEFF"/>
          </w:tcPr>
          <w:p>
            <w:pPr>
              <w:jc w:val="right"/>
              <w:ind w:right="160"/>
              <w:spacing w:after="0"/>
              <w:rPr>
                <w:sz w:val="20"/>
                <w:szCs w:val="20"/>
                <w:color w:val="auto"/>
              </w:rPr>
            </w:pPr>
            <w:r>
              <w:rPr>
                <w:rFonts w:ascii="Arial" w:cs="Arial" w:eastAsia="Arial" w:hAnsi="Arial"/>
                <w:sz w:val="18"/>
                <w:szCs w:val="18"/>
                <w:color w:val="auto"/>
              </w:rPr>
              <w:t>1.7%</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0.9%</w:t>
            </w:r>
          </w:p>
        </w:tc>
        <w:tc>
          <w:tcPr>
            <w:tcW w:w="20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2.1%</w:t>
            </w:r>
          </w:p>
        </w:tc>
      </w:tr>
      <w:tr>
        <w:trPr>
          <w:trHeight w:val="222"/>
        </w:trPr>
        <w:tc>
          <w:tcPr>
            <w:tcW w:w="6520" w:type="dxa"/>
            <w:vAlign w:val="bottom"/>
            <w:gridSpan w:val="2"/>
          </w:tcPr>
          <w:p>
            <w:pPr>
              <w:spacing w:after="0"/>
              <w:rPr>
                <w:sz w:val="20"/>
                <w:szCs w:val="20"/>
                <w:color w:val="auto"/>
              </w:rPr>
            </w:pPr>
            <w:r>
              <w:rPr>
                <w:rFonts w:ascii="Arial" w:cs="Arial" w:eastAsia="Arial" w:hAnsi="Arial"/>
                <w:sz w:val="18"/>
                <w:szCs w:val="18"/>
                <w:color w:val="auto"/>
              </w:rPr>
              <w:t>Expected dividend yield</w:t>
            </w:r>
          </w:p>
        </w:tc>
        <w:tc>
          <w:tcPr>
            <w:tcW w:w="640" w:type="dxa"/>
            <w:vAlign w:val="bottom"/>
            <w:gridSpan w:val="3"/>
          </w:tcPr>
          <w:p>
            <w:pPr>
              <w:jc w:val="right"/>
              <w:spacing w:after="0"/>
              <w:rPr>
                <w:sz w:val="20"/>
                <w:szCs w:val="20"/>
                <w:color w:val="auto"/>
              </w:rPr>
            </w:pPr>
            <w:r>
              <w:rPr>
                <w:rFonts w:ascii="Arial" w:cs="Arial" w:eastAsia="Arial" w:hAnsi="Arial"/>
                <w:sz w:val="18"/>
                <w:szCs w:val="18"/>
                <w:color w:val="auto"/>
              </w:rPr>
              <w:t>2.0%</w:t>
            </w:r>
          </w:p>
        </w:tc>
        <w:tc>
          <w:tcPr>
            <w:tcW w:w="4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60" w:type="dxa"/>
            <w:vAlign w:val="bottom"/>
            <w:gridSpan w:val="2"/>
          </w:tcPr>
          <w:p>
            <w:pPr>
              <w:jc w:val="right"/>
              <w:ind w:right="40"/>
              <w:spacing w:after="0"/>
              <w:rPr>
                <w:sz w:val="20"/>
                <w:szCs w:val="20"/>
                <w:color w:val="auto"/>
              </w:rPr>
            </w:pPr>
            <w:r>
              <w:rPr>
                <w:rFonts w:ascii="Arial" w:cs="Arial" w:eastAsia="Arial" w:hAnsi="Arial"/>
                <w:sz w:val="18"/>
                <w:szCs w:val="18"/>
                <w:color w:val="auto"/>
              </w:rPr>
              <w:t>0-2.0%</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r>
      <w:tr>
        <w:trPr>
          <w:trHeight w:val="345"/>
        </w:trPr>
        <w:tc>
          <w:tcPr>
            <w:tcW w:w="920" w:type="dxa"/>
            <w:vAlign w:val="bottom"/>
          </w:tcPr>
          <w:p>
            <w:pPr>
              <w:spacing w:after="0"/>
              <w:rPr>
                <w:sz w:val="24"/>
                <w:szCs w:val="24"/>
                <w:color w:val="auto"/>
              </w:rPr>
            </w:pPr>
          </w:p>
        </w:tc>
        <w:tc>
          <w:tcPr>
            <w:tcW w:w="56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40" w:type="dxa"/>
            <w:vAlign w:val="bottom"/>
            <w:gridSpan w:val="9"/>
          </w:tcPr>
          <w:p>
            <w:pPr>
              <w:ind w:left="200"/>
              <w:spacing w:after="0"/>
              <w:rPr>
                <w:sz w:val="20"/>
                <w:szCs w:val="20"/>
                <w:color w:val="auto"/>
              </w:rPr>
            </w:pPr>
            <w:r>
              <w:rPr>
                <w:rFonts w:ascii="Arial" w:cs="Arial" w:eastAsia="Arial" w:hAnsi="Arial"/>
                <w:sz w:val="14"/>
                <w:szCs w:val="14"/>
                <w:b w:val="1"/>
                <w:bCs w:val="1"/>
                <w:color w:val="auto"/>
              </w:rPr>
              <w:t>Three and Six Months Ended</w:t>
            </w:r>
          </w:p>
        </w:tc>
        <w:tc>
          <w:tcPr>
            <w:tcW w:w="2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00" w:type="dxa"/>
            <w:vAlign w:val="bottom"/>
          </w:tcPr>
          <w:p>
            <w:pPr>
              <w:spacing w:after="0"/>
              <w:rPr>
                <w:sz w:val="24"/>
                <w:szCs w:val="24"/>
                <w:color w:val="auto"/>
              </w:rPr>
            </w:pPr>
          </w:p>
        </w:tc>
      </w:tr>
      <w:tr>
        <w:trPr>
          <w:trHeight w:val="129"/>
        </w:trPr>
        <w:tc>
          <w:tcPr>
            <w:tcW w:w="920" w:type="dxa"/>
            <w:vAlign w:val="bottom"/>
          </w:tcPr>
          <w:p>
            <w:pPr>
              <w:spacing w:after="0"/>
              <w:rPr>
                <w:sz w:val="11"/>
                <w:szCs w:val="11"/>
                <w:color w:val="auto"/>
              </w:rPr>
            </w:pPr>
          </w:p>
        </w:tc>
        <w:tc>
          <w:tcPr>
            <w:tcW w:w="56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0" w:type="dxa"/>
            <w:vAlign w:val="bottom"/>
            <w:tcBorders>
              <w:top w:val="single" w:sz="8" w:color="auto"/>
            </w:tcBorders>
            <w:gridSpan w:val="5"/>
          </w:tcPr>
          <w:p>
            <w:pPr>
              <w:jc w:val="center"/>
              <w:ind w:right="820"/>
              <w:spacing w:after="0" w:line="129" w:lineRule="exact"/>
              <w:rPr>
                <w:sz w:val="20"/>
                <w:szCs w:val="20"/>
                <w:color w:val="auto"/>
              </w:rPr>
            </w:pPr>
            <w:r>
              <w:rPr>
                <w:rFonts w:ascii="Arial" w:cs="Arial" w:eastAsia="Arial" w:hAnsi="Arial"/>
                <w:sz w:val="14"/>
                <w:szCs w:val="14"/>
                <w:b w:val="1"/>
                <w:bCs w:val="1"/>
                <w:color w:val="auto"/>
                <w:w w:val="89"/>
              </w:rPr>
              <w:t>July 28,</w:t>
            </w:r>
          </w:p>
        </w:tc>
        <w:tc>
          <w:tcPr>
            <w:tcW w:w="16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right"/>
              <w:ind w:right="180"/>
              <w:spacing w:after="0" w:line="129" w:lineRule="exact"/>
              <w:rPr>
                <w:sz w:val="20"/>
                <w:szCs w:val="20"/>
                <w:color w:val="auto"/>
              </w:rPr>
            </w:pPr>
            <w:r>
              <w:rPr>
                <w:rFonts w:ascii="Arial" w:cs="Arial" w:eastAsia="Arial" w:hAnsi="Arial"/>
                <w:sz w:val="14"/>
                <w:szCs w:val="14"/>
                <w:b w:val="1"/>
                <w:bCs w:val="1"/>
                <w:color w:val="auto"/>
                <w:w w:val="89"/>
              </w:rPr>
              <w:t>July 30,</w:t>
            </w:r>
          </w:p>
        </w:tc>
        <w:tc>
          <w:tcPr>
            <w:tcW w:w="2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00" w:type="dxa"/>
            <w:vAlign w:val="bottom"/>
          </w:tcPr>
          <w:p>
            <w:pPr>
              <w:spacing w:after="0"/>
              <w:rPr>
                <w:sz w:val="11"/>
                <w:szCs w:val="11"/>
                <w:color w:val="auto"/>
              </w:rPr>
            </w:pPr>
          </w:p>
        </w:tc>
      </w:tr>
      <w:tr>
        <w:trPr>
          <w:trHeight w:val="161"/>
        </w:trPr>
        <w:tc>
          <w:tcPr>
            <w:tcW w:w="920" w:type="dxa"/>
            <w:vAlign w:val="bottom"/>
          </w:tcPr>
          <w:p>
            <w:pPr>
              <w:spacing w:after="0"/>
              <w:rPr>
                <w:sz w:val="14"/>
                <w:szCs w:val="14"/>
                <w:color w:val="auto"/>
              </w:rPr>
            </w:pPr>
          </w:p>
        </w:tc>
        <w:tc>
          <w:tcPr>
            <w:tcW w:w="5600" w:type="dxa"/>
            <w:vAlign w:val="bottom"/>
            <w:tcBorders>
              <w:bottom w:val="single" w:sz="8" w:color="CCEEFF"/>
            </w:tcBorders>
          </w:tcPr>
          <w:p>
            <w:pPr>
              <w:spacing w:after="0"/>
              <w:rPr>
                <w:sz w:val="14"/>
                <w:szCs w:val="14"/>
                <w:color w:val="auto"/>
              </w:rPr>
            </w:pPr>
          </w:p>
        </w:tc>
        <w:tc>
          <w:tcPr>
            <w:tcW w:w="46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jc w:val="center"/>
              <w:ind w:right="38"/>
              <w:spacing w:after="0"/>
              <w:rPr>
                <w:sz w:val="20"/>
                <w:szCs w:val="20"/>
                <w:color w:val="auto"/>
              </w:rPr>
            </w:pPr>
            <w:r>
              <w:rPr>
                <w:rFonts w:ascii="Arial" w:cs="Arial" w:eastAsia="Arial" w:hAnsi="Arial"/>
                <w:sz w:val="14"/>
                <w:szCs w:val="14"/>
                <w:b w:val="1"/>
                <w:bCs w:val="1"/>
                <w:color w:val="auto"/>
                <w:w w:val="83"/>
              </w:rPr>
              <w:t>2012</w:t>
            </w:r>
          </w:p>
        </w:tc>
        <w:tc>
          <w:tcPr>
            <w:tcW w:w="20" w:type="dxa"/>
            <w:vAlign w:val="bottom"/>
            <w:tcBorders>
              <w:bottom w:val="single" w:sz="8" w:color="auto"/>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20"/>
              <w:spacing w:after="0"/>
              <w:rPr>
                <w:sz w:val="20"/>
                <w:szCs w:val="20"/>
                <w:color w:val="auto"/>
              </w:rPr>
            </w:pPr>
            <w:r>
              <w:rPr>
                <w:rFonts w:ascii="Arial" w:cs="Arial" w:eastAsia="Arial" w:hAnsi="Arial"/>
                <w:sz w:val="14"/>
                <w:szCs w:val="14"/>
                <w:b w:val="1"/>
                <w:bCs w:val="1"/>
                <w:color w:val="auto"/>
              </w:rPr>
              <w:t>2011</w:t>
            </w:r>
          </w:p>
        </w:tc>
        <w:tc>
          <w:tcPr>
            <w:tcW w:w="180" w:type="dxa"/>
            <w:vAlign w:val="bottom"/>
            <w:tcBorders>
              <w:bottom w:val="single" w:sz="8" w:color="auto"/>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2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196"/>
        </w:trPr>
        <w:tc>
          <w:tcPr>
            <w:tcW w:w="920" w:type="dxa"/>
            <w:vAlign w:val="bottom"/>
          </w:tcPr>
          <w:p>
            <w:pPr>
              <w:spacing w:after="0"/>
              <w:rPr>
                <w:sz w:val="17"/>
                <w:szCs w:val="17"/>
                <w:color w:val="auto"/>
              </w:rPr>
            </w:pPr>
          </w:p>
        </w:tc>
        <w:tc>
          <w:tcPr>
            <w:tcW w:w="56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Market-based Stock Options:</w:t>
            </w:r>
          </w:p>
        </w:tc>
        <w:tc>
          <w:tcPr>
            <w:tcW w:w="46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00" w:type="dxa"/>
            <w:vAlign w:val="bottom"/>
          </w:tcPr>
          <w:p>
            <w:pPr>
              <w:spacing w:after="0"/>
              <w:rPr>
                <w:sz w:val="17"/>
                <w:szCs w:val="17"/>
                <w:color w:val="auto"/>
              </w:rPr>
            </w:pPr>
          </w:p>
        </w:tc>
      </w:tr>
      <w:tr>
        <w:trPr>
          <w:trHeight w:val="216"/>
        </w:trPr>
        <w:tc>
          <w:tcPr>
            <w:tcW w:w="920" w:type="dxa"/>
            <w:vAlign w:val="bottom"/>
          </w:tcPr>
          <w:p>
            <w:pPr>
              <w:spacing w:after="0"/>
              <w:rPr>
                <w:sz w:val="18"/>
                <w:szCs w:val="18"/>
                <w:color w:val="auto"/>
              </w:rPr>
            </w:pPr>
          </w:p>
        </w:tc>
        <w:tc>
          <w:tcPr>
            <w:tcW w:w="5600" w:type="dxa"/>
            <w:vAlign w:val="bottom"/>
          </w:tcPr>
          <w:p>
            <w:pPr>
              <w:spacing w:after="0"/>
              <w:rPr>
                <w:sz w:val="20"/>
                <w:szCs w:val="20"/>
                <w:color w:val="auto"/>
              </w:rPr>
            </w:pPr>
            <w:r>
              <w:rPr>
                <w:rFonts w:ascii="Arial" w:cs="Arial" w:eastAsia="Arial" w:hAnsi="Arial"/>
                <w:sz w:val="18"/>
                <w:szCs w:val="18"/>
                <w:color w:val="auto"/>
              </w:rPr>
              <w:t>Weighted average fair value</w:t>
            </w:r>
          </w:p>
        </w:tc>
        <w:tc>
          <w:tcPr>
            <w:tcW w:w="6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280" w:type="dxa"/>
            <w:vAlign w:val="bottom"/>
            <w:gridSpan w:val="4"/>
          </w:tcPr>
          <w:p>
            <w:pPr>
              <w:ind w:left="200"/>
              <w:spacing w:after="0"/>
              <w:rPr>
                <w:sz w:val="20"/>
                <w:szCs w:val="20"/>
                <w:color w:val="auto"/>
              </w:rPr>
            </w:pPr>
            <w:r>
              <w:rPr>
                <w:rFonts w:ascii="Arial" w:cs="Arial" w:eastAsia="Arial" w:hAnsi="Arial"/>
                <w:sz w:val="18"/>
                <w:szCs w:val="18"/>
                <w:color w:val="auto"/>
              </w:rPr>
              <w:t>—</w:t>
            </w:r>
          </w:p>
        </w:tc>
        <w:tc>
          <w:tcPr>
            <w:tcW w:w="30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5.08</w:t>
            </w: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920" w:type="dxa"/>
            <w:vAlign w:val="bottom"/>
          </w:tcPr>
          <w:p>
            <w:pPr>
              <w:spacing w:after="0"/>
              <w:rPr>
                <w:sz w:val="18"/>
                <w:szCs w:val="18"/>
                <w:color w:val="auto"/>
              </w:rPr>
            </w:pPr>
          </w:p>
        </w:tc>
        <w:tc>
          <w:tcPr>
            <w:tcW w:w="560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4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80" w:type="dxa"/>
            <w:vAlign w:val="bottom"/>
            <w:gridSpan w:val="4"/>
            <w:shd w:val="clear" w:color="auto" w:fill="CCEEFF"/>
          </w:tcPr>
          <w:p>
            <w:pPr>
              <w:ind w:left="200"/>
              <w:spacing w:after="0"/>
              <w:rPr>
                <w:sz w:val="20"/>
                <w:szCs w:val="20"/>
                <w:color w:val="auto"/>
              </w:rPr>
            </w:pPr>
            <w:r>
              <w:rPr>
                <w:rFonts w:ascii="Arial" w:cs="Arial" w:eastAsia="Arial" w:hAnsi="Arial"/>
                <w:sz w:val="18"/>
                <w:szCs w:val="18"/>
                <w:color w:val="auto"/>
              </w:rPr>
              <w:t>— %</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42%</w:t>
            </w:r>
          </w:p>
        </w:tc>
        <w:tc>
          <w:tcPr>
            <w:tcW w:w="2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22"/>
        </w:trPr>
        <w:tc>
          <w:tcPr>
            <w:tcW w:w="920" w:type="dxa"/>
            <w:vAlign w:val="bottom"/>
          </w:tcPr>
          <w:p>
            <w:pPr>
              <w:spacing w:after="0"/>
              <w:rPr>
                <w:sz w:val="19"/>
                <w:szCs w:val="19"/>
                <w:color w:val="auto"/>
              </w:rPr>
            </w:pPr>
          </w:p>
        </w:tc>
        <w:tc>
          <w:tcPr>
            <w:tcW w:w="5600" w:type="dxa"/>
            <w:vAlign w:val="bottom"/>
          </w:tcPr>
          <w:p>
            <w:pPr>
              <w:spacing w:after="0"/>
              <w:rPr>
                <w:sz w:val="20"/>
                <w:szCs w:val="20"/>
                <w:color w:val="auto"/>
              </w:rPr>
            </w:pPr>
            <w:r>
              <w:rPr>
                <w:rFonts w:ascii="Arial" w:cs="Arial" w:eastAsia="Arial" w:hAnsi="Arial"/>
                <w:sz w:val="18"/>
                <w:szCs w:val="18"/>
                <w:color w:val="auto"/>
              </w:rPr>
              <w:t>Risk-free interest rate</w:t>
            </w:r>
          </w:p>
        </w:tc>
        <w:tc>
          <w:tcPr>
            <w:tcW w:w="4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80" w:type="dxa"/>
            <w:vAlign w:val="bottom"/>
            <w:gridSpan w:val="4"/>
          </w:tcPr>
          <w:p>
            <w:pPr>
              <w:ind w:left="200"/>
              <w:spacing w:after="0"/>
              <w:rPr>
                <w:sz w:val="20"/>
                <w:szCs w:val="20"/>
                <w:color w:val="auto"/>
              </w:rPr>
            </w:pPr>
            <w:r>
              <w:rPr>
                <w:rFonts w:ascii="Arial" w:cs="Arial" w:eastAsia="Arial" w:hAnsi="Arial"/>
                <w:sz w:val="18"/>
                <w:szCs w:val="18"/>
                <w:color w:val="auto"/>
              </w:rPr>
              <w:t>— %</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60" w:type="dxa"/>
            <w:vAlign w:val="bottom"/>
            <w:gridSpan w:val="3"/>
          </w:tcPr>
          <w:p>
            <w:pPr>
              <w:jc w:val="right"/>
              <w:ind w:right="60"/>
              <w:spacing w:after="0"/>
              <w:rPr>
                <w:sz w:val="20"/>
                <w:szCs w:val="20"/>
                <w:color w:val="auto"/>
              </w:rPr>
            </w:pPr>
            <w:r>
              <w:rPr>
                <w:rFonts w:ascii="Arial" w:cs="Arial" w:eastAsia="Arial" w:hAnsi="Arial"/>
                <w:sz w:val="18"/>
                <w:szCs w:val="18"/>
                <w:color w:val="auto"/>
              </w:rPr>
              <w:t>0.9-3.6%</w:t>
            </w:r>
          </w:p>
        </w:tc>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200" w:type="dxa"/>
            <w:vAlign w:val="bottom"/>
          </w:tcPr>
          <w:p>
            <w:pPr>
              <w:spacing w:after="0"/>
              <w:rPr>
                <w:sz w:val="19"/>
                <w:szCs w:val="19"/>
                <w:color w:val="auto"/>
              </w:rPr>
            </w:pPr>
          </w:p>
        </w:tc>
      </w:tr>
    </w:tbl>
    <w:p>
      <w:pPr>
        <w:spacing w:after="0" w:line="147"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There were no market-based stock options granted during the three and six months ended July 28, 2012. The fair value of each market-based stock option award is estimated on the date of grant using a Monte Carlo simulation model that uses the assumptions noted in the above table, including the same volatility applied to the Company’s time-based options. Because a Monte Carlo simulation model incorporates ranges of assumptions for inputs, those ranges are disclosed where applicable. The Company uses historical data to estimate employee termination within the valuation model. The expected term of 2.66 years for market-based stock options granted during the three months ended April 30, 2011 was derived from the output of the valuation model and represents the period of time that options granted are expected to be outstanding.</w:t>
      </w:r>
    </w:p>
    <w:p>
      <w:pPr>
        <w:spacing w:after="0" w:line="120"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fair value of each restricted stock unit is estimated based on the market price of the Company’s common shares on the date of grant less the expected dividend yield.</w:t>
      </w:r>
    </w:p>
    <w:p>
      <w:pPr>
        <w:spacing w:after="0" w:line="168"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320" w:type="dxa"/>
            <w:vAlign w:val="bottom"/>
          </w:tcPr>
          <w:p>
            <w:pPr>
              <w:spacing w:after="0"/>
              <w:rPr>
                <w:sz w:val="14"/>
                <w:szCs w:val="14"/>
                <w:color w:val="auto"/>
              </w:rPr>
            </w:pPr>
          </w:p>
        </w:tc>
        <w:tc>
          <w:tcPr>
            <w:tcW w:w="2740" w:type="dxa"/>
            <w:vAlign w:val="bottom"/>
          </w:tcPr>
          <w:p>
            <w:pPr>
              <w:spacing w:after="0"/>
              <w:rPr>
                <w:sz w:val="14"/>
                <w:szCs w:val="14"/>
                <w:color w:val="auto"/>
              </w:rPr>
            </w:pPr>
          </w:p>
        </w:tc>
        <w:tc>
          <w:tcPr>
            <w:tcW w:w="2620" w:type="dxa"/>
            <w:vAlign w:val="bottom"/>
            <w:gridSpan w:val="6"/>
          </w:tcPr>
          <w:p>
            <w:pPr>
              <w:jc w:val="right"/>
              <w:ind w:right="580"/>
              <w:spacing w:after="0"/>
              <w:rPr>
                <w:sz w:val="20"/>
                <w:szCs w:val="20"/>
                <w:color w:val="auto"/>
              </w:rPr>
            </w:pPr>
            <w:r>
              <w:rPr>
                <w:rFonts w:ascii="Arial" w:cs="Arial" w:eastAsia="Arial" w:hAnsi="Arial"/>
                <w:sz w:val="14"/>
                <w:szCs w:val="14"/>
                <w:b w:val="1"/>
                <w:bCs w:val="1"/>
                <w:color w:val="auto"/>
              </w:rPr>
              <w:t>Three and Six Months Ended</w:t>
            </w:r>
          </w:p>
        </w:tc>
      </w:tr>
      <w:tr>
        <w:trPr>
          <w:trHeight w:val="129"/>
        </w:trPr>
        <w:tc>
          <w:tcPr>
            <w:tcW w:w="3320" w:type="dxa"/>
            <w:vAlign w:val="bottom"/>
          </w:tcPr>
          <w:p>
            <w:pPr>
              <w:spacing w:after="0"/>
              <w:rPr>
                <w:sz w:val="11"/>
                <w:szCs w:val="11"/>
                <w:color w:val="auto"/>
              </w:rPr>
            </w:pPr>
          </w:p>
        </w:tc>
        <w:tc>
          <w:tcPr>
            <w:tcW w:w="2740" w:type="dxa"/>
            <w:vAlign w:val="bottom"/>
          </w:tcPr>
          <w:p>
            <w:pPr>
              <w:spacing w:after="0"/>
              <w:rPr>
                <w:sz w:val="11"/>
                <w:szCs w:val="11"/>
                <w:color w:val="auto"/>
              </w:rPr>
            </w:pPr>
          </w:p>
        </w:tc>
        <w:tc>
          <w:tcPr>
            <w:tcW w:w="1260" w:type="dxa"/>
            <w:vAlign w:val="bottom"/>
            <w:tcBorders>
              <w:top w:val="single" w:sz="8" w:color="auto"/>
            </w:tcBorders>
            <w:gridSpan w:val="2"/>
          </w:tcPr>
          <w:p>
            <w:pPr>
              <w:jc w:val="right"/>
              <w:ind w:right="720"/>
              <w:spacing w:after="0" w:line="129" w:lineRule="exact"/>
              <w:rPr>
                <w:sz w:val="20"/>
                <w:szCs w:val="20"/>
                <w:color w:val="auto"/>
              </w:rPr>
            </w:pPr>
            <w:r>
              <w:rPr>
                <w:rFonts w:ascii="Arial" w:cs="Arial" w:eastAsia="Arial" w:hAnsi="Arial"/>
                <w:sz w:val="14"/>
                <w:szCs w:val="14"/>
                <w:b w:val="1"/>
                <w:bCs w:val="1"/>
                <w:color w:val="auto"/>
              </w:rPr>
              <w:t>July 28,</w:t>
            </w:r>
          </w:p>
        </w:tc>
        <w:tc>
          <w:tcPr>
            <w:tcW w:w="46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tcPr>
          <w:p>
            <w:pPr>
              <w:jc w:val="right"/>
              <w:ind w:right="58"/>
              <w:spacing w:after="0" w:line="129" w:lineRule="exact"/>
              <w:rPr>
                <w:sz w:val="20"/>
                <w:szCs w:val="20"/>
                <w:color w:val="auto"/>
              </w:rPr>
            </w:pPr>
            <w:r>
              <w:rPr>
                <w:rFonts w:ascii="Arial" w:cs="Arial" w:eastAsia="Arial" w:hAnsi="Arial"/>
                <w:sz w:val="14"/>
                <w:szCs w:val="14"/>
                <w:b w:val="1"/>
                <w:bCs w:val="1"/>
                <w:color w:val="auto"/>
                <w:w w:val="85"/>
              </w:rPr>
              <w:t>July 30,</w:t>
            </w:r>
          </w:p>
        </w:tc>
        <w:tc>
          <w:tcPr>
            <w:tcW w:w="200" w:type="dxa"/>
            <w:vAlign w:val="bottom"/>
          </w:tcPr>
          <w:p>
            <w:pPr>
              <w:spacing w:after="0"/>
              <w:rPr>
                <w:sz w:val="11"/>
                <w:szCs w:val="11"/>
                <w:color w:val="auto"/>
              </w:rPr>
            </w:pPr>
          </w:p>
        </w:tc>
      </w:tr>
      <w:tr>
        <w:trPr>
          <w:trHeight w:val="161"/>
        </w:trPr>
        <w:tc>
          <w:tcPr>
            <w:tcW w:w="3320" w:type="dxa"/>
            <w:vAlign w:val="bottom"/>
          </w:tcPr>
          <w:p>
            <w:pPr>
              <w:spacing w:after="0"/>
              <w:rPr>
                <w:sz w:val="14"/>
                <w:szCs w:val="14"/>
                <w:color w:val="auto"/>
              </w:rPr>
            </w:pPr>
          </w:p>
        </w:tc>
        <w:tc>
          <w:tcPr>
            <w:tcW w:w="34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2012</w:t>
            </w:r>
          </w:p>
        </w:tc>
        <w:tc>
          <w:tcPr>
            <w:tcW w:w="6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jc w:val="right"/>
              <w:ind w:right="138"/>
              <w:spacing w:after="0"/>
              <w:rPr>
                <w:sz w:val="20"/>
                <w:szCs w:val="20"/>
                <w:color w:val="auto"/>
              </w:rPr>
            </w:pPr>
            <w:r>
              <w:rPr>
                <w:rFonts w:ascii="Arial" w:cs="Arial" w:eastAsia="Arial" w:hAnsi="Arial"/>
                <w:sz w:val="14"/>
                <w:szCs w:val="14"/>
                <w:b w:val="1"/>
                <w:bCs w:val="1"/>
                <w:color w:val="auto"/>
              </w:rPr>
              <w:t>2011</w:t>
            </w:r>
          </w:p>
        </w:tc>
        <w:tc>
          <w:tcPr>
            <w:tcW w:w="200" w:type="dxa"/>
            <w:vAlign w:val="bottom"/>
          </w:tcPr>
          <w:p>
            <w:pPr>
              <w:spacing w:after="0"/>
              <w:rPr>
                <w:sz w:val="14"/>
                <w:szCs w:val="14"/>
                <w:color w:val="auto"/>
              </w:rPr>
            </w:pPr>
          </w:p>
        </w:tc>
      </w:tr>
      <w:tr>
        <w:trPr>
          <w:trHeight w:val="196"/>
        </w:trPr>
        <w:tc>
          <w:tcPr>
            <w:tcW w:w="33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Employee Stock Purchase Plan:</w:t>
            </w:r>
          </w:p>
        </w:tc>
        <w:tc>
          <w:tcPr>
            <w:tcW w:w="274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60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3320" w:type="dxa"/>
            <w:vAlign w:val="bottom"/>
          </w:tcPr>
          <w:p>
            <w:pPr>
              <w:spacing w:after="0"/>
              <w:rPr>
                <w:sz w:val="20"/>
                <w:szCs w:val="20"/>
                <w:color w:val="auto"/>
              </w:rPr>
            </w:pPr>
            <w:r>
              <w:rPr>
                <w:rFonts w:ascii="Arial" w:cs="Arial" w:eastAsia="Arial" w:hAnsi="Arial"/>
                <w:sz w:val="18"/>
                <w:szCs w:val="18"/>
                <w:color w:val="auto"/>
              </w:rPr>
              <w:t>Estimated fair value</w:t>
            </w:r>
          </w:p>
        </w:tc>
        <w:tc>
          <w:tcPr>
            <w:tcW w:w="3400" w:type="dxa"/>
            <w:vAlign w:val="bottom"/>
            <w:gridSpan w:val="2"/>
          </w:tcPr>
          <w:p>
            <w:pPr>
              <w:jc w:val="right"/>
              <w:spacing w:after="0"/>
              <w:rPr>
                <w:sz w:val="20"/>
                <w:szCs w:val="20"/>
                <w:color w:val="auto"/>
              </w:rPr>
            </w:pPr>
            <w:r>
              <w:rPr>
                <w:rFonts w:ascii="Arial" w:cs="Arial" w:eastAsia="Arial" w:hAnsi="Arial"/>
                <w:sz w:val="18"/>
                <w:szCs w:val="18"/>
                <w:color w:val="auto"/>
              </w:rPr>
              <w:t>$   3.77</w:t>
            </w:r>
          </w:p>
        </w:tc>
        <w:tc>
          <w:tcPr>
            <w:tcW w:w="600" w:type="dxa"/>
            <w:vAlign w:val="bottom"/>
          </w:tcPr>
          <w:p>
            <w:pPr>
              <w:spacing w:after="0"/>
              <w:rPr>
                <w:sz w:val="18"/>
                <w:szCs w:val="18"/>
                <w:color w:val="auto"/>
              </w:rPr>
            </w:pP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4.09</w:t>
            </w:r>
          </w:p>
        </w:tc>
        <w:tc>
          <w:tcPr>
            <w:tcW w:w="200" w:type="dxa"/>
            <w:vAlign w:val="bottom"/>
          </w:tcPr>
          <w:p>
            <w:pPr>
              <w:spacing w:after="0"/>
              <w:rPr>
                <w:sz w:val="18"/>
                <w:szCs w:val="18"/>
                <w:color w:val="auto"/>
              </w:rPr>
            </w:pPr>
          </w:p>
        </w:tc>
      </w:tr>
      <w:tr>
        <w:trPr>
          <w:trHeight w:val="216"/>
        </w:trPr>
        <w:tc>
          <w:tcPr>
            <w:tcW w:w="332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400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39%</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46%</w:t>
            </w:r>
          </w:p>
        </w:tc>
      </w:tr>
      <w:tr>
        <w:trPr>
          <w:trHeight w:val="216"/>
        </w:trPr>
        <w:tc>
          <w:tcPr>
            <w:tcW w:w="3320" w:type="dxa"/>
            <w:vAlign w:val="bottom"/>
          </w:tcPr>
          <w:p>
            <w:pPr>
              <w:spacing w:after="0"/>
              <w:rPr>
                <w:sz w:val="20"/>
                <w:szCs w:val="20"/>
                <w:color w:val="auto"/>
              </w:rPr>
            </w:pPr>
            <w:r>
              <w:rPr>
                <w:rFonts w:ascii="Arial" w:cs="Arial" w:eastAsia="Arial" w:hAnsi="Arial"/>
                <w:sz w:val="18"/>
                <w:szCs w:val="18"/>
                <w:color w:val="auto"/>
              </w:rPr>
              <w:t>Expected term (in years)</w:t>
            </w:r>
          </w:p>
        </w:tc>
        <w:tc>
          <w:tcPr>
            <w:tcW w:w="3400" w:type="dxa"/>
            <w:vAlign w:val="bottom"/>
            <w:gridSpan w:val="2"/>
          </w:tcPr>
          <w:p>
            <w:pPr>
              <w:jc w:val="right"/>
              <w:spacing w:after="0"/>
              <w:rPr>
                <w:sz w:val="20"/>
                <w:szCs w:val="20"/>
                <w:color w:val="auto"/>
              </w:rPr>
            </w:pPr>
            <w:r>
              <w:rPr>
                <w:rFonts w:ascii="Arial" w:cs="Arial" w:eastAsia="Arial" w:hAnsi="Arial"/>
                <w:sz w:val="18"/>
                <w:szCs w:val="18"/>
                <w:color w:val="auto"/>
              </w:rPr>
              <w:t>1.3</w:t>
            </w:r>
          </w:p>
        </w:tc>
        <w:tc>
          <w:tcPr>
            <w:tcW w:w="6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0.5</w:t>
            </w:r>
          </w:p>
        </w:tc>
        <w:tc>
          <w:tcPr>
            <w:tcW w:w="200" w:type="dxa"/>
            <w:vAlign w:val="bottom"/>
          </w:tcPr>
          <w:p>
            <w:pPr>
              <w:spacing w:after="0"/>
              <w:rPr>
                <w:sz w:val="18"/>
                <w:szCs w:val="18"/>
                <w:color w:val="auto"/>
              </w:rPr>
            </w:pPr>
          </w:p>
        </w:tc>
      </w:tr>
      <w:tr>
        <w:trPr>
          <w:trHeight w:val="216"/>
        </w:trPr>
        <w:tc>
          <w:tcPr>
            <w:tcW w:w="332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400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0.2%</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r>
      <w:tr>
        <w:trPr>
          <w:trHeight w:val="222"/>
        </w:trPr>
        <w:tc>
          <w:tcPr>
            <w:tcW w:w="3320" w:type="dxa"/>
            <w:vAlign w:val="bottom"/>
          </w:tcPr>
          <w:p>
            <w:pPr>
              <w:spacing w:after="0"/>
              <w:rPr>
                <w:sz w:val="20"/>
                <w:szCs w:val="20"/>
                <w:color w:val="auto"/>
              </w:rPr>
            </w:pPr>
            <w:r>
              <w:rPr>
                <w:rFonts w:ascii="Arial" w:cs="Arial" w:eastAsia="Arial" w:hAnsi="Arial"/>
                <w:sz w:val="18"/>
                <w:szCs w:val="18"/>
                <w:color w:val="auto"/>
              </w:rPr>
              <w:t>Dividend yield</w:t>
            </w:r>
          </w:p>
        </w:tc>
        <w:tc>
          <w:tcPr>
            <w:tcW w:w="4000" w:type="dxa"/>
            <w:vAlign w:val="bottom"/>
            <w:gridSpan w:val="3"/>
          </w:tcPr>
          <w:p>
            <w:pPr>
              <w:jc w:val="right"/>
              <w:ind w:right="460"/>
              <w:spacing w:after="0"/>
              <w:rPr>
                <w:sz w:val="20"/>
                <w:szCs w:val="20"/>
                <w:color w:val="auto"/>
              </w:rPr>
            </w:pPr>
            <w:r>
              <w:rPr>
                <w:rFonts w:ascii="Arial" w:cs="Arial" w:eastAsia="Arial" w:hAnsi="Arial"/>
                <w:sz w:val="18"/>
                <w:szCs w:val="18"/>
                <w:color w:val="auto"/>
              </w:rPr>
              <w:t>2.0%</w:t>
            </w:r>
          </w:p>
        </w:tc>
        <w:tc>
          <w:tcPr>
            <w:tcW w:w="4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r>
      <w:tr>
        <w:trPr>
          <w:trHeight w:val="356"/>
        </w:trPr>
        <w:tc>
          <w:tcPr>
            <w:tcW w:w="3320" w:type="dxa"/>
            <w:vAlign w:val="bottom"/>
          </w:tcPr>
          <w:p>
            <w:pPr>
              <w:spacing w:after="0"/>
              <w:rPr>
                <w:sz w:val="24"/>
                <w:szCs w:val="24"/>
                <w:color w:val="auto"/>
              </w:rPr>
            </w:pPr>
          </w:p>
        </w:tc>
        <w:tc>
          <w:tcPr>
            <w:tcW w:w="2740" w:type="dxa"/>
            <w:vAlign w:val="bottom"/>
          </w:tcPr>
          <w:p>
            <w:pPr>
              <w:jc w:val="right"/>
              <w:ind w:right="1555"/>
              <w:spacing w:after="0"/>
              <w:rPr>
                <w:sz w:val="20"/>
                <w:szCs w:val="20"/>
                <w:color w:val="auto"/>
              </w:rPr>
            </w:pPr>
            <w:r>
              <w:rPr>
                <w:rFonts w:ascii="Arial" w:cs="Arial" w:eastAsia="Arial" w:hAnsi="Arial"/>
                <w:sz w:val="18"/>
                <w:szCs w:val="18"/>
                <w:color w:val="auto"/>
              </w:rPr>
              <w:t>20</w:t>
            </w:r>
          </w:p>
        </w:tc>
        <w:tc>
          <w:tcPr>
            <w:tcW w:w="6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340"/>
          </w:cols>
          <w:pgMar w:left="240" w:top="459" w:right="31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96" w:lineRule="exact"/>
        <w:rPr>
          <w:sz w:val="20"/>
          <w:szCs w:val="20"/>
          <w:color w:val="auto"/>
        </w:rPr>
      </w:pPr>
    </w:p>
    <w:p>
      <w:pPr>
        <w:spacing w:after="0" w:line="283" w:lineRule="auto"/>
        <w:rPr>
          <w:sz w:val="20"/>
          <w:szCs w:val="20"/>
          <w:color w:val="auto"/>
        </w:rPr>
      </w:pPr>
      <w:r>
        <w:rPr>
          <w:rFonts w:ascii="Arial" w:cs="Arial" w:eastAsia="Arial" w:hAnsi="Arial"/>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“believes,” “seeks,” “estimates,” “can,” and similar expressions identify such forward-looking statements. We make a number of forward-looking statements that relate to future periods and include statements relating to our anticipation that the rate of new orders and shipments may vary significantly from quarter to quarter; our expectations regarding industry trends; our expectations regarding the impact of the flooding in Thailand; our expectations regarding our inventory levels; our expectations regarding the amount of our future sales in Asia; our expectations regarding competition; our expectations relating to the protection of our intellectual property; our expectations regarding the amount of customer concentration in the future; our plans and expectations regarding our auction rate securities; our expectations regarding acquisitions, investments, strategic alliances and joint ventures; our expectations regarding net revenue, cost of goods sold as a percentage of revenue and operating expenses for the third quarter ending October 27, 2012 compared with the second quarter ended July 28, 2012; our expectations regarding the impact of legal proceedings and claims; our ability to meet our capital needs for at least the next 12 months; our ability to attract and retain highly skilled personnel; our expectations regarding future growth opportunities; our plan regarding forward exchange contracts and the effect of foreign exchange rates; our expectations regarding unrecognized tax benefits; the effect of recent accounting pronouncements and changes in taxation rules; our expectation regarding the effectiveness of our hedges of foreign currency exposures; our expectations that quarterly operating results will fluctuate from quarter to quarter; our expectations regarding the current economic environment; our expectations regarding arrangements with suppliers; our expectations regarding our ability to develop and introduce new products and achieve market acceptance of our products; our expectations regarding pricing; our expectations regarding demand for our products and the impact of seasonality on demand; our expectations regarding defects; our expectations regarding the implementation and improvement of operational and financial systems, as well as the implementation of additional procedures and other internal management systems; our expectations regarding gross margin and the events that may cause gross margin to fluctuate; our expectations to transition our semiconductor products to increasingly smaller line width geometries; our expectations regarding the portion of our operations and sales outside of the United States; our expectations regarding the adequacy of our internal control over financial reporting; our expectations regarding future impairment review of our goodwill and intangible assets; and the anticipated features and benefits of our technology solutions.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our dependence upon the hard disk drive and mobile and wireless markets, which are highly cyclical and intensely competitive; our ability to successfully compete in the markets in which we serve; our ability to scale our operations in response to changes in demand for existing or new products and services; our maintenance of an effective system of internal controls; our dependence on a small number of customers; our ability and our customers’ ability to develop new and enhanced products; our success in integrating businesses we acquire and the impact such acquisitions may have on our operating results; our ability to estimate customer demand and future sales accurately; the success of our strategic relationships;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the impact of lengthy and expensive product sales cycles; and the outcome of pending or future litigation and legal proceedings. 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0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We are a leading global semiconductor provider of high performance application specific standard products. Our core strength of expertise is the development of complex System-on-a-Chip devices leveraging our extensive portfolio of technology intellectual property in the areas of analog, mixed-signal, digital signal processing and embedded ARM-based microprocessor integrated circuits. We also develop platforms that we define as integrated hardware along with software that incorporates digital computing technologies designed and configured to provide an optimized computing solution compared to individual components. Our broad product portfolio includes devices for data storage, enterprise-class Ethernet data switching, Ethernet physical-layer transceivers, handheld cellular, Ethernet-based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A significant number of our products are being incorporated into consumer electronics products, including gaming devices, which are subject to significant seasonality and fluctuations in demand. Holiday and back to school buying trends may at times negatively impact our results in the first and fourth quarters and positively impact our results in the second and third quarters of our fiscal years.</w:t>
      </w:r>
    </w:p>
    <w:p>
      <w:pPr>
        <w:spacing w:after="0" w:line="140"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43"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In this Quarterly Report on Form 10-Q, we refer to the fiscal year ended February 2, 2008 as fiscal 2008, the fiscal year ended January 31, 2009 as fiscal 2009, the fiscal year ended January 30, 2010 as fiscal 2010, the fiscal year ended January 29, 2011 as fiscal 2011, the fiscal year ended January 28, 2012 as fiscal 2012 and the fiscal year ending February 2, 2013 as fiscal 2013.</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120" w:firstLine="456"/>
        <w:spacing w:after="0" w:line="318" w:lineRule="auto"/>
        <w:rPr>
          <w:sz w:val="20"/>
          <w:szCs w:val="20"/>
          <w:color w:val="auto"/>
        </w:rPr>
      </w:pPr>
      <w:r>
        <w:rPr>
          <w:rFonts w:ascii="Arial" w:cs="Arial" w:eastAsia="Arial" w:hAnsi="Arial"/>
          <w:sz w:val="15"/>
          <w:szCs w:val="15"/>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28, 2012.</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5"/>
          <w:szCs w:val="15"/>
          <w:color w:val="auto"/>
        </w:rPr>
        <w:t>Our revenue during the second quarter of fiscal 2013 increased by 2% over the prior quarter, and was down by 9% compared to the second quarter of fiscal</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2012. Our actual results were lower than our expectations, primarily for three reasons:</w:t>
      </w:r>
    </w:p>
    <w:p>
      <w:pPr>
        <w:spacing w:after="0" w:line="84" w:lineRule="exact"/>
        <w:rPr>
          <w:sz w:val="20"/>
          <w:szCs w:val="20"/>
          <w:color w:val="auto"/>
        </w:rPr>
      </w:pPr>
    </w:p>
    <w:p>
      <w:pPr>
        <w:ind w:left="1480" w:right="340" w:hanging="446"/>
        <w:spacing w:after="0" w:line="268" w:lineRule="auto"/>
        <w:tabs>
          <w:tab w:leader="none" w:pos="1480" w:val="left"/>
        </w:tabs>
        <w:numPr>
          <w:ilvl w:val="0"/>
          <w:numId w:val="4"/>
        </w:numPr>
        <w:rPr>
          <w:rFonts w:ascii="Arial" w:cs="Arial" w:eastAsia="Arial" w:hAnsi="Arial"/>
          <w:sz w:val="18"/>
          <w:szCs w:val="18"/>
          <w:color w:val="auto"/>
        </w:rPr>
      </w:pPr>
      <w:r>
        <w:rPr>
          <w:rFonts w:ascii="Arial" w:cs="Arial" w:eastAsia="Arial" w:hAnsi="Arial"/>
          <w:sz w:val="18"/>
          <w:szCs w:val="18"/>
          <w:color w:val="auto"/>
        </w:rPr>
        <w:t>A slow-down in purchases in the PC supply chain resulting in lower sales of our hard disk drive (“HDD”) products. This slowdown was despite the recovery of HDD manufacturing from the Thailand floods that occurred in October 2011.</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4"/>
        </w:numPr>
        <w:rPr>
          <w:rFonts w:ascii="Arial" w:cs="Arial" w:eastAsia="Arial" w:hAnsi="Arial"/>
          <w:sz w:val="15"/>
          <w:szCs w:val="15"/>
          <w:color w:val="auto"/>
        </w:rPr>
      </w:pPr>
      <w:r>
        <w:rPr>
          <w:rFonts w:ascii="Arial" w:cs="Arial" w:eastAsia="Arial" w:hAnsi="Arial"/>
          <w:sz w:val="15"/>
          <w:szCs w:val="15"/>
          <w:color w:val="auto"/>
        </w:rPr>
        <w:t>Revenue from our leading North American handset customer declined due to the continued competitive challenges in the markets they serve.</w:t>
      </w:r>
    </w:p>
    <w:p>
      <w:pPr>
        <w:spacing w:after="0" w:line="124" w:lineRule="exact"/>
        <w:rPr>
          <w:rFonts w:ascii="Arial" w:cs="Arial" w:eastAsia="Arial" w:hAnsi="Arial"/>
          <w:sz w:val="15"/>
          <w:szCs w:val="15"/>
          <w:color w:val="auto"/>
        </w:rPr>
      </w:pPr>
    </w:p>
    <w:p>
      <w:pPr>
        <w:ind w:left="1480" w:right="40" w:hanging="446"/>
        <w:spacing w:after="0" w:line="259" w:lineRule="auto"/>
        <w:tabs>
          <w:tab w:leader="none" w:pos="148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market for our TD-SCDMA smartphone products in China did not grow as much as we anticipated due to slowing market demand. In addition, towards the second half of the second quarter, we faced increased competition for the first time for our single chip solutions, which impacted average selling prices and to a lesser degree, unit volumes.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While we expect the challenges in our mobile and wireless end markets to continue in the near-term, we continue to invest in new products for the future.</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In addition, we are pleased with some of the developments during the second quarter of fiscal 2013, including:</w:t>
      </w:r>
    </w:p>
    <w:p>
      <w:pPr>
        <w:spacing w:after="0" w:line="84" w:lineRule="exact"/>
        <w:rPr>
          <w:sz w:val="20"/>
          <w:szCs w:val="20"/>
          <w:color w:val="auto"/>
        </w:rPr>
      </w:pPr>
    </w:p>
    <w:p>
      <w:pPr>
        <w:ind w:left="1480" w:hanging="446"/>
        <w:spacing w:after="0" w:line="256" w:lineRule="auto"/>
        <w:tabs>
          <w:tab w:leader="none" w:pos="1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announcement of our next generation platform for smartphones, a unified 3G platform for TD-SCDMA and WCDMA. This platform integrates a high performance 1.2 GHz dual-core processor, powerful 3D graphics, WiFi, Bluetooth, NFC, GPS, RF and power management. In addition, we are now accelerating our TD and FDD-LTE roadmap, and we expect to sample pin compatible 4G platform solutions to our customers early next year.</w:t>
      </w:r>
    </w:p>
    <w:p>
      <w:pPr>
        <w:spacing w:after="0" w:line="62" w:lineRule="exact"/>
        <w:rPr>
          <w:rFonts w:ascii="Arial" w:cs="Arial" w:eastAsia="Arial" w:hAnsi="Arial"/>
          <w:sz w:val="18"/>
          <w:szCs w:val="18"/>
          <w:color w:val="auto"/>
        </w:rPr>
      </w:pPr>
    </w:p>
    <w:p>
      <w:pPr>
        <w:ind w:left="1480" w:hanging="446"/>
        <w:spacing w:after="0" w:line="259" w:lineRule="auto"/>
        <w:tabs>
          <w:tab w:leader="none" w:pos="1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continued to see strong growth for our 500 gigabyte per platter controllers at our storage customers. We are currently the only supplier of this class of product for mobile drive market and we believe this competitive advantage is helping us to grow our share of the HDD controller market.</w:t>
      </w:r>
    </w:p>
    <w:p>
      <w:pPr>
        <w:spacing w:after="0" w:line="59" w:lineRule="exact"/>
        <w:rPr>
          <w:rFonts w:ascii="Arial" w:cs="Arial" w:eastAsia="Arial" w:hAnsi="Arial"/>
          <w:sz w:val="18"/>
          <w:szCs w:val="18"/>
          <w:color w:val="auto"/>
        </w:rPr>
      </w:pPr>
    </w:p>
    <w:p>
      <w:pPr>
        <w:ind w:left="1480" w:right="300" w:hanging="446"/>
        <w:spacing w:after="0" w:line="268" w:lineRule="auto"/>
        <w:tabs>
          <w:tab w:leader="none" w:pos="1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Solid state drive (“SSD”) revenue continued to grow, and although still a small portion of our storage revenue we expect SSD revenue to continue to grow.</w:t>
      </w:r>
    </w:p>
    <w:p>
      <w:pPr>
        <w:spacing w:after="0" w:line="50" w:lineRule="exact"/>
        <w:rPr>
          <w:rFonts w:ascii="Arial" w:cs="Arial" w:eastAsia="Arial" w:hAnsi="Arial"/>
          <w:sz w:val="18"/>
          <w:szCs w:val="18"/>
          <w:color w:val="auto"/>
        </w:rPr>
      </w:pPr>
    </w:p>
    <w:p>
      <w:pPr>
        <w:ind w:left="1480" w:right="20" w:hanging="446"/>
        <w:spacing w:after="0" w:line="256" w:lineRule="auto"/>
        <w:tabs>
          <w:tab w:leader="none" w:pos="1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In the networking end market, we outperformed the market during the past year, growing revenue by introducing new products in new growth areas. This has offset the sluggish results in the overall networking end market. Our new products include our recently introduced passive optical network (“PON”) and 10 gigabyte switching products, as well as the programmable network processers introduced following our acquisition of Xelerated.</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380"/>
          </w:cols>
          <w:pgMar w:left="240" w:top="459" w:right="27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right="200" w:hanging="446"/>
        <w:spacing w:after="0" w:line="268" w:lineRule="auto"/>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cash, cash equivalents and short-term investments were $2.1 billion at July 28, 2012. We generated cash flow from operations of $189 million during the second quarter of fiscal 2013.</w:t>
      </w:r>
    </w:p>
    <w:p>
      <w:pPr>
        <w:spacing w:after="0" w:line="50" w:lineRule="exact"/>
        <w:rPr>
          <w:rFonts w:ascii="Arial" w:cs="Arial" w:eastAsia="Arial" w:hAnsi="Arial"/>
          <w:sz w:val="18"/>
          <w:szCs w:val="18"/>
          <w:color w:val="auto"/>
        </w:rPr>
      </w:pPr>
    </w:p>
    <w:p>
      <w:pPr>
        <w:ind w:left="1480" w:right="100" w:hanging="446"/>
        <w:spacing w:after="0" w:line="268" w:lineRule="auto"/>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paid our first quarterly dividend of $0.06 per share in the quarter, and recently announced another dividend of $0.06 per share to be paid during the third quarter of fiscal 2013.</w:t>
      </w:r>
    </w:p>
    <w:p>
      <w:pPr>
        <w:spacing w:after="0" w:line="50" w:lineRule="exact"/>
        <w:rPr>
          <w:rFonts w:ascii="Arial" w:cs="Arial" w:eastAsia="Arial" w:hAnsi="Arial"/>
          <w:sz w:val="18"/>
          <w:szCs w:val="18"/>
          <w:color w:val="auto"/>
        </w:rPr>
      </w:pPr>
    </w:p>
    <w:p>
      <w:pPr>
        <w:ind w:left="1480" w:right="340" w:hanging="446"/>
        <w:spacing w:after="0" w:line="268" w:lineRule="auto"/>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repurchased an additional 19.8 million of common shares for $250.3 million in cash during the quarter as we continued to reduce the number of outstanding shares through our share repurchase program.</w:t>
      </w:r>
    </w:p>
    <w:p>
      <w:pPr>
        <w:spacing w:after="0" w:line="132"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48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20" w:type="dxa"/>
            <w:vAlign w:val="bottom"/>
            <w:gridSpan w:val="5"/>
          </w:tcPr>
          <w:p>
            <w:pPr>
              <w:jc w:val="right"/>
              <w:ind w:right="692"/>
              <w:spacing w:after="0"/>
              <w:rPr>
                <w:sz w:val="20"/>
                <w:szCs w:val="20"/>
                <w:color w:val="auto"/>
              </w:rPr>
            </w:pPr>
            <w:r>
              <w:rPr>
                <w:rFonts w:ascii="Arial" w:cs="Arial" w:eastAsia="Arial" w:hAnsi="Arial"/>
                <w:sz w:val="14"/>
                <w:szCs w:val="14"/>
                <w:b w:val="1"/>
                <w:bCs w:val="1"/>
                <w:color w:val="auto"/>
                <w:w w:val="89"/>
              </w:rPr>
              <w:t>Three Months Ended</w:t>
            </w:r>
          </w:p>
        </w:tc>
        <w:tc>
          <w:tcPr>
            <w:tcW w:w="1420" w:type="dxa"/>
            <w:vAlign w:val="bottom"/>
            <w:gridSpan w:val="4"/>
          </w:tcPr>
          <w:p>
            <w:pPr>
              <w:jc w:val="right"/>
              <w:ind w:right="132"/>
              <w:spacing w:after="0"/>
              <w:rPr>
                <w:sz w:val="20"/>
                <w:szCs w:val="20"/>
                <w:color w:val="auto"/>
              </w:rPr>
            </w:pPr>
            <w:r>
              <w:rPr>
                <w:rFonts w:ascii="Arial" w:cs="Arial" w:eastAsia="Arial" w:hAnsi="Arial"/>
                <w:sz w:val="14"/>
                <w:szCs w:val="14"/>
                <w:b w:val="1"/>
                <w:bCs w:val="1"/>
                <w:color w:val="auto"/>
                <w:w w:val="98"/>
              </w:rPr>
              <w:t>Six Months Ended</w:t>
            </w: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48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40" w:type="dxa"/>
            <w:vAlign w:val="bottom"/>
            <w:tcBorders>
              <w:top w:val="single" w:sz="8" w:color="auto"/>
            </w:tcBorders>
            <w:gridSpan w:val="3"/>
          </w:tcPr>
          <w:p>
            <w:pPr>
              <w:jc w:val="center"/>
              <w:ind w:right="580"/>
              <w:spacing w:after="0" w:line="129" w:lineRule="exact"/>
              <w:rPr>
                <w:sz w:val="20"/>
                <w:szCs w:val="20"/>
                <w:color w:val="auto"/>
              </w:rPr>
            </w:pPr>
            <w:r>
              <w:rPr>
                <w:rFonts w:ascii="Arial" w:cs="Arial" w:eastAsia="Arial" w:hAnsi="Arial"/>
                <w:sz w:val="14"/>
                <w:szCs w:val="14"/>
                <w:b w:val="1"/>
                <w:bCs w:val="1"/>
                <w:color w:val="auto"/>
                <w:w w:val="89"/>
              </w:rPr>
              <w:t>July 28,</w:t>
            </w:r>
          </w:p>
        </w:tc>
        <w:tc>
          <w:tcPr>
            <w:tcW w:w="5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5"/>
              </w:rPr>
              <w:t>July 30,</w:t>
            </w:r>
          </w:p>
        </w:tc>
        <w:tc>
          <w:tcPr>
            <w:tcW w:w="600" w:type="dxa"/>
            <w:vAlign w:val="bottom"/>
          </w:tcPr>
          <w:p>
            <w:pPr>
              <w:spacing w:after="0"/>
              <w:rPr>
                <w:sz w:val="11"/>
                <w:szCs w:val="11"/>
                <w:color w:val="auto"/>
              </w:rPr>
            </w:pPr>
          </w:p>
        </w:tc>
        <w:tc>
          <w:tcPr>
            <w:tcW w:w="960" w:type="dxa"/>
            <w:vAlign w:val="bottom"/>
            <w:tcBorders>
              <w:top w:val="single" w:sz="8" w:color="auto"/>
            </w:tcBorders>
            <w:gridSpan w:val="2"/>
          </w:tcPr>
          <w:p>
            <w:pPr>
              <w:jc w:val="right"/>
              <w:ind w:right="492"/>
              <w:spacing w:after="0" w:line="129" w:lineRule="exact"/>
              <w:rPr>
                <w:sz w:val="20"/>
                <w:szCs w:val="20"/>
                <w:color w:val="auto"/>
              </w:rPr>
            </w:pPr>
            <w:r>
              <w:rPr>
                <w:rFonts w:ascii="Arial" w:cs="Arial" w:eastAsia="Arial" w:hAnsi="Arial"/>
                <w:sz w:val="14"/>
                <w:szCs w:val="14"/>
                <w:b w:val="1"/>
                <w:bCs w:val="1"/>
                <w:color w:val="auto"/>
                <w:w w:val="73"/>
              </w:rPr>
              <w:t>July 28,</w:t>
            </w:r>
          </w:p>
        </w:tc>
        <w:tc>
          <w:tcPr>
            <w:tcW w:w="4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5"/>
              </w:rPr>
              <w:t>July 30,</w:t>
            </w: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800" w:type="dxa"/>
            <w:vAlign w:val="bottom"/>
            <w:tcBorders>
              <w:bottom w:val="single" w:sz="8" w:color="CCEEFF"/>
            </w:tcBorders>
          </w:tcPr>
          <w:p>
            <w:pPr>
              <w:spacing w:after="0"/>
              <w:rPr>
                <w:sz w:val="14"/>
                <w:szCs w:val="14"/>
                <w:color w:val="auto"/>
              </w:rPr>
            </w:pPr>
          </w:p>
        </w:tc>
        <w:tc>
          <w:tcPr>
            <w:tcW w:w="420" w:type="dxa"/>
            <w:vAlign w:val="bottom"/>
            <w:tcBorders>
              <w:bottom w:val="single" w:sz="8" w:color="CCEEFF"/>
            </w:tcBorders>
          </w:tcPr>
          <w:p>
            <w:pPr>
              <w:spacing w:after="0"/>
              <w:rPr>
                <w:sz w:val="14"/>
                <w:szCs w:val="14"/>
                <w:color w:val="auto"/>
              </w:rPr>
            </w:pPr>
          </w:p>
        </w:tc>
        <w:tc>
          <w:tcPr>
            <w:tcW w:w="820" w:type="dxa"/>
            <w:vAlign w:val="bottom"/>
            <w:tcBorders>
              <w:bottom w:val="single" w:sz="8" w:color="CCEEFF"/>
            </w:tcBorders>
          </w:tcPr>
          <w:p>
            <w:pPr>
              <w:spacing w:after="0"/>
              <w:rPr>
                <w:sz w:val="14"/>
                <w:szCs w:val="14"/>
                <w:color w:val="auto"/>
              </w:rPr>
            </w:pPr>
          </w:p>
        </w:tc>
        <w:tc>
          <w:tcPr>
            <w:tcW w:w="700" w:type="dxa"/>
            <w:vAlign w:val="bottom"/>
            <w:tcBorders>
              <w:bottom w:val="single" w:sz="8" w:color="CCEEFF"/>
            </w:tcBorders>
          </w:tcPr>
          <w:p>
            <w:pPr>
              <w:spacing w:after="0"/>
              <w:rPr>
                <w:sz w:val="14"/>
                <w:szCs w:val="14"/>
                <w:color w:val="auto"/>
              </w:rPr>
            </w:pPr>
          </w:p>
        </w:tc>
        <w:tc>
          <w:tcPr>
            <w:tcW w:w="460" w:type="dxa"/>
            <w:vAlign w:val="bottom"/>
            <w:tcBorders>
              <w:bottom w:val="single" w:sz="8" w:color="auto"/>
            </w:tcBorders>
            <w:gridSpan w:val="2"/>
          </w:tcPr>
          <w:p>
            <w:pPr>
              <w:jc w:val="right"/>
              <w:ind w:right="17"/>
              <w:spacing w:after="0"/>
              <w:rPr>
                <w:sz w:val="20"/>
                <w:szCs w:val="20"/>
                <w:color w:val="auto"/>
              </w:rPr>
            </w:pPr>
            <w:r>
              <w:rPr>
                <w:rFonts w:ascii="Arial" w:cs="Arial" w:eastAsia="Arial" w:hAnsi="Arial"/>
                <w:sz w:val="14"/>
                <w:szCs w:val="14"/>
                <w:b w:val="1"/>
                <w:bCs w:val="1"/>
                <w:color w:val="auto"/>
              </w:rPr>
              <w:t>2012</w:t>
            </w:r>
          </w:p>
        </w:tc>
        <w:tc>
          <w:tcPr>
            <w:tcW w:w="580" w:type="dxa"/>
            <w:vAlign w:val="bottom"/>
            <w:tcBorders>
              <w:bottom w:val="single" w:sz="8" w:color="CCEEFF"/>
            </w:tcBorders>
          </w:tcPr>
          <w:p>
            <w:pPr>
              <w:spacing w:after="0"/>
              <w:rPr>
                <w:sz w:val="14"/>
                <w:szCs w:val="14"/>
                <w:color w:val="auto"/>
              </w:rPr>
            </w:pPr>
          </w:p>
        </w:tc>
        <w:tc>
          <w:tcPr>
            <w:tcW w:w="500" w:type="dxa"/>
            <w:vAlign w:val="bottom"/>
            <w:tcBorders>
              <w:bottom w:val="single" w:sz="8" w:color="auto"/>
            </w:tcBorders>
            <w:gridSpan w:val="2"/>
          </w:tcPr>
          <w:p>
            <w:pPr>
              <w:jc w:val="right"/>
              <w:ind w:right="52"/>
              <w:spacing w:after="0"/>
              <w:rPr>
                <w:sz w:val="20"/>
                <w:szCs w:val="20"/>
                <w:color w:val="auto"/>
              </w:rPr>
            </w:pPr>
            <w:r>
              <w:rPr>
                <w:rFonts w:ascii="Arial" w:cs="Arial" w:eastAsia="Arial" w:hAnsi="Arial"/>
                <w:sz w:val="14"/>
                <w:szCs w:val="14"/>
                <w:b w:val="1"/>
                <w:bCs w:val="1"/>
                <w:color w:val="auto"/>
              </w:rPr>
              <w:t>2011</w:t>
            </w:r>
          </w:p>
        </w:tc>
        <w:tc>
          <w:tcPr>
            <w:tcW w:w="600" w:type="dxa"/>
            <w:vAlign w:val="bottom"/>
            <w:tcBorders>
              <w:bottom w:val="single" w:sz="8" w:color="CCEEFF"/>
            </w:tcBorders>
          </w:tcPr>
          <w:p>
            <w:pPr>
              <w:spacing w:after="0"/>
              <w:rPr>
                <w:sz w:val="14"/>
                <w:szCs w:val="14"/>
                <w:color w:val="auto"/>
              </w:rPr>
            </w:pPr>
          </w:p>
        </w:tc>
        <w:tc>
          <w:tcPr>
            <w:tcW w:w="4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96"/>
              </w:rPr>
              <w:t>2012</w:t>
            </w:r>
          </w:p>
        </w:tc>
        <w:tc>
          <w:tcPr>
            <w:tcW w:w="560" w:type="dxa"/>
            <w:vAlign w:val="bottom"/>
            <w:tcBorders>
              <w:bottom w:val="single" w:sz="8" w:color="CCEEFF"/>
            </w:tcBorders>
          </w:tcPr>
          <w:p>
            <w:pPr>
              <w:spacing w:after="0"/>
              <w:rPr>
                <w:sz w:val="14"/>
                <w:szCs w:val="14"/>
                <w:color w:val="auto"/>
              </w:rPr>
            </w:pPr>
          </w:p>
        </w:tc>
        <w:tc>
          <w:tcPr>
            <w:tcW w:w="460" w:type="dxa"/>
            <w:vAlign w:val="bottom"/>
            <w:tcBorders>
              <w:bottom w:val="single" w:sz="8" w:color="auto"/>
            </w:tcBorders>
            <w:gridSpan w:val="2"/>
          </w:tcPr>
          <w:p>
            <w:pPr>
              <w:jc w:val="right"/>
              <w:ind w:right="32"/>
              <w:spacing w:after="0"/>
              <w:rPr>
                <w:sz w:val="20"/>
                <w:szCs w:val="20"/>
                <w:color w:val="auto"/>
              </w:rPr>
            </w:pPr>
            <w:r>
              <w:rPr>
                <w:rFonts w:ascii="Arial" w:cs="Arial" w:eastAsia="Arial" w:hAnsi="Arial"/>
                <w:sz w:val="14"/>
                <w:szCs w:val="14"/>
                <w:b w:val="1"/>
                <w:bCs w:val="1"/>
                <w:color w:val="auto"/>
              </w:rPr>
              <w:t>2011</w:t>
            </w:r>
          </w:p>
        </w:tc>
        <w:tc>
          <w:tcPr>
            <w:tcW w:w="200" w:type="dxa"/>
            <w:vAlign w:val="bottom"/>
            <w:tcBorders>
              <w:bottom w:val="single" w:sz="8" w:color="CCEEFF"/>
            </w:tcBorders>
          </w:tcPr>
          <w:p>
            <w:pPr>
              <w:spacing w:after="0"/>
              <w:rPr>
                <w:sz w:val="14"/>
                <w:szCs w:val="14"/>
                <w:color w:val="auto"/>
              </w:rPr>
            </w:pP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48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4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4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w w:val="98"/>
              </w:rPr>
              <w:t>100.0%</w:t>
            </w:r>
          </w:p>
        </w:tc>
        <w:tc>
          <w:tcPr>
            <w:tcW w:w="1100" w:type="dxa"/>
            <w:vAlign w:val="bottom"/>
            <w:tcBorders>
              <w:right w:val="single" w:sz="8" w:color="CCEEFF"/>
            </w:tcBorders>
            <w:gridSpan w:val="3"/>
            <w:shd w:val="clear" w:color="auto" w:fill="CCEEFF"/>
          </w:tcPr>
          <w:p>
            <w:pPr>
              <w:jc w:val="right"/>
              <w:ind w:right="392"/>
              <w:spacing w:after="0"/>
              <w:rPr>
                <w:sz w:val="20"/>
                <w:szCs w:val="20"/>
                <w:color w:val="auto"/>
              </w:rPr>
            </w:pPr>
            <w:r>
              <w:rPr>
                <w:rFonts w:ascii="Arial" w:cs="Arial" w:eastAsia="Arial" w:hAnsi="Arial"/>
                <w:sz w:val="18"/>
                <w:szCs w:val="18"/>
                <w:color w:val="auto"/>
              </w:rPr>
              <w:t>100.0%</w:t>
            </w:r>
          </w:p>
        </w:tc>
        <w:tc>
          <w:tcPr>
            <w:tcW w:w="960" w:type="dxa"/>
            <w:vAlign w:val="bottom"/>
            <w:gridSpan w:val="2"/>
            <w:shd w:val="clear" w:color="auto" w:fill="CCEEFF"/>
          </w:tcPr>
          <w:p>
            <w:pPr>
              <w:jc w:val="right"/>
              <w:ind w:right="332"/>
              <w:spacing w:after="0"/>
              <w:rPr>
                <w:sz w:val="20"/>
                <w:szCs w:val="20"/>
                <w:color w:val="auto"/>
              </w:rPr>
            </w:pPr>
            <w:r>
              <w:rPr>
                <w:rFonts w:ascii="Arial" w:cs="Arial" w:eastAsia="Arial" w:hAnsi="Arial"/>
                <w:sz w:val="18"/>
                <w:szCs w:val="18"/>
                <w:color w:val="auto"/>
                <w:w w:val="88"/>
              </w:rPr>
              <w:t>100.0%</w:t>
            </w: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4"/>
              </w:rPr>
              <w:t>100.0%</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80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4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8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Cost of goods sold</w:t>
            </w:r>
          </w:p>
        </w:tc>
        <w:tc>
          <w:tcPr>
            <w:tcW w:w="4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w w:val="91"/>
              </w:rPr>
              <w:t>46.8</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42.1</w:t>
            </w:r>
          </w:p>
        </w:tc>
        <w:tc>
          <w:tcPr>
            <w:tcW w:w="60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shd w:val="clear" w:color="auto" w:fill="CCEEFF"/>
          </w:tcPr>
          <w:p>
            <w:pPr>
              <w:jc w:val="right"/>
              <w:ind w:right="492"/>
              <w:spacing w:after="0"/>
              <w:rPr>
                <w:sz w:val="20"/>
                <w:szCs w:val="20"/>
                <w:color w:val="auto"/>
              </w:rPr>
            </w:pPr>
            <w:r>
              <w:rPr>
                <w:rFonts w:ascii="Arial" w:cs="Arial" w:eastAsia="Arial" w:hAnsi="Arial"/>
                <w:sz w:val="18"/>
                <w:szCs w:val="18"/>
                <w:color w:val="auto"/>
              </w:rPr>
              <w:t>46.4</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41.9</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800" w:type="dxa"/>
            <w:vAlign w:val="bottom"/>
          </w:tcPr>
          <w:p>
            <w:pPr>
              <w:ind w:left="440"/>
              <w:spacing w:after="0"/>
              <w:rPr>
                <w:sz w:val="20"/>
                <w:szCs w:val="20"/>
                <w:color w:val="auto"/>
              </w:rPr>
            </w:pPr>
            <w:r>
              <w:rPr>
                <w:rFonts w:ascii="Arial" w:cs="Arial" w:eastAsia="Arial" w:hAnsi="Arial"/>
                <w:sz w:val="18"/>
                <w:szCs w:val="18"/>
                <w:color w:val="auto"/>
              </w:rPr>
              <w:t>Research and development</w:t>
            </w:r>
          </w:p>
        </w:tc>
        <w:tc>
          <w:tcPr>
            <w:tcW w:w="4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580"/>
              <w:spacing w:after="0"/>
              <w:rPr>
                <w:sz w:val="20"/>
                <w:szCs w:val="20"/>
                <w:color w:val="auto"/>
              </w:rPr>
            </w:pPr>
            <w:r>
              <w:rPr>
                <w:rFonts w:ascii="Arial" w:cs="Arial" w:eastAsia="Arial" w:hAnsi="Arial"/>
                <w:sz w:val="18"/>
                <w:szCs w:val="18"/>
                <w:color w:val="auto"/>
                <w:w w:val="91"/>
              </w:rPr>
              <w:t>32.4</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27.8</w:t>
            </w:r>
          </w:p>
        </w:tc>
        <w:tc>
          <w:tcPr>
            <w:tcW w:w="600" w:type="dxa"/>
            <w:vAlign w:val="bottom"/>
          </w:tcPr>
          <w:p>
            <w:pPr>
              <w:spacing w:after="0"/>
              <w:rPr>
                <w:sz w:val="18"/>
                <w:szCs w:val="18"/>
                <w:color w:val="auto"/>
              </w:rPr>
            </w:pPr>
          </w:p>
        </w:tc>
        <w:tc>
          <w:tcPr>
            <w:tcW w:w="960" w:type="dxa"/>
            <w:vAlign w:val="bottom"/>
            <w:gridSpan w:val="2"/>
          </w:tcPr>
          <w:p>
            <w:pPr>
              <w:jc w:val="right"/>
              <w:ind w:right="492"/>
              <w:spacing w:after="0"/>
              <w:rPr>
                <w:sz w:val="20"/>
                <w:szCs w:val="20"/>
                <w:color w:val="auto"/>
              </w:rPr>
            </w:pPr>
            <w:r>
              <w:rPr>
                <w:rFonts w:ascii="Arial" w:cs="Arial" w:eastAsia="Arial" w:hAnsi="Arial"/>
                <w:sz w:val="18"/>
                <w:szCs w:val="18"/>
                <w:color w:val="auto"/>
              </w:rPr>
              <w:t>32.3</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29.0</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8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Selling and marketing</w:t>
            </w:r>
          </w:p>
        </w:tc>
        <w:tc>
          <w:tcPr>
            <w:tcW w:w="4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5.0</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60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shd w:val="clear" w:color="auto" w:fill="CCEEFF"/>
          </w:tcPr>
          <w:p>
            <w:pPr>
              <w:jc w:val="right"/>
              <w:ind w:right="492"/>
              <w:spacing w:after="0"/>
              <w:rPr>
                <w:sz w:val="20"/>
                <w:szCs w:val="20"/>
                <w:color w:val="auto"/>
              </w:rPr>
            </w:pPr>
            <w:r>
              <w:rPr>
                <w:rFonts w:ascii="Arial" w:cs="Arial" w:eastAsia="Arial" w:hAnsi="Arial"/>
                <w:sz w:val="18"/>
                <w:szCs w:val="18"/>
                <w:color w:val="auto"/>
              </w:rPr>
              <w:t>5.0</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4.6</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800" w:type="dxa"/>
            <w:vAlign w:val="bottom"/>
          </w:tcPr>
          <w:p>
            <w:pPr>
              <w:ind w:left="440"/>
              <w:spacing w:after="0"/>
              <w:rPr>
                <w:sz w:val="20"/>
                <w:szCs w:val="20"/>
                <w:color w:val="auto"/>
              </w:rPr>
            </w:pPr>
            <w:r>
              <w:rPr>
                <w:rFonts w:ascii="Arial" w:cs="Arial" w:eastAsia="Arial" w:hAnsi="Arial"/>
                <w:sz w:val="18"/>
                <w:szCs w:val="18"/>
                <w:color w:val="auto"/>
              </w:rPr>
              <w:t>General and administrative</w:t>
            </w:r>
          </w:p>
        </w:tc>
        <w:tc>
          <w:tcPr>
            <w:tcW w:w="4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580"/>
              <w:spacing w:after="0"/>
              <w:rPr>
                <w:sz w:val="20"/>
                <w:szCs w:val="20"/>
                <w:color w:val="auto"/>
              </w:rPr>
            </w:pPr>
            <w:r>
              <w:rPr>
                <w:rFonts w:ascii="Arial" w:cs="Arial" w:eastAsia="Arial" w:hAnsi="Arial"/>
                <w:sz w:val="18"/>
                <w:szCs w:val="18"/>
                <w:color w:val="auto"/>
              </w:rPr>
              <w:t>3.1</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2.7</w:t>
            </w:r>
          </w:p>
        </w:tc>
        <w:tc>
          <w:tcPr>
            <w:tcW w:w="600" w:type="dxa"/>
            <w:vAlign w:val="bottom"/>
          </w:tcPr>
          <w:p>
            <w:pPr>
              <w:spacing w:after="0"/>
              <w:rPr>
                <w:sz w:val="18"/>
                <w:szCs w:val="18"/>
                <w:color w:val="auto"/>
              </w:rPr>
            </w:pPr>
          </w:p>
        </w:tc>
        <w:tc>
          <w:tcPr>
            <w:tcW w:w="960" w:type="dxa"/>
            <w:vAlign w:val="bottom"/>
            <w:gridSpan w:val="2"/>
          </w:tcPr>
          <w:p>
            <w:pPr>
              <w:jc w:val="right"/>
              <w:ind w:right="492"/>
              <w:spacing w:after="0"/>
              <w:rPr>
                <w:sz w:val="20"/>
                <w:szCs w:val="20"/>
                <w:color w:val="auto"/>
              </w:rPr>
            </w:pPr>
            <w:r>
              <w:rPr>
                <w:rFonts w:ascii="Arial" w:cs="Arial" w:eastAsia="Arial" w:hAnsi="Arial"/>
                <w:sz w:val="18"/>
                <w:szCs w:val="18"/>
                <w:color w:val="auto"/>
              </w:rPr>
              <w:t>3.2</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2.9</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800" w:type="dxa"/>
            <w:vAlign w:val="bottom"/>
            <w:shd w:val="clear" w:color="auto" w:fill="CCEEFF"/>
          </w:tcPr>
          <w:p>
            <w:pPr>
              <w:ind w:left="440"/>
              <w:spacing w:after="0"/>
              <w:rPr>
                <w:sz w:val="20"/>
                <w:szCs w:val="20"/>
                <w:color w:val="auto"/>
              </w:rPr>
            </w:pPr>
            <w:r>
              <w:rPr>
                <w:rFonts w:ascii="Arial" w:cs="Arial" w:eastAsia="Arial" w:hAnsi="Arial"/>
                <w:sz w:val="18"/>
                <w:szCs w:val="18"/>
                <w:color w:val="auto"/>
                <w:w w:val="99"/>
              </w:rPr>
              <w:t>Amortization and write-off of acquired intangible assets</w:t>
            </w:r>
          </w:p>
        </w:tc>
        <w:tc>
          <w:tcPr>
            <w:tcW w:w="4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1.6</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60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shd w:val="clear" w:color="auto" w:fill="CCEEFF"/>
          </w:tcPr>
          <w:p>
            <w:pPr>
              <w:jc w:val="right"/>
              <w:ind w:right="492"/>
              <w:spacing w:after="0"/>
              <w:rPr>
                <w:sz w:val="20"/>
                <w:szCs w:val="20"/>
                <w:color w:val="auto"/>
              </w:rPr>
            </w:pPr>
            <w:r>
              <w:rPr>
                <w:rFonts w:ascii="Arial" w:cs="Arial" w:eastAsia="Arial" w:hAnsi="Arial"/>
                <w:sz w:val="18"/>
                <w:szCs w:val="18"/>
                <w:color w:val="auto"/>
              </w:rPr>
              <w:t>1.7</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4800" w:type="dxa"/>
            <w:vAlign w:val="bottom"/>
            <w:vMerge w:val="restart"/>
          </w:tcPr>
          <w:p>
            <w:pPr>
              <w:ind w:left="880"/>
              <w:spacing w:after="0"/>
              <w:rPr>
                <w:sz w:val="20"/>
                <w:szCs w:val="20"/>
                <w:color w:val="auto"/>
              </w:rPr>
            </w:pPr>
            <w:r>
              <w:rPr>
                <w:rFonts w:ascii="Arial" w:cs="Arial" w:eastAsia="Arial" w:hAnsi="Arial"/>
                <w:sz w:val="18"/>
                <w:szCs w:val="18"/>
                <w:color w:val="auto"/>
              </w:rPr>
              <w:t>Total operating costs and expenses</w:t>
            </w:r>
          </w:p>
        </w:tc>
        <w:tc>
          <w:tcPr>
            <w:tcW w:w="4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600" w:type="dxa"/>
            <w:vAlign w:val="bottom"/>
            <w:tcBorders>
              <w:right w:val="single" w:sz="8" w:color="auto"/>
            </w:tcBorders>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60" w:type="dxa"/>
            <w:vAlign w:val="bottom"/>
          </w:tcPr>
          <w:p>
            <w:pPr>
              <w:spacing w:after="0"/>
              <w:rPr>
                <w:sz w:val="19"/>
                <w:szCs w:val="19"/>
                <w:color w:val="auto"/>
              </w:rPr>
            </w:pPr>
          </w:p>
        </w:tc>
        <w:tc>
          <w:tcPr>
            <w:tcW w:w="4800" w:type="dxa"/>
            <w:vAlign w:val="bottom"/>
            <w:vMerge w:val="continue"/>
          </w:tcPr>
          <w:p>
            <w:pPr>
              <w:spacing w:after="0"/>
              <w:rPr>
                <w:sz w:val="19"/>
                <w:szCs w:val="19"/>
                <w:color w:val="auto"/>
              </w:rPr>
            </w:pPr>
          </w:p>
        </w:tc>
        <w:tc>
          <w:tcPr>
            <w:tcW w:w="4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920" w:type="dxa"/>
            <w:vAlign w:val="bottom"/>
            <w:gridSpan w:val="2"/>
          </w:tcPr>
          <w:p>
            <w:pPr>
              <w:jc w:val="right"/>
              <w:ind w:right="580"/>
              <w:spacing w:after="0"/>
              <w:rPr>
                <w:sz w:val="20"/>
                <w:szCs w:val="20"/>
                <w:color w:val="auto"/>
              </w:rPr>
            </w:pPr>
            <w:r>
              <w:rPr>
                <w:rFonts w:ascii="Arial" w:cs="Arial" w:eastAsia="Arial" w:hAnsi="Arial"/>
                <w:sz w:val="18"/>
                <w:szCs w:val="18"/>
                <w:color w:val="auto"/>
                <w:w w:val="91"/>
              </w:rPr>
              <w:t>88.9</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78.3</w:t>
            </w:r>
          </w:p>
        </w:tc>
        <w:tc>
          <w:tcPr>
            <w:tcW w:w="600" w:type="dxa"/>
            <w:vAlign w:val="bottom"/>
          </w:tcPr>
          <w:p>
            <w:pPr>
              <w:spacing w:after="0"/>
              <w:rPr>
                <w:sz w:val="19"/>
                <w:szCs w:val="19"/>
                <w:color w:val="auto"/>
              </w:rPr>
            </w:pPr>
          </w:p>
        </w:tc>
        <w:tc>
          <w:tcPr>
            <w:tcW w:w="960" w:type="dxa"/>
            <w:vAlign w:val="bottom"/>
            <w:gridSpan w:val="2"/>
          </w:tcPr>
          <w:p>
            <w:pPr>
              <w:jc w:val="right"/>
              <w:ind w:right="492"/>
              <w:spacing w:after="0"/>
              <w:rPr>
                <w:sz w:val="20"/>
                <w:szCs w:val="20"/>
                <w:color w:val="auto"/>
              </w:rPr>
            </w:pPr>
            <w:r>
              <w:rPr>
                <w:rFonts w:ascii="Arial" w:cs="Arial" w:eastAsia="Arial" w:hAnsi="Arial"/>
                <w:sz w:val="18"/>
                <w:szCs w:val="18"/>
                <w:color w:val="auto"/>
              </w:rPr>
              <w:t>88.6</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79.8</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460" w:type="dxa"/>
            <w:vAlign w:val="bottom"/>
            <w:vMerge w:val="restart"/>
          </w:tcPr>
          <w:p>
            <w:pPr>
              <w:spacing w:after="0"/>
              <w:rPr>
                <w:sz w:val="2"/>
                <w:szCs w:val="2"/>
                <w:color w:val="auto"/>
              </w:rPr>
            </w:pPr>
          </w:p>
        </w:tc>
        <w:tc>
          <w:tcPr>
            <w:tcW w:w="4800" w:type="dxa"/>
            <w:vAlign w:val="bottom"/>
          </w:tcPr>
          <w:p>
            <w:pPr>
              <w:spacing w:after="0"/>
              <w:rPr>
                <w:sz w:val="2"/>
                <w:szCs w:val="2"/>
                <w:color w:val="auto"/>
              </w:rPr>
            </w:pPr>
          </w:p>
        </w:tc>
        <w:tc>
          <w:tcPr>
            <w:tcW w:w="420" w:type="dxa"/>
            <w:vAlign w:val="bottom"/>
          </w:tcPr>
          <w:p>
            <w:pPr>
              <w:spacing w:after="0"/>
              <w:rPr>
                <w:sz w:val="2"/>
                <w:szCs w:val="2"/>
                <w:color w:val="auto"/>
              </w:rPr>
            </w:pPr>
          </w:p>
        </w:tc>
        <w:tc>
          <w:tcPr>
            <w:tcW w:w="820" w:type="dxa"/>
            <w:vAlign w:val="bottom"/>
          </w:tcPr>
          <w:p>
            <w:pPr>
              <w:spacing w:after="0"/>
              <w:rPr>
                <w:sz w:val="2"/>
                <w:szCs w:val="2"/>
                <w:color w:val="auto"/>
              </w:rPr>
            </w:pPr>
          </w:p>
        </w:tc>
        <w:tc>
          <w:tcPr>
            <w:tcW w:w="7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580" w:type="dxa"/>
            <w:vAlign w:val="bottom"/>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600" w:type="dxa"/>
            <w:vAlign w:val="bottom"/>
            <w:tcBorders>
              <w:right w:val="single" w:sz="8" w:color="auto"/>
            </w:tcBorders>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5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4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w w:val="91"/>
              </w:rPr>
              <w:t>11.1</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21.7</w:t>
            </w:r>
          </w:p>
        </w:tc>
        <w:tc>
          <w:tcPr>
            <w:tcW w:w="60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shd w:val="clear" w:color="auto" w:fill="CCEEFF"/>
          </w:tcPr>
          <w:p>
            <w:pPr>
              <w:jc w:val="right"/>
              <w:ind w:right="492"/>
              <w:spacing w:after="0"/>
              <w:rPr>
                <w:sz w:val="20"/>
                <w:szCs w:val="20"/>
                <w:color w:val="auto"/>
              </w:rPr>
            </w:pPr>
            <w:r>
              <w:rPr>
                <w:rFonts w:ascii="Arial" w:cs="Arial" w:eastAsia="Arial" w:hAnsi="Arial"/>
                <w:sz w:val="18"/>
                <w:szCs w:val="18"/>
                <w:color w:val="auto"/>
              </w:rPr>
              <w:t>11.4</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20.2</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80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4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580"/>
              <w:spacing w:after="0"/>
              <w:rPr>
                <w:sz w:val="20"/>
                <w:szCs w:val="20"/>
                <w:color w:val="auto"/>
              </w:rPr>
            </w:pPr>
            <w:r>
              <w:rPr>
                <w:rFonts w:ascii="Arial" w:cs="Arial" w:eastAsia="Arial" w:hAnsi="Arial"/>
                <w:sz w:val="18"/>
                <w:szCs w:val="18"/>
                <w:color w:val="auto"/>
              </w:rPr>
              <w:t>0.7</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0.2</w:t>
            </w:r>
          </w:p>
        </w:tc>
        <w:tc>
          <w:tcPr>
            <w:tcW w:w="600" w:type="dxa"/>
            <w:vAlign w:val="bottom"/>
          </w:tcPr>
          <w:p>
            <w:pPr>
              <w:spacing w:after="0"/>
              <w:rPr>
                <w:sz w:val="18"/>
                <w:szCs w:val="18"/>
                <w:color w:val="auto"/>
              </w:rPr>
            </w:pPr>
          </w:p>
        </w:tc>
        <w:tc>
          <w:tcPr>
            <w:tcW w:w="960" w:type="dxa"/>
            <w:vAlign w:val="bottom"/>
            <w:gridSpan w:val="2"/>
          </w:tcPr>
          <w:p>
            <w:pPr>
              <w:jc w:val="right"/>
              <w:ind w:right="492"/>
              <w:spacing w:after="0"/>
              <w:rPr>
                <w:sz w:val="20"/>
                <w:szCs w:val="20"/>
                <w:color w:val="auto"/>
              </w:rPr>
            </w:pPr>
            <w:r>
              <w:rPr>
                <w:rFonts w:ascii="Arial" w:cs="Arial" w:eastAsia="Arial" w:hAnsi="Arial"/>
                <w:sz w:val="18"/>
                <w:szCs w:val="18"/>
                <w:color w:val="auto"/>
              </w:rPr>
              <w:t>0.4</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0.1</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vMerge w:val="restart"/>
          </w:tcPr>
          <w:p>
            <w:pPr>
              <w:spacing w:after="0"/>
              <w:rPr>
                <w:sz w:val="2"/>
                <w:szCs w:val="2"/>
                <w:color w:val="auto"/>
              </w:rPr>
            </w:pPr>
          </w:p>
        </w:tc>
        <w:tc>
          <w:tcPr>
            <w:tcW w:w="4800" w:type="dxa"/>
            <w:vAlign w:val="bottom"/>
          </w:tcPr>
          <w:p>
            <w:pPr>
              <w:spacing w:after="0"/>
              <w:rPr>
                <w:sz w:val="2"/>
                <w:szCs w:val="2"/>
                <w:color w:val="auto"/>
              </w:rPr>
            </w:pPr>
          </w:p>
        </w:tc>
        <w:tc>
          <w:tcPr>
            <w:tcW w:w="420" w:type="dxa"/>
            <w:vAlign w:val="bottom"/>
          </w:tcPr>
          <w:p>
            <w:pPr>
              <w:spacing w:after="0"/>
              <w:rPr>
                <w:sz w:val="2"/>
                <w:szCs w:val="2"/>
                <w:color w:val="auto"/>
              </w:rPr>
            </w:pPr>
          </w:p>
        </w:tc>
        <w:tc>
          <w:tcPr>
            <w:tcW w:w="820" w:type="dxa"/>
            <w:vAlign w:val="bottom"/>
          </w:tcPr>
          <w:p>
            <w:pPr>
              <w:spacing w:after="0"/>
              <w:rPr>
                <w:sz w:val="2"/>
                <w:szCs w:val="2"/>
                <w:color w:val="auto"/>
              </w:rPr>
            </w:pPr>
          </w:p>
        </w:tc>
        <w:tc>
          <w:tcPr>
            <w:tcW w:w="7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580" w:type="dxa"/>
            <w:vAlign w:val="bottom"/>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600" w:type="dxa"/>
            <w:vAlign w:val="bottom"/>
            <w:tcBorders>
              <w:right w:val="single" w:sz="8" w:color="auto"/>
            </w:tcBorders>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5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4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w w:val="91"/>
              </w:rPr>
              <w:t>11.8</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21.9</w:t>
            </w:r>
          </w:p>
        </w:tc>
        <w:tc>
          <w:tcPr>
            <w:tcW w:w="60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shd w:val="clear" w:color="auto" w:fill="CCEEFF"/>
          </w:tcPr>
          <w:p>
            <w:pPr>
              <w:jc w:val="right"/>
              <w:ind w:right="492"/>
              <w:spacing w:after="0"/>
              <w:rPr>
                <w:sz w:val="20"/>
                <w:szCs w:val="20"/>
                <w:color w:val="auto"/>
              </w:rPr>
            </w:pPr>
            <w:r>
              <w:rPr>
                <w:rFonts w:ascii="Arial" w:cs="Arial" w:eastAsia="Arial" w:hAnsi="Arial"/>
                <w:sz w:val="18"/>
                <w:szCs w:val="18"/>
                <w:color w:val="auto"/>
              </w:rPr>
              <w:t>11.8</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20.3</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80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4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580"/>
              <w:spacing w:after="0"/>
              <w:rPr>
                <w:sz w:val="20"/>
                <w:szCs w:val="20"/>
                <w:color w:val="auto"/>
              </w:rPr>
            </w:pPr>
            <w:r>
              <w:rPr>
                <w:rFonts w:ascii="Arial" w:cs="Arial" w:eastAsia="Arial" w:hAnsi="Arial"/>
                <w:sz w:val="18"/>
                <w:szCs w:val="18"/>
                <w:color w:val="auto"/>
              </w:rPr>
              <w:t>0.4</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0.5</w:t>
            </w:r>
          </w:p>
        </w:tc>
        <w:tc>
          <w:tcPr>
            <w:tcW w:w="600" w:type="dxa"/>
            <w:vAlign w:val="bottom"/>
          </w:tcPr>
          <w:p>
            <w:pPr>
              <w:spacing w:after="0"/>
              <w:rPr>
                <w:sz w:val="18"/>
                <w:szCs w:val="18"/>
                <w:color w:val="auto"/>
              </w:rPr>
            </w:pPr>
          </w:p>
        </w:tc>
        <w:tc>
          <w:tcPr>
            <w:tcW w:w="960" w:type="dxa"/>
            <w:vAlign w:val="bottom"/>
            <w:gridSpan w:val="2"/>
          </w:tcPr>
          <w:p>
            <w:pPr>
              <w:jc w:val="right"/>
              <w:ind w:right="492"/>
              <w:spacing w:after="0"/>
              <w:rPr>
                <w:sz w:val="20"/>
                <w:szCs w:val="20"/>
                <w:color w:val="auto"/>
              </w:rPr>
            </w:pPr>
            <w:r>
              <w:rPr>
                <w:rFonts w:ascii="Arial" w:cs="Arial" w:eastAsia="Arial" w:hAnsi="Arial"/>
                <w:sz w:val="18"/>
                <w:szCs w:val="18"/>
                <w:color w:val="auto"/>
              </w:rPr>
              <w:t>0.2</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0.3</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vMerge w:val="restart"/>
          </w:tcPr>
          <w:p>
            <w:pPr>
              <w:spacing w:after="0"/>
              <w:rPr>
                <w:sz w:val="2"/>
                <w:szCs w:val="2"/>
                <w:color w:val="auto"/>
              </w:rPr>
            </w:pPr>
          </w:p>
        </w:tc>
        <w:tc>
          <w:tcPr>
            <w:tcW w:w="4800" w:type="dxa"/>
            <w:vAlign w:val="bottom"/>
          </w:tcPr>
          <w:p>
            <w:pPr>
              <w:spacing w:after="0"/>
              <w:rPr>
                <w:sz w:val="2"/>
                <w:szCs w:val="2"/>
                <w:color w:val="auto"/>
              </w:rPr>
            </w:pPr>
          </w:p>
        </w:tc>
        <w:tc>
          <w:tcPr>
            <w:tcW w:w="420" w:type="dxa"/>
            <w:vAlign w:val="bottom"/>
          </w:tcPr>
          <w:p>
            <w:pPr>
              <w:spacing w:after="0"/>
              <w:rPr>
                <w:sz w:val="2"/>
                <w:szCs w:val="2"/>
                <w:color w:val="auto"/>
              </w:rPr>
            </w:pPr>
          </w:p>
        </w:tc>
        <w:tc>
          <w:tcPr>
            <w:tcW w:w="820" w:type="dxa"/>
            <w:vAlign w:val="bottom"/>
          </w:tcPr>
          <w:p>
            <w:pPr>
              <w:spacing w:after="0"/>
              <w:rPr>
                <w:sz w:val="2"/>
                <w:szCs w:val="2"/>
                <w:color w:val="auto"/>
              </w:rPr>
            </w:pPr>
          </w:p>
        </w:tc>
        <w:tc>
          <w:tcPr>
            <w:tcW w:w="7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580" w:type="dxa"/>
            <w:vAlign w:val="bottom"/>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600" w:type="dxa"/>
            <w:vAlign w:val="bottom"/>
            <w:tcBorders>
              <w:right w:val="single" w:sz="8" w:color="auto"/>
            </w:tcBorders>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5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4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93"/>
              </w:rPr>
              <w:t>11.4%</w:t>
            </w:r>
          </w:p>
        </w:tc>
        <w:tc>
          <w:tcPr>
            <w:tcW w:w="1100" w:type="dxa"/>
            <w:vAlign w:val="bottom"/>
            <w:tcBorders>
              <w:right w:val="single" w:sz="8" w:color="CCEEFF"/>
            </w:tcBorders>
            <w:gridSpan w:val="3"/>
            <w:shd w:val="clear" w:color="auto" w:fill="CCEEFF"/>
          </w:tcPr>
          <w:p>
            <w:pPr>
              <w:jc w:val="right"/>
              <w:ind w:right="392"/>
              <w:spacing w:after="0"/>
              <w:rPr>
                <w:sz w:val="20"/>
                <w:szCs w:val="20"/>
                <w:color w:val="auto"/>
              </w:rPr>
            </w:pPr>
            <w:r>
              <w:rPr>
                <w:rFonts w:ascii="Arial" w:cs="Arial" w:eastAsia="Arial" w:hAnsi="Arial"/>
                <w:sz w:val="18"/>
                <w:szCs w:val="18"/>
                <w:color w:val="auto"/>
              </w:rPr>
              <w:t>21.4%</w:t>
            </w:r>
          </w:p>
        </w:tc>
        <w:tc>
          <w:tcPr>
            <w:tcW w:w="960" w:type="dxa"/>
            <w:vAlign w:val="bottom"/>
            <w:gridSpan w:val="2"/>
            <w:shd w:val="clear" w:color="auto" w:fill="CCEEFF"/>
          </w:tcPr>
          <w:p>
            <w:pPr>
              <w:jc w:val="right"/>
              <w:ind w:right="332"/>
              <w:spacing w:after="0"/>
              <w:rPr>
                <w:sz w:val="20"/>
                <w:szCs w:val="20"/>
                <w:color w:val="auto"/>
              </w:rPr>
            </w:pPr>
            <w:r>
              <w:rPr>
                <w:rFonts w:ascii="Arial" w:cs="Arial" w:eastAsia="Arial" w:hAnsi="Arial"/>
                <w:sz w:val="18"/>
                <w:szCs w:val="18"/>
                <w:color w:val="auto"/>
              </w:rPr>
              <w:t>11.6%</w:t>
            </w: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20.0%</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26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Three and Six Months Ended July 28, 2012 and July 30, 2011</w:t>
            </w:r>
          </w:p>
        </w:tc>
        <w:tc>
          <w:tcPr>
            <w:tcW w:w="4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260" w:type="dxa"/>
            <w:vAlign w:val="bottom"/>
            <w:gridSpan w:val="2"/>
            <w:vMerge w:val="continue"/>
          </w:tcPr>
          <w:p>
            <w:pPr>
              <w:spacing w:after="0"/>
              <w:rPr>
                <w:sz w:val="24"/>
                <w:szCs w:val="24"/>
                <w:color w:val="auto"/>
              </w:rPr>
            </w:pPr>
          </w:p>
        </w:tc>
        <w:tc>
          <w:tcPr>
            <w:tcW w:w="4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5260" w:type="dxa"/>
            <w:vAlign w:val="bottom"/>
            <w:gridSpan w:val="2"/>
          </w:tcPr>
          <w:p>
            <w:pPr>
              <w:ind w:left="460"/>
              <w:spacing w:after="0"/>
              <w:rPr>
                <w:sz w:val="20"/>
                <w:szCs w:val="20"/>
                <w:color w:val="auto"/>
              </w:rPr>
            </w:pPr>
            <w:r>
              <w:rPr>
                <w:rFonts w:ascii="Arial" w:cs="Arial" w:eastAsia="Arial" w:hAnsi="Arial"/>
                <w:sz w:val="18"/>
                <w:szCs w:val="18"/>
                <w:i w:val="1"/>
                <w:iCs w:val="1"/>
                <w:color w:val="auto"/>
              </w:rPr>
              <w:t>Net Revenue</w:t>
            </w:r>
          </w:p>
        </w:tc>
        <w:tc>
          <w:tcPr>
            <w:tcW w:w="4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460" w:type="dxa"/>
            <w:vAlign w:val="bottom"/>
          </w:tcPr>
          <w:p>
            <w:pPr>
              <w:spacing w:after="0"/>
              <w:rPr>
                <w:sz w:val="24"/>
                <w:szCs w:val="24"/>
                <w:color w:val="auto"/>
              </w:rPr>
            </w:pPr>
          </w:p>
        </w:tc>
        <w:tc>
          <w:tcPr>
            <w:tcW w:w="48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40" w:type="dxa"/>
            <w:vAlign w:val="bottom"/>
            <w:tcBorders>
              <w:bottom w:val="single" w:sz="8" w:color="auto"/>
            </w:tcBorders>
            <w:gridSpan w:val="3"/>
          </w:tcPr>
          <w:p>
            <w:pPr>
              <w:ind w:left="220"/>
              <w:spacing w:after="0"/>
              <w:rPr>
                <w:sz w:val="20"/>
                <w:szCs w:val="20"/>
                <w:color w:val="auto"/>
              </w:rPr>
            </w:pPr>
            <w:r>
              <w:rPr>
                <w:rFonts w:ascii="Arial" w:cs="Arial" w:eastAsia="Arial" w:hAnsi="Arial"/>
                <w:sz w:val="14"/>
                <w:szCs w:val="14"/>
                <w:b w:val="1"/>
                <w:bCs w:val="1"/>
                <w:color w:val="auto"/>
              </w:rPr>
              <w:t>Three Months Ended</w:t>
            </w:r>
          </w:p>
        </w:tc>
        <w:tc>
          <w:tcPr>
            <w:tcW w:w="920" w:type="dxa"/>
            <w:vAlign w:val="bottom"/>
            <w:gridSpan w:val="2"/>
            <w:vMerge w:val="restart"/>
          </w:tcPr>
          <w:p>
            <w:pPr>
              <w:jc w:val="right"/>
              <w:ind w:right="320"/>
              <w:spacing w:after="0"/>
              <w:rPr>
                <w:sz w:val="20"/>
                <w:szCs w:val="20"/>
                <w:color w:val="auto"/>
              </w:rPr>
            </w:pPr>
            <w:r>
              <w:rPr>
                <w:rFonts w:ascii="Arial" w:cs="Arial" w:eastAsia="Arial" w:hAnsi="Arial"/>
                <w:sz w:val="14"/>
                <w:szCs w:val="14"/>
                <w:b w:val="1"/>
                <w:bCs w:val="1"/>
                <w:color w:val="auto"/>
              </w:rPr>
              <w:t>%</w:t>
            </w:r>
          </w:p>
        </w:tc>
        <w:tc>
          <w:tcPr>
            <w:tcW w:w="280" w:type="dxa"/>
            <w:vAlign w:val="bottom"/>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560" w:type="dxa"/>
            <w:vAlign w:val="bottom"/>
            <w:tcBorders>
              <w:bottom w:val="single" w:sz="8" w:color="auto"/>
            </w:tcBorders>
            <w:gridSpan w:val="3"/>
          </w:tcPr>
          <w:p>
            <w:pPr>
              <w:jc w:val="right"/>
              <w:ind w:right="232"/>
              <w:spacing w:after="0"/>
              <w:rPr>
                <w:sz w:val="20"/>
                <w:szCs w:val="20"/>
                <w:color w:val="auto"/>
              </w:rPr>
            </w:pPr>
            <w:r>
              <w:rPr>
                <w:rFonts w:ascii="Arial" w:cs="Arial" w:eastAsia="Arial" w:hAnsi="Arial"/>
                <w:sz w:val="14"/>
                <w:szCs w:val="14"/>
                <w:b w:val="1"/>
                <w:bCs w:val="1"/>
                <w:color w:val="auto"/>
              </w:rPr>
              <w:t>Six Months Ended</w:t>
            </w:r>
          </w:p>
        </w:tc>
        <w:tc>
          <w:tcPr>
            <w:tcW w:w="120" w:type="dxa"/>
            <w:vAlign w:val="bottom"/>
            <w:tcBorders>
              <w:bottom w:val="single" w:sz="8" w:color="auto"/>
            </w:tcBorders>
          </w:tcPr>
          <w:p>
            <w:pPr>
              <w:spacing w:after="0"/>
              <w:rPr>
                <w:sz w:val="24"/>
                <w:szCs w:val="24"/>
                <w:color w:val="auto"/>
              </w:rPr>
            </w:pPr>
          </w:p>
        </w:tc>
        <w:tc>
          <w:tcPr>
            <w:tcW w:w="340" w:type="dxa"/>
            <w:vAlign w:val="bottom"/>
          </w:tcPr>
          <w:p>
            <w:pPr>
              <w:spacing w:after="0"/>
              <w:rPr>
                <w:sz w:val="24"/>
                <w:szCs w:val="24"/>
                <w:color w:val="auto"/>
              </w:rPr>
            </w:pPr>
          </w:p>
        </w:tc>
        <w:tc>
          <w:tcPr>
            <w:tcW w:w="40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48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820" w:type="dxa"/>
            <w:vAlign w:val="bottom"/>
          </w:tcPr>
          <w:p>
            <w:pPr>
              <w:ind w:left="120"/>
              <w:spacing w:after="0" w:line="129" w:lineRule="exact"/>
              <w:rPr>
                <w:sz w:val="20"/>
                <w:szCs w:val="20"/>
                <w:color w:val="auto"/>
              </w:rPr>
            </w:pPr>
            <w:r>
              <w:rPr>
                <w:rFonts w:ascii="Arial" w:cs="Arial" w:eastAsia="Arial" w:hAnsi="Arial"/>
                <w:sz w:val="14"/>
                <w:szCs w:val="14"/>
                <w:b w:val="1"/>
                <w:bCs w:val="1"/>
                <w:color w:val="auto"/>
              </w:rPr>
              <w:t>July 28,</w:t>
            </w:r>
          </w:p>
        </w:tc>
        <w:tc>
          <w:tcPr>
            <w:tcW w:w="820" w:type="dxa"/>
            <w:vAlign w:val="bottom"/>
            <w:gridSpan w:val="2"/>
          </w:tcPr>
          <w:p>
            <w:pPr>
              <w:jc w:val="center"/>
              <w:ind w:left="86"/>
              <w:spacing w:after="0" w:line="129" w:lineRule="exact"/>
              <w:rPr>
                <w:sz w:val="20"/>
                <w:szCs w:val="20"/>
                <w:color w:val="auto"/>
              </w:rPr>
            </w:pPr>
            <w:r>
              <w:rPr>
                <w:rFonts w:ascii="Arial" w:cs="Arial" w:eastAsia="Arial" w:hAnsi="Arial"/>
                <w:sz w:val="14"/>
                <w:szCs w:val="14"/>
                <w:b w:val="1"/>
                <w:bCs w:val="1"/>
                <w:color w:val="auto"/>
                <w:w w:val="89"/>
              </w:rPr>
              <w:t>July 30,</w:t>
            </w:r>
          </w:p>
        </w:tc>
        <w:tc>
          <w:tcPr>
            <w:tcW w:w="920" w:type="dxa"/>
            <w:vAlign w:val="bottom"/>
            <w:gridSpan w:val="2"/>
            <w:vMerge w:val="continue"/>
          </w:tcPr>
          <w:p>
            <w:pPr>
              <w:spacing w:after="0"/>
              <w:rPr>
                <w:sz w:val="11"/>
                <w:szCs w:val="11"/>
                <w:color w:val="auto"/>
              </w:rPr>
            </w:pPr>
          </w:p>
        </w:tc>
        <w:tc>
          <w:tcPr>
            <w:tcW w:w="280" w:type="dxa"/>
            <w:vAlign w:val="bottom"/>
          </w:tcPr>
          <w:p>
            <w:pPr>
              <w:spacing w:after="0"/>
              <w:rPr>
                <w:sz w:val="11"/>
                <w:szCs w:val="11"/>
                <w:color w:val="auto"/>
              </w:rPr>
            </w:pPr>
          </w:p>
        </w:tc>
        <w:tc>
          <w:tcPr>
            <w:tcW w:w="820" w:type="dxa"/>
            <w:vAlign w:val="bottom"/>
            <w:gridSpan w:val="2"/>
          </w:tcPr>
          <w:p>
            <w:pPr>
              <w:jc w:val="right"/>
              <w:ind w:right="112"/>
              <w:spacing w:after="0" w:line="129" w:lineRule="exact"/>
              <w:rPr>
                <w:sz w:val="20"/>
                <w:szCs w:val="20"/>
                <w:color w:val="auto"/>
              </w:rPr>
            </w:pPr>
            <w:r>
              <w:rPr>
                <w:rFonts w:ascii="Arial" w:cs="Arial" w:eastAsia="Arial" w:hAnsi="Arial"/>
                <w:sz w:val="14"/>
                <w:szCs w:val="14"/>
                <w:b w:val="1"/>
                <w:bCs w:val="1"/>
                <w:color w:val="auto"/>
              </w:rPr>
              <w:t>July 28,</w:t>
            </w:r>
          </w:p>
        </w:tc>
        <w:tc>
          <w:tcPr>
            <w:tcW w:w="400" w:type="dxa"/>
            <w:vAlign w:val="bottom"/>
          </w:tcPr>
          <w:p>
            <w:pPr>
              <w:spacing w:after="0"/>
              <w:rPr>
                <w:sz w:val="11"/>
                <w:szCs w:val="11"/>
                <w:color w:val="auto"/>
              </w:rPr>
            </w:pPr>
          </w:p>
        </w:tc>
        <w:tc>
          <w:tcPr>
            <w:tcW w:w="56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3"/>
              </w:rPr>
              <w:t>July 30,</w:t>
            </w:r>
          </w:p>
        </w:tc>
        <w:tc>
          <w:tcPr>
            <w:tcW w:w="1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0" w:type="dxa"/>
            <w:vAlign w:val="bottom"/>
            <w:gridSpan w:val="2"/>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4800" w:type="dxa"/>
            <w:vAlign w:val="bottom"/>
          </w:tcPr>
          <w:p>
            <w:pPr>
              <w:spacing w:after="0"/>
              <w:rPr>
                <w:sz w:val="14"/>
                <w:szCs w:val="14"/>
                <w:color w:val="auto"/>
              </w:rPr>
            </w:pPr>
          </w:p>
        </w:tc>
        <w:tc>
          <w:tcPr>
            <w:tcW w:w="1240" w:type="dxa"/>
            <w:vAlign w:val="bottom"/>
            <w:gridSpan w:val="2"/>
          </w:tcPr>
          <w:p>
            <w:pPr>
              <w:jc w:val="right"/>
              <w:ind w:right="272"/>
              <w:spacing w:after="0"/>
              <w:rPr>
                <w:sz w:val="20"/>
                <w:szCs w:val="20"/>
                <w:color w:val="auto"/>
              </w:rPr>
            </w:pPr>
            <w:r>
              <w:rPr>
                <w:rFonts w:ascii="Arial" w:cs="Arial" w:eastAsia="Arial" w:hAnsi="Arial"/>
                <w:sz w:val="14"/>
                <w:szCs w:val="14"/>
                <w:b w:val="1"/>
                <w:bCs w:val="1"/>
                <w:color w:val="auto"/>
              </w:rPr>
              <w:t>2012</w:t>
            </w:r>
          </w:p>
        </w:tc>
        <w:tc>
          <w:tcPr>
            <w:tcW w:w="700" w:type="dxa"/>
            <w:vAlign w:val="bottom"/>
          </w:tcPr>
          <w:p>
            <w:pPr>
              <w:jc w:val="center"/>
              <w:ind w:left="206"/>
              <w:spacing w:after="0"/>
              <w:rPr>
                <w:sz w:val="20"/>
                <w:szCs w:val="20"/>
                <w:color w:val="auto"/>
              </w:rPr>
            </w:pPr>
            <w:r>
              <w:rPr>
                <w:rFonts w:ascii="Arial" w:cs="Arial" w:eastAsia="Arial" w:hAnsi="Arial"/>
                <w:sz w:val="14"/>
                <w:szCs w:val="14"/>
                <w:b w:val="1"/>
                <w:bCs w:val="1"/>
                <w:color w:val="auto"/>
                <w:w w:val="83"/>
              </w:rPr>
              <w:t>2011</w:t>
            </w:r>
          </w:p>
        </w:tc>
        <w:tc>
          <w:tcPr>
            <w:tcW w:w="120" w:type="dxa"/>
            <w:vAlign w:val="bottom"/>
          </w:tcPr>
          <w:p>
            <w:pPr>
              <w:spacing w:after="0"/>
              <w:rPr>
                <w:sz w:val="14"/>
                <w:szCs w:val="14"/>
                <w:color w:val="auto"/>
              </w:rPr>
            </w:pPr>
          </w:p>
        </w:tc>
        <w:tc>
          <w:tcPr>
            <w:tcW w:w="92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rPr>
              <w:t>Change</w:t>
            </w:r>
          </w:p>
        </w:tc>
        <w:tc>
          <w:tcPr>
            <w:tcW w:w="1100" w:type="dxa"/>
            <w:vAlign w:val="bottom"/>
            <w:gridSpan w:val="3"/>
          </w:tcPr>
          <w:p>
            <w:pPr>
              <w:jc w:val="right"/>
              <w:ind w:right="212"/>
              <w:spacing w:after="0"/>
              <w:rPr>
                <w:sz w:val="20"/>
                <w:szCs w:val="20"/>
                <w:color w:val="auto"/>
              </w:rPr>
            </w:pPr>
            <w:r>
              <w:rPr>
                <w:rFonts w:ascii="Arial" w:cs="Arial" w:eastAsia="Arial" w:hAnsi="Arial"/>
                <w:sz w:val="14"/>
                <w:szCs w:val="14"/>
                <w:b w:val="1"/>
                <w:bCs w:val="1"/>
                <w:color w:val="auto"/>
              </w:rPr>
              <w:t>2012</w:t>
            </w:r>
          </w:p>
        </w:tc>
        <w:tc>
          <w:tcPr>
            <w:tcW w:w="96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2011</w:t>
            </w:r>
          </w:p>
        </w:tc>
        <w:tc>
          <w:tcPr>
            <w:tcW w:w="120" w:type="dxa"/>
            <w:vAlign w:val="bottom"/>
          </w:tcPr>
          <w:p>
            <w:pPr>
              <w:spacing w:after="0"/>
              <w:rPr>
                <w:sz w:val="14"/>
                <w:szCs w:val="14"/>
                <w:color w:val="auto"/>
              </w:rPr>
            </w:pPr>
          </w:p>
        </w:tc>
        <w:tc>
          <w:tcPr>
            <w:tcW w:w="1000" w:type="dxa"/>
            <w:vAlign w:val="bottom"/>
            <w:gridSpan w:val="4"/>
          </w:tcPr>
          <w:p>
            <w:pPr>
              <w:ind w:left="30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460" w:type="dxa"/>
            <w:vAlign w:val="bottom"/>
          </w:tcPr>
          <w:p>
            <w:pPr>
              <w:spacing w:after="0"/>
              <w:rPr>
                <w:sz w:val="12"/>
                <w:szCs w:val="12"/>
                <w:color w:val="auto"/>
              </w:rPr>
            </w:pPr>
          </w:p>
        </w:tc>
        <w:tc>
          <w:tcPr>
            <w:tcW w:w="480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2980" w:type="dxa"/>
            <w:vAlign w:val="bottom"/>
            <w:tcBorders>
              <w:top w:val="single" w:sz="8" w:color="auto"/>
            </w:tcBorders>
            <w:gridSpan w:val="7"/>
          </w:tcPr>
          <w:p>
            <w:pPr>
              <w:jc w:val="right"/>
              <w:ind w:right="852"/>
              <w:spacing w:after="0" w:line="142" w:lineRule="exact"/>
              <w:rPr>
                <w:sz w:val="20"/>
                <w:szCs w:val="20"/>
                <w:color w:val="auto"/>
              </w:rPr>
            </w:pPr>
            <w:r>
              <w:rPr>
                <w:rFonts w:ascii="Arial" w:cs="Arial" w:eastAsia="Arial" w:hAnsi="Arial"/>
                <w:sz w:val="14"/>
                <w:szCs w:val="14"/>
                <w:b w:val="1"/>
                <w:bCs w:val="1"/>
                <w:color w:val="auto"/>
                <w:w w:val="89"/>
              </w:rPr>
              <w:t>(in thousands, except percentage)</w:t>
            </w:r>
          </w:p>
        </w:tc>
        <w:tc>
          <w:tcPr>
            <w:tcW w:w="120" w:type="dxa"/>
            <w:vAlign w:val="bottom"/>
            <w:tcBorders>
              <w:top w:val="single" w:sz="8" w:color="auto"/>
            </w:tcBorders>
          </w:tcPr>
          <w:p>
            <w:pPr>
              <w:spacing w:after="0"/>
              <w:rPr>
                <w:sz w:val="12"/>
                <w:szCs w:val="12"/>
                <w:color w:val="auto"/>
              </w:rPr>
            </w:pPr>
          </w:p>
        </w:tc>
        <w:tc>
          <w:tcPr>
            <w:tcW w:w="34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2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1240" w:type="dxa"/>
            <w:vAlign w:val="bottom"/>
            <w:gridSpan w:val="2"/>
            <w:shd w:val="clear" w:color="auto" w:fill="CCEEFF"/>
          </w:tcPr>
          <w:p>
            <w:pPr>
              <w:jc w:val="right"/>
              <w:ind w:right="72"/>
              <w:spacing w:after="0"/>
              <w:rPr>
                <w:sz w:val="20"/>
                <w:szCs w:val="20"/>
                <w:color w:val="auto"/>
              </w:rPr>
            </w:pPr>
            <w:r>
              <w:rPr>
                <w:rFonts w:ascii="Arial" w:cs="Arial" w:eastAsia="Arial" w:hAnsi="Arial"/>
                <w:sz w:val="18"/>
                <w:szCs w:val="18"/>
                <w:color w:val="auto"/>
              </w:rPr>
              <w:t>$816,104</w:t>
            </w:r>
          </w:p>
        </w:tc>
        <w:tc>
          <w:tcPr>
            <w:tcW w:w="820" w:type="dxa"/>
            <w:vAlign w:val="bottom"/>
            <w:gridSpan w:val="2"/>
            <w:shd w:val="clear" w:color="auto" w:fill="CCEEFF"/>
          </w:tcPr>
          <w:p>
            <w:pPr>
              <w:jc w:val="center"/>
              <w:ind w:left="86"/>
              <w:spacing w:after="0"/>
              <w:rPr>
                <w:sz w:val="20"/>
                <w:szCs w:val="20"/>
                <w:color w:val="auto"/>
              </w:rPr>
            </w:pPr>
            <w:r>
              <w:rPr>
                <w:rFonts w:ascii="Arial" w:cs="Arial" w:eastAsia="Arial" w:hAnsi="Arial"/>
                <w:sz w:val="18"/>
                <w:szCs w:val="18"/>
                <w:color w:val="auto"/>
                <w:w w:val="87"/>
              </w:rPr>
              <w:t>$897,520</w:t>
            </w:r>
          </w:p>
        </w:tc>
        <w:tc>
          <w:tcPr>
            <w:tcW w:w="2020" w:type="dxa"/>
            <w:vAlign w:val="bottom"/>
            <w:tcBorders>
              <w:right w:val="single" w:sz="8" w:color="CCEEFF"/>
            </w:tcBorders>
            <w:gridSpan w:val="5"/>
            <w:shd w:val="clear" w:color="auto" w:fill="CCEEFF"/>
          </w:tcPr>
          <w:p>
            <w:pPr>
              <w:jc w:val="right"/>
              <w:spacing w:after="0"/>
              <w:rPr>
                <w:sz w:val="20"/>
                <w:szCs w:val="20"/>
                <w:color w:val="auto"/>
              </w:rPr>
            </w:pPr>
            <w:r>
              <w:rPr>
                <w:rFonts w:ascii="Arial" w:cs="Arial" w:eastAsia="Arial" w:hAnsi="Arial"/>
                <w:sz w:val="18"/>
                <w:szCs w:val="18"/>
                <w:color w:val="auto"/>
              </w:rPr>
              <w:t>(9.1)%   $1,612,455</w:t>
            </w:r>
          </w:p>
        </w:tc>
        <w:tc>
          <w:tcPr>
            <w:tcW w:w="1420" w:type="dxa"/>
            <w:vAlign w:val="bottom"/>
            <w:gridSpan w:val="4"/>
            <w:shd w:val="clear" w:color="auto" w:fill="CCEEFF"/>
          </w:tcPr>
          <w:p>
            <w:pPr>
              <w:jc w:val="right"/>
              <w:ind w:right="272"/>
              <w:spacing w:after="0"/>
              <w:rPr>
                <w:sz w:val="20"/>
                <w:szCs w:val="20"/>
                <w:color w:val="auto"/>
              </w:rPr>
            </w:pPr>
            <w:r>
              <w:rPr>
                <w:rFonts w:ascii="Arial" w:cs="Arial" w:eastAsia="Arial" w:hAnsi="Arial"/>
                <w:sz w:val="18"/>
                <w:szCs w:val="18"/>
                <w:color w:val="auto"/>
              </w:rPr>
              <w:t>$1,699,922</w:t>
            </w:r>
          </w:p>
        </w:tc>
        <w:tc>
          <w:tcPr>
            <w:tcW w:w="660" w:type="dxa"/>
            <w:vAlign w:val="bottom"/>
            <w:gridSpan w:val="3"/>
            <w:shd w:val="clear" w:color="auto" w:fill="CCEEFF"/>
          </w:tcPr>
          <w:p>
            <w:pPr>
              <w:ind w:left="120"/>
              <w:spacing w:after="0"/>
              <w:rPr>
                <w:sz w:val="20"/>
                <w:szCs w:val="20"/>
                <w:color w:val="auto"/>
              </w:rPr>
            </w:pPr>
            <w:r>
              <w:rPr>
                <w:rFonts w:ascii="Arial" w:cs="Arial" w:eastAsia="Arial" w:hAnsi="Arial"/>
                <w:sz w:val="18"/>
                <w:szCs w:val="18"/>
                <w:color w:val="auto"/>
                <w:w w:val="98"/>
              </w:rPr>
              <w:t>(5.1)%</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Net revenue for the three and six months ended July 28, 2012 was lower compared to the three and six months ended July 30, 2011 primarily due to declines in our storage end markets as volumes have not recovered to the levels before the Thailand floods that occurred in October 2011. Although drive manufacturing capacity has recovered, expected seasonal demand from the PC supply chain has not yet fully returned to pre-flood levels. Within our mobile and wireless end markets, net revenue from our leading North American handset customer declined due to the continued competitive challenges that they face, partially offset by the continuing ramp of our TD-SCDMA products for the smartphone market in China. Within our networking end market, growth in our PON products as well as network processors from our acquisition of Xelerated drove a moderate increase compared to the same period a year ago.</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We currently expect overall net revenue for the three months ending October 27, 2012 to be between $800 million and $850 million.</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net revenue. Net revenue attributable to significant end customers is presented in the following table as a percentage of net revenue:</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5720" w:type="dxa"/>
            <w:vAlign w:val="bottom"/>
          </w:tcPr>
          <w:p>
            <w:pPr>
              <w:spacing w:after="0"/>
              <w:rPr>
                <w:sz w:val="14"/>
                <w:szCs w:val="14"/>
                <w:color w:val="auto"/>
              </w:rPr>
            </w:pPr>
          </w:p>
        </w:tc>
        <w:tc>
          <w:tcPr>
            <w:tcW w:w="2380" w:type="dxa"/>
            <w:vAlign w:val="bottom"/>
            <w:gridSpan w:val="4"/>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c>
          <w:tcPr>
            <w:tcW w:w="1800" w:type="dxa"/>
            <w:vAlign w:val="bottom"/>
            <w:gridSpan w:val="4"/>
          </w:tcPr>
          <w:p>
            <w:pPr>
              <w:ind w:left="26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Customer</w:t>
            </w:r>
          </w:p>
        </w:tc>
        <w:tc>
          <w:tcPr>
            <w:tcW w:w="5720" w:type="dxa"/>
            <w:vAlign w:val="bottom"/>
            <w:vMerge w:val="restart"/>
          </w:tcPr>
          <w:p>
            <w:pPr>
              <w:spacing w:after="0"/>
              <w:rPr>
                <w:sz w:val="11"/>
                <w:szCs w:val="11"/>
                <w:color w:val="auto"/>
              </w:rPr>
            </w:pPr>
          </w:p>
        </w:tc>
        <w:tc>
          <w:tcPr>
            <w:tcW w:w="1180" w:type="dxa"/>
            <w:vAlign w:val="bottom"/>
            <w:tcBorders>
              <w:top w:val="single" w:sz="8" w:color="auto"/>
            </w:tcBorders>
            <w:gridSpan w:val="2"/>
          </w:tcPr>
          <w:p>
            <w:pPr>
              <w:jc w:val="center"/>
              <w:ind w:right="700"/>
              <w:spacing w:after="0" w:line="129" w:lineRule="exact"/>
              <w:rPr>
                <w:sz w:val="20"/>
                <w:szCs w:val="20"/>
                <w:color w:val="auto"/>
              </w:rPr>
            </w:pPr>
            <w:r>
              <w:rPr>
                <w:rFonts w:ascii="Arial" w:cs="Arial" w:eastAsia="Arial" w:hAnsi="Arial"/>
                <w:sz w:val="14"/>
                <w:szCs w:val="14"/>
                <w:b w:val="1"/>
                <w:bCs w:val="1"/>
                <w:color w:val="auto"/>
                <w:w w:val="85"/>
              </w:rPr>
              <w:t>July 28,</w:t>
            </w:r>
          </w:p>
        </w:tc>
        <w:tc>
          <w:tcPr>
            <w:tcW w:w="5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9"/>
              </w:rPr>
              <w:t>July 30,</w:t>
            </w:r>
          </w:p>
        </w:tc>
        <w:tc>
          <w:tcPr>
            <w:tcW w:w="700" w:type="dxa"/>
            <w:vAlign w:val="bottom"/>
          </w:tcPr>
          <w:p>
            <w:pPr>
              <w:spacing w:after="0"/>
              <w:rPr>
                <w:sz w:val="11"/>
                <w:szCs w:val="11"/>
                <w:color w:val="auto"/>
              </w:rPr>
            </w:pPr>
          </w:p>
        </w:tc>
        <w:tc>
          <w:tcPr>
            <w:tcW w:w="1140" w:type="dxa"/>
            <w:vAlign w:val="bottom"/>
            <w:tcBorders>
              <w:top w:val="single" w:sz="8" w:color="auto"/>
            </w:tcBorders>
            <w:gridSpan w:val="2"/>
          </w:tcPr>
          <w:p>
            <w:pPr>
              <w:jc w:val="center"/>
              <w:ind w:right="700"/>
              <w:spacing w:after="0" w:line="129" w:lineRule="exact"/>
              <w:rPr>
                <w:sz w:val="20"/>
                <w:szCs w:val="20"/>
                <w:color w:val="auto"/>
              </w:rPr>
            </w:pPr>
            <w:r>
              <w:rPr>
                <w:rFonts w:ascii="Arial" w:cs="Arial" w:eastAsia="Arial" w:hAnsi="Arial"/>
                <w:sz w:val="14"/>
                <w:szCs w:val="14"/>
                <w:b w:val="1"/>
                <w:bCs w:val="1"/>
                <w:color w:val="auto"/>
                <w:w w:val="85"/>
              </w:rPr>
              <w:t>July 28,</w:t>
            </w:r>
          </w:p>
        </w:tc>
        <w:tc>
          <w:tcPr>
            <w:tcW w:w="4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July 30,</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5720" w:type="dxa"/>
            <w:vAlign w:val="bottom"/>
            <w:vMerge w:val="continue"/>
          </w:tcPr>
          <w:p>
            <w:pPr>
              <w:spacing w:after="0"/>
              <w:rPr>
                <w:sz w:val="12"/>
                <w:szCs w:val="12"/>
                <w:color w:val="auto"/>
              </w:rPr>
            </w:pPr>
          </w:p>
        </w:tc>
        <w:tc>
          <w:tcPr>
            <w:tcW w:w="480" w:type="dxa"/>
            <w:vAlign w:val="bottom"/>
          </w:tcPr>
          <w:p>
            <w:pPr>
              <w:jc w:val="right"/>
              <w:ind w:right="24"/>
              <w:spacing w:after="0" w:line="148" w:lineRule="exact"/>
              <w:rPr>
                <w:sz w:val="20"/>
                <w:szCs w:val="20"/>
                <w:color w:val="auto"/>
              </w:rPr>
            </w:pPr>
            <w:r>
              <w:rPr>
                <w:rFonts w:ascii="Arial" w:cs="Arial" w:eastAsia="Arial" w:hAnsi="Arial"/>
                <w:sz w:val="14"/>
                <w:szCs w:val="14"/>
                <w:b w:val="1"/>
                <w:bCs w:val="1"/>
                <w:color w:val="auto"/>
              </w:rPr>
              <w:t>2012</w:t>
            </w:r>
          </w:p>
        </w:tc>
        <w:tc>
          <w:tcPr>
            <w:tcW w:w="700" w:type="dxa"/>
            <w:vAlign w:val="bottom"/>
          </w:tcPr>
          <w:p>
            <w:pPr>
              <w:spacing w:after="0"/>
              <w:rPr>
                <w:sz w:val="12"/>
                <w:szCs w:val="12"/>
                <w:color w:val="auto"/>
              </w:rPr>
            </w:pPr>
          </w:p>
        </w:tc>
        <w:tc>
          <w:tcPr>
            <w:tcW w:w="500" w:type="dxa"/>
            <w:vAlign w:val="bottom"/>
          </w:tcPr>
          <w:p>
            <w:pPr>
              <w:jc w:val="right"/>
              <w:ind w:right="42"/>
              <w:spacing w:after="0" w:line="148" w:lineRule="exact"/>
              <w:rPr>
                <w:sz w:val="20"/>
                <w:szCs w:val="20"/>
                <w:color w:val="auto"/>
              </w:rPr>
            </w:pPr>
            <w:r>
              <w:rPr>
                <w:rFonts w:ascii="Arial" w:cs="Arial" w:eastAsia="Arial" w:hAnsi="Arial"/>
                <w:sz w:val="14"/>
                <w:szCs w:val="14"/>
                <w:b w:val="1"/>
                <w:bCs w:val="1"/>
                <w:color w:val="auto"/>
              </w:rPr>
              <w:t>2011</w:t>
            </w:r>
          </w:p>
        </w:tc>
        <w:tc>
          <w:tcPr>
            <w:tcW w:w="700" w:type="dxa"/>
            <w:vAlign w:val="bottom"/>
          </w:tcPr>
          <w:p>
            <w:pPr>
              <w:spacing w:after="0"/>
              <w:rPr>
                <w:sz w:val="12"/>
                <w:szCs w:val="12"/>
                <w:color w:val="auto"/>
              </w:rPr>
            </w:pPr>
          </w:p>
        </w:tc>
        <w:tc>
          <w:tcPr>
            <w:tcW w:w="460" w:type="dxa"/>
            <w:vAlign w:val="bottom"/>
          </w:tcPr>
          <w:p>
            <w:pPr>
              <w:jc w:val="right"/>
              <w:ind w:right="24"/>
              <w:spacing w:after="0" w:line="148" w:lineRule="exact"/>
              <w:rPr>
                <w:sz w:val="20"/>
                <w:szCs w:val="20"/>
                <w:color w:val="auto"/>
              </w:rPr>
            </w:pPr>
            <w:r>
              <w:rPr>
                <w:rFonts w:ascii="Arial" w:cs="Arial" w:eastAsia="Arial" w:hAnsi="Arial"/>
                <w:sz w:val="14"/>
                <w:szCs w:val="14"/>
                <w:b w:val="1"/>
                <w:bCs w:val="1"/>
                <w:color w:val="auto"/>
              </w:rPr>
              <w:t>2012</w:t>
            </w:r>
          </w:p>
        </w:tc>
        <w:tc>
          <w:tcPr>
            <w:tcW w:w="680" w:type="dxa"/>
            <w:vAlign w:val="bottom"/>
          </w:tcPr>
          <w:p>
            <w:pPr>
              <w:spacing w:after="0"/>
              <w:rPr>
                <w:sz w:val="12"/>
                <w:szCs w:val="12"/>
                <w:color w:val="auto"/>
              </w:rPr>
            </w:pPr>
          </w:p>
        </w:tc>
        <w:tc>
          <w:tcPr>
            <w:tcW w:w="460" w:type="dxa"/>
            <w:vAlign w:val="bottom"/>
          </w:tcPr>
          <w:p>
            <w:pPr>
              <w:jc w:val="right"/>
              <w:ind w:right="22"/>
              <w:spacing w:after="0" w:line="148" w:lineRule="exact"/>
              <w:rPr>
                <w:sz w:val="20"/>
                <w:szCs w:val="20"/>
                <w:color w:val="auto"/>
              </w:rPr>
            </w:pPr>
            <w:r>
              <w:rPr>
                <w:rFonts w:ascii="Arial" w:cs="Arial" w:eastAsia="Arial" w:hAnsi="Arial"/>
                <w:sz w:val="14"/>
                <w:szCs w:val="14"/>
                <w:b w:val="1"/>
                <w:bCs w:val="1"/>
                <w:color w:val="auto"/>
              </w:rPr>
              <w:t>2011</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632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480" w:type="dxa"/>
            <w:vAlign w:val="bottom"/>
            <w:shd w:val="clear" w:color="auto" w:fill="000000"/>
          </w:tcPr>
          <w:p>
            <w:pPr>
              <w:spacing w:after="0" w:line="20" w:lineRule="exact"/>
              <w:rPr>
                <w:sz w:val="1"/>
                <w:szCs w:val="1"/>
                <w:color w:val="auto"/>
              </w:rPr>
            </w:pPr>
          </w:p>
        </w:tc>
        <w:tc>
          <w:tcPr>
            <w:tcW w:w="700" w:type="dxa"/>
            <w:vAlign w:val="bottom"/>
            <w:shd w:val="clear" w:color="auto" w:fill="CCEEFF"/>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700" w:type="dxa"/>
            <w:vAlign w:val="bottom"/>
            <w:shd w:val="clear" w:color="auto" w:fill="CCEEFF"/>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680" w:type="dxa"/>
            <w:vAlign w:val="bottom"/>
            <w:shd w:val="clear" w:color="auto" w:fill="CCEEFF"/>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6320" w:type="dxa"/>
            <w:vAlign w:val="bottom"/>
            <w:gridSpan w:val="2"/>
            <w:vMerge w:val="continue"/>
            <w:shd w:val="clear" w:color="auto" w:fill="CCEEFF"/>
          </w:tcPr>
          <w:p>
            <w:pPr>
              <w:spacing w:after="0"/>
              <w:rPr>
                <w:sz w:val="17"/>
                <w:szCs w:val="17"/>
                <w:color w:val="auto"/>
              </w:rPr>
            </w:pPr>
          </w:p>
        </w:tc>
        <w:tc>
          <w:tcPr>
            <w:tcW w:w="1180" w:type="dxa"/>
            <w:vAlign w:val="bottom"/>
            <w:gridSpan w:val="2"/>
            <w:shd w:val="clear" w:color="auto" w:fill="CCEEFF"/>
          </w:tcPr>
          <w:p>
            <w:pPr>
              <w:jc w:val="right"/>
              <w:ind w:right="560"/>
              <w:spacing w:after="0" w:line="203" w:lineRule="exact"/>
              <w:rPr>
                <w:sz w:val="20"/>
                <w:szCs w:val="20"/>
                <w:color w:val="auto"/>
              </w:rPr>
            </w:pPr>
            <w:r>
              <w:rPr>
                <w:rFonts w:ascii="Arial" w:cs="Arial" w:eastAsia="Arial" w:hAnsi="Arial"/>
                <w:sz w:val="18"/>
                <w:szCs w:val="18"/>
                <w:color w:val="auto"/>
              </w:rPr>
              <w:t>17%</w:t>
            </w:r>
          </w:p>
        </w:tc>
        <w:tc>
          <w:tcPr>
            <w:tcW w:w="1200" w:type="dxa"/>
            <w:vAlign w:val="bottom"/>
            <w:gridSpan w:val="2"/>
            <w:shd w:val="clear" w:color="auto" w:fill="CCEEFF"/>
          </w:tcPr>
          <w:p>
            <w:pPr>
              <w:jc w:val="right"/>
              <w:ind w:right="560"/>
              <w:spacing w:after="0" w:line="203" w:lineRule="exact"/>
              <w:rPr>
                <w:sz w:val="20"/>
                <w:szCs w:val="20"/>
                <w:color w:val="auto"/>
              </w:rPr>
            </w:pPr>
            <w:r>
              <w:rPr>
                <w:rFonts w:ascii="Arial" w:cs="Arial" w:eastAsia="Arial" w:hAnsi="Arial"/>
                <w:sz w:val="18"/>
                <w:szCs w:val="18"/>
                <w:color w:val="auto"/>
              </w:rPr>
              <w:t>21%</w:t>
            </w:r>
          </w:p>
        </w:tc>
        <w:tc>
          <w:tcPr>
            <w:tcW w:w="1140" w:type="dxa"/>
            <w:vAlign w:val="bottom"/>
            <w:gridSpan w:val="2"/>
            <w:shd w:val="clear" w:color="auto" w:fill="CCEEFF"/>
          </w:tcPr>
          <w:p>
            <w:pPr>
              <w:ind w:left="280"/>
              <w:spacing w:after="0" w:line="203" w:lineRule="exact"/>
              <w:rPr>
                <w:sz w:val="20"/>
                <w:szCs w:val="20"/>
                <w:color w:val="auto"/>
              </w:rPr>
            </w:pPr>
            <w:r>
              <w:rPr>
                <w:rFonts w:ascii="Arial" w:cs="Arial" w:eastAsia="Arial" w:hAnsi="Arial"/>
                <w:sz w:val="18"/>
                <w:szCs w:val="18"/>
                <w:color w:val="auto"/>
              </w:rPr>
              <w:t>16%</w:t>
            </w:r>
          </w:p>
        </w:tc>
        <w:tc>
          <w:tcPr>
            <w:tcW w:w="66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22"/>
        </w:trPr>
        <w:tc>
          <w:tcPr>
            <w:tcW w:w="6320" w:type="dxa"/>
            <w:vAlign w:val="bottom"/>
            <w:gridSpan w:val="2"/>
          </w:tcPr>
          <w:p>
            <w:pPr>
              <w:spacing w:after="0"/>
              <w:rPr>
                <w:sz w:val="20"/>
                <w:szCs w:val="20"/>
                <w:color w:val="auto"/>
              </w:rPr>
            </w:pPr>
            <w:r>
              <w:rPr>
                <w:rFonts w:ascii="Arial" w:cs="Arial" w:eastAsia="Arial" w:hAnsi="Arial"/>
                <w:sz w:val="18"/>
                <w:szCs w:val="18"/>
                <w:color w:val="auto"/>
              </w:rPr>
              <w:t>Toshiba</w:t>
            </w:r>
          </w:p>
        </w:tc>
        <w:tc>
          <w:tcPr>
            <w:tcW w:w="1180" w:type="dxa"/>
            <w:vAlign w:val="bottom"/>
            <w:gridSpan w:val="2"/>
          </w:tcPr>
          <w:p>
            <w:pPr>
              <w:jc w:val="right"/>
              <w:ind w:right="560"/>
              <w:spacing w:after="0"/>
              <w:rPr>
                <w:sz w:val="20"/>
                <w:szCs w:val="20"/>
                <w:color w:val="auto"/>
              </w:rPr>
            </w:pPr>
            <w:r>
              <w:rPr>
                <w:rFonts w:ascii="Arial" w:cs="Arial" w:eastAsia="Arial" w:hAnsi="Arial"/>
                <w:sz w:val="18"/>
                <w:szCs w:val="18"/>
                <w:color w:val="auto"/>
              </w:rPr>
              <w:t>11%</w:t>
            </w:r>
          </w:p>
        </w:tc>
        <w:tc>
          <w:tcPr>
            <w:tcW w:w="1200" w:type="dxa"/>
            <w:vAlign w:val="bottom"/>
            <w:gridSpan w:val="2"/>
          </w:tcPr>
          <w:p>
            <w:pPr>
              <w:jc w:val="right"/>
              <w:ind w:right="700"/>
              <w:spacing w:after="0"/>
              <w:rPr>
                <w:sz w:val="20"/>
                <w:szCs w:val="20"/>
                <w:color w:val="auto"/>
              </w:rPr>
            </w:pPr>
            <w:r>
              <w:rPr>
                <w:rFonts w:ascii="Arial" w:cs="Arial" w:eastAsia="Arial" w:hAnsi="Arial"/>
                <w:sz w:val="18"/>
                <w:szCs w:val="18"/>
                <w:color w:val="auto"/>
              </w:rPr>
              <w:t>*</w:t>
            </w:r>
          </w:p>
        </w:tc>
        <w:tc>
          <w:tcPr>
            <w:tcW w:w="1140" w:type="dxa"/>
            <w:vAlign w:val="bottom"/>
            <w:gridSpan w:val="2"/>
          </w:tcPr>
          <w:p>
            <w:pPr>
              <w:ind w:left="280"/>
              <w:spacing w:after="0"/>
              <w:rPr>
                <w:sz w:val="20"/>
                <w:szCs w:val="20"/>
                <w:color w:val="auto"/>
              </w:rPr>
            </w:pPr>
            <w:r>
              <w:rPr>
                <w:rFonts w:ascii="Arial" w:cs="Arial" w:eastAsia="Arial" w:hAnsi="Arial"/>
                <w:sz w:val="18"/>
                <w:szCs w:val="18"/>
                <w:color w:val="auto"/>
              </w:rPr>
              <w:t>11%</w:t>
            </w: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Less than 10% of net revenue</w:t>
      </w:r>
    </w:p>
    <w:p>
      <w:pPr>
        <w:spacing w:after="0" w:line="171"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In May 2012, Western Digital acquired Hitachi’s HDD unit. The percentage of net revenue for Western Digital for the three and six months ended July 30, 2011 has not been adjusted to reflect this acquisition. In addition to the end customers reported above, one distributor accounted for more than 10% of our net revenue for the three and six months ended July 28, 2012. For the comparable three and six months ended July 30, 2011, no single distributor accounted for more than 10% of our net revenue.</w:t>
      </w:r>
    </w:p>
    <w:p>
      <w:pPr>
        <w:spacing w:after="0" w:line="143" w:lineRule="exact"/>
        <w:rPr>
          <w:sz w:val="20"/>
          <w:szCs w:val="20"/>
          <w:color w:val="auto"/>
        </w:rPr>
      </w:pPr>
    </w:p>
    <w:p>
      <w:pPr>
        <w:ind w:right="280" w:firstLine="456"/>
        <w:spacing w:after="0" w:line="298" w:lineRule="auto"/>
        <w:rPr>
          <w:sz w:val="20"/>
          <w:szCs w:val="20"/>
          <w:color w:val="auto"/>
        </w:rPr>
      </w:pPr>
      <w:r>
        <w:rPr>
          <w:rFonts w:ascii="Arial" w:cs="Arial" w:eastAsia="Arial" w:hAnsi="Arial"/>
          <w:sz w:val="16"/>
          <w:szCs w:val="16"/>
          <w:color w:val="auto"/>
        </w:rPr>
        <w:t>Because we sell our products to many OEM manufacturers who have manufacturing operations located in Asia, a significant percentage of our sales are made to customers located outside of the United States. Sales to customers located in Asia represented 91% and 89% of our net revenue for the three and six months ended July 28, 2012, respectively, compared to 86% and 85% of our net revenue for the three and six months ended July 30, 2011, respectively. We expect that a significant portion of our net revenue will continue to be represented by sales to our customers in Asia.</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0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2000" w:type="dxa"/>
            <w:vAlign w:val="bottom"/>
            <w:gridSpan w:val="3"/>
          </w:tcPr>
          <w:p>
            <w:pPr>
              <w:jc w:val="right"/>
              <w:ind w:right="452"/>
              <w:spacing w:after="0"/>
              <w:rPr>
                <w:sz w:val="20"/>
                <w:szCs w:val="20"/>
                <w:color w:val="auto"/>
              </w:rPr>
            </w:pPr>
            <w:r>
              <w:rPr>
                <w:rFonts w:ascii="Arial" w:cs="Arial" w:eastAsia="Arial" w:hAnsi="Arial"/>
                <w:sz w:val="14"/>
                <w:szCs w:val="14"/>
                <w:b w:val="1"/>
                <w:bCs w:val="1"/>
                <w:color w:val="auto"/>
              </w:rPr>
              <w:t>Three Months Ended</w:t>
            </w:r>
          </w:p>
        </w:tc>
        <w:tc>
          <w:tcPr>
            <w:tcW w:w="840" w:type="dxa"/>
            <w:vAlign w:val="bottom"/>
            <w:vMerge w:val="restart"/>
          </w:tcPr>
          <w:p>
            <w:pPr>
              <w:jc w:val="right"/>
              <w:ind w:right="346"/>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2000" w:type="dxa"/>
            <w:vAlign w:val="bottom"/>
            <w:gridSpan w:val="3"/>
          </w:tcPr>
          <w:p>
            <w:pPr>
              <w:jc w:val="right"/>
              <w:ind w:right="600"/>
              <w:spacing w:after="0"/>
              <w:rPr>
                <w:sz w:val="20"/>
                <w:szCs w:val="20"/>
                <w:color w:val="auto"/>
              </w:rPr>
            </w:pPr>
            <w:r>
              <w:rPr>
                <w:rFonts w:ascii="Arial" w:cs="Arial" w:eastAsia="Arial" w:hAnsi="Arial"/>
                <w:sz w:val="14"/>
                <w:szCs w:val="14"/>
                <w:b w:val="1"/>
                <w:bCs w:val="1"/>
                <w:color w:val="auto"/>
              </w:rPr>
              <w:t>Six Months Ended</w:t>
            </w:r>
          </w:p>
        </w:tc>
        <w:tc>
          <w:tcPr>
            <w:tcW w:w="5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500" w:type="dxa"/>
            <w:vAlign w:val="bottom"/>
          </w:tcPr>
          <w:p>
            <w:pPr>
              <w:spacing w:after="0"/>
              <w:rPr>
                <w:sz w:val="11"/>
                <w:szCs w:val="11"/>
                <w:color w:val="auto"/>
              </w:rPr>
            </w:pPr>
          </w:p>
        </w:tc>
        <w:tc>
          <w:tcPr>
            <w:tcW w:w="2180" w:type="dxa"/>
            <w:vAlign w:val="bottom"/>
          </w:tcPr>
          <w:p>
            <w:pPr>
              <w:spacing w:after="0"/>
              <w:rPr>
                <w:sz w:val="11"/>
                <w:szCs w:val="11"/>
                <w:color w:val="auto"/>
              </w:rPr>
            </w:pPr>
          </w:p>
        </w:tc>
        <w:tc>
          <w:tcPr>
            <w:tcW w:w="940" w:type="dxa"/>
            <w:vAlign w:val="bottom"/>
            <w:tcBorders>
              <w:top w:val="single" w:sz="8" w:color="auto"/>
            </w:tcBorders>
          </w:tcPr>
          <w:p>
            <w:pPr>
              <w:jc w:val="right"/>
              <w:ind w:right="312"/>
              <w:spacing w:after="0" w:line="129" w:lineRule="exact"/>
              <w:rPr>
                <w:sz w:val="20"/>
                <w:szCs w:val="20"/>
                <w:color w:val="auto"/>
              </w:rPr>
            </w:pPr>
            <w:r>
              <w:rPr>
                <w:rFonts w:ascii="Arial" w:cs="Arial" w:eastAsia="Arial" w:hAnsi="Arial"/>
                <w:sz w:val="14"/>
                <w:szCs w:val="14"/>
                <w:b w:val="1"/>
                <w:bCs w:val="1"/>
                <w:color w:val="auto"/>
              </w:rPr>
              <w:t>July 28,</w:t>
            </w:r>
          </w:p>
        </w:tc>
        <w:tc>
          <w:tcPr>
            <w:tcW w:w="780" w:type="dxa"/>
            <w:vAlign w:val="bottom"/>
            <w:tcBorders>
              <w:top w:val="single" w:sz="8" w:color="auto"/>
            </w:tcBorders>
          </w:tcPr>
          <w:p>
            <w:pPr>
              <w:jc w:val="right"/>
              <w:ind w:right="22"/>
              <w:spacing w:after="0" w:line="129" w:lineRule="exact"/>
              <w:rPr>
                <w:sz w:val="20"/>
                <w:szCs w:val="20"/>
                <w:color w:val="auto"/>
              </w:rPr>
            </w:pPr>
            <w:r>
              <w:rPr>
                <w:rFonts w:ascii="Arial" w:cs="Arial" w:eastAsia="Arial" w:hAnsi="Arial"/>
                <w:sz w:val="14"/>
                <w:szCs w:val="14"/>
                <w:b w:val="1"/>
                <w:bCs w:val="1"/>
                <w:color w:val="auto"/>
              </w:rPr>
              <w:t>July 30,</w:t>
            </w:r>
          </w:p>
        </w:tc>
        <w:tc>
          <w:tcPr>
            <w:tcW w:w="280" w:type="dxa"/>
            <w:vAlign w:val="bottom"/>
          </w:tcPr>
          <w:p>
            <w:pPr>
              <w:spacing w:after="0"/>
              <w:rPr>
                <w:sz w:val="11"/>
                <w:szCs w:val="11"/>
                <w:color w:val="auto"/>
              </w:rPr>
            </w:pPr>
          </w:p>
        </w:tc>
        <w:tc>
          <w:tcPr>
            <w:tcW w:w="84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940" w:type="dxa"/>
            <w:vAlign w:val="bottom"/>
            <w:tcBorders>
              <w:top w:val="single" w:sz="8" w:color="auto"/>
            </w:tcBorders>
          </w:tcPr>
          <w:p>
            <w:pPr>
              <w:jc w:val="right"/>
              <w:ind w:right="312"/>
              <w:spacing w:after="0" w:line="129" w:lineRule="exact"/>
              <w:rPr>
                <w:sz w:val="20"/>
                <w:szCs w:val="20"/>
                <w:color w:val="auto"/>
              </w:rPr>
            </w:pPr>
            <w:r>
              <w:rPr>
                <w:rFonts w:ascii="Arial" w:cs="Arial" w:eastAsia="Arial" w:hAnsi="Arial"/>
                <w:sz w:val="14"/>
                <w:szCs w:val="14"/>
                <w:b w:val="1"/>
                <w:bCs w:val="1"/>
                <w:color w:val="auto"/>
              </w:rPr>
              <w:t>July 28,</w:t>
            </w:r>
          </w:p>
        </w:tc>
        <w:tc>
          <w:tcPr>
            <w:tcW w:w="800" w:type="dxa"/>
            <w:vAlign w:val="bottom"/>
            <w:tcBorders>
              <w:top w:val="single" w:sz="8" w:color="auto"/>
            </w:tcBorders>
          </w:tcPr>
          <w:p>
            <w:pPr>
              <w:jc w:val="right"/>
              <w:ind w:right="42"/>
              <w:spacing w:after="0" w:line="129" w:lineRule="exact"/>
              <w:rPr>
                <w:sz w:val="20"/>
                <w:szCs w:val="20"/>
                <w:color w:val="auto"/>
              </w:rPr>
            </w:pPr>
            <w:r>
              <w:rPr>
                <w:rFonts w:ascii="Arial" w:cs="Arial" w:eastAsia="Arial" w:hAnsi="Arial"/>
                <w:sz w:val="14"/>
                <w:szCs w:val="14"/>
                <w:b w:val="1"/>
                <w:bCs w:val="1"/>
                <w:color w:val="auto"/>
              </w:rPr>
              <w:t>July 30,</w:t>
            </w:r>
          </w:p>
        </w:tc>
        <w:tc>
          <w:tcPr>
            <w:tcW w:w="26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00" w:type="dxa"/>
            <w:vAlign w:val="bottom"/>
          </w:tcPr>
          <w:p>
            <w:pPr>
              <w:spacing w:after="0"/>
              <w:rPr>
                <w:sz w:val="14"/>
                <w:szCs w:val="14"/>
                <w:color w:val="auto"/>
              </w:rPr>
            </w:pPr>
          </w:p>
        </w:tc>
        <w:tc>
          <w:tcPr>
            <w:tcW w:w="312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2012</w:t>
            </w:r>
          </w:p>
        </w:tc>
        <w:tc>
          <w:tcPr>
            <w:tcW w:w="780" w:type="dxa"/>
            <w:vAlign w:val="bottom"/>
          </w:tcPr>
          <w:p>
            <w:pPr>
              <w:jc w:val="right"/>
              <w:ind w:right="122"/>
              <w:spacing w:after="0"/>
              <w:rPr>
                <w:sz w:val="20"/>
                <w:szCs w:val="20"/>
                <w:color w:val="auto"/>
              </w:rPr>
            </w:pPr>
            <w:r>
              <w:rPr>
                <w:rFonts w:ascii="Arial" w:cs="Arial" w:eastAsia="Arial" w:hAnsi="Arial"/>
                <w:sz w:val="14"/>
                <w:szCs w:val="14"/>
                <w:b w:val="1"/>
                <w:bCs w:val="1"/>
                <w:color w:val="auto"/>
              </w:rPr>
              <w:t>2011</w:t>
            </w:r>
          </w:p>
        </w:tc>
        <w:tc>
          <w:tcPr>
            <w:tcW w:w="280" w:type="dxa"/>
            <w:vAlign w:val="bottom"/>
          </w:tcPr>
          <w:p>
            <w:pPr>
              <w:spacing w:after="0"/>
              <w:rPr>
                <w:sz w:val="14"/>
                <w:szCs w:val="14"/>
                <w:color w:val="auto"/>
              </w:rPr>
            </w:pPr>
          </w:p>
        </w:tc>
        <w:tc>
          <w:tcPr>
            <w:tcW w:w="840" w:type="dxa"/>
            <w:vAlign w:val="bottom"/>
          </w:tcPr>
          <w:p>
            <w:pPr>
              <w:jc w:val="center"/>
              <w:ind w:right="86"/>
              <w:spacing w:after="0"/>
              <w:rPr>
                <w:sz w:val="20"/>
                <w:szCs w:val="20"/>
                <w:color w:val="auto"/>
              </w:rPr>
            </w:pPr>
            <w:r>
              <w:rPr>
                <w:rFonts w:ascii="Arial" w:cs="Arial" w:eastAsia="Arial" w:hAnsi="Arial"/>
                <w:sz w:val="14"/>
                <w:szCs w:val="14"/>
                <w:b w:val="1"/>
                <w:bCs w:val="1"/>
                <w:color w:val="auto"/>
                <w:w w:val="85"/>
              </w:rPr>
              <w:t>Change</w:t>
            </w:r>
          </w:p>
        </w:tc>
        <w:tc>
          <w:tcPr>
            <w:tcW w:w="106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2012</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2011</w:t>
            </w:r>
          </w:p>
        </w:tc>
        <w:tc>
          <w:tcPr>
            <w:tcW w:w="26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500" w:type="dxa"/>
            <w:vAlign w:val="bottom"/>
          </w:tcPr>
          <w:p>
            <w:pPr>
              <w:spacing w:after="0"/>
              <w:rPr>
                <w:sz w:val="12"/>
                <w:szCs w:val="12"/>
                <w:color w:val="auto"/>
              </w:rPr>
            </w:pPr>
          </w:p>
        </w:tc>
        <w:tc>
          <w:tcPr>
            <w:tcW w:w="2180" w:type="dxa"/>
            <w:vAlign w:val="bottom"/>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780" w:type="dxa"/>
            <w:vAlign w:val="bottom"/>
            <w:tcBorders>
              <w:top w:val="single" w:sz="8" w:color="auto"/>
            </w:tcBorders>
          </w:tcPr>
          <w:p>
            <w:pPr>
              <w:spacing w:after="0"/>
              <w:rPr>
                <w:sz w:val="12"/>
                <w:szCs w:val="12"/>
                <w:color w:val="auto"/>
              </w:rPr>
            </w:pPr>
          </w:p>
        </w:tc>
        <w:tc>
          <w:tcPr>
            <w:tcW w:w="2180" w:type="dxa"/>
            <w:vAlign w:val="bottom"/>
            <w:tcBorders>
              <w:top w:val="single" w:sz="8" w:color="auto"/>
            </w:tcBorders>
            <w:gridSpan w:val="4"/>
          </w:tcPr>
          <w:p>
            <w:pPr>
              <w:jc w:val="right"/>
              <w:ind w:right="112"/>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80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5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12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$381,839</w:t>
            </w:r>
          </w:p>
        </w:tc>
        <w:tc>
          <w:tcPr>
            <w:tcW w:w="10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$378,117</w:t>
            </w:r>
          </w:p>
        </w:tc>
        <w:tc>
          <w:tcPr>
            <w:tcW w:w="840" w:type="dxa"/>
            <w:vAlign w:val="bottom"/>
            <w:shd w:val="clear" w:color="auto" w:fill="CCEEFF"/>
          </w:tcPr>
          <w:p>
            <w:pPr>
              <w:jc w:val="right"/>
              <w:ind w:right="46"/>
              <w:spacing w:after="0"/>
              <w:rPr>
                <w:sz w:val="20"/>
                <w:szCs w:val="20"/>
                <w:color w:val="auto"/>
              </w:rPr>
            </w:pPr>
            <w:r>
              <w:rPr>
                <w:rFonts w:ascii="Arial" w:cs="Arial" w:eastAsia="Arial" w:hAnsi="Arial"/>
                <w:sz w:val="18"/>
                <w:szCs w:val="18"/>
                <w:color w:val="auto"/>
              </w:rPr>
              <w:t>1.0%</w:t>
            </w:r>
          </w:p>
        </w:tc>
        <w:tc>
          <w:tcPr>
            <w:tcW w:w="10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$748,161</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$712,592</w:t>
            </w:r>
          </w:p>
        </w:tc>
        <w:tc>
          <w:tcPr>
            <w:tcW w:w="2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22"/>
        </w:trPr>
        <w:tc>
          <w:tcPr>
            <w:tcW w:w="3500" w:type="dxa"/>
            <w:vAlign w:val="bottom"/>
          </w:tcPr>
          <w:p>
            <w:pPr>
              <w:spacing w:after="0"/>
              <w:rPr>
                <w:sz w:val="20"/>
                <w:szCs w:val="20"/>
                <w:color w:val="auto"/>
              </w:rPr>
            </w:pPr>
            <w:r>
              <w:rPr>
                <w:rFonts w:ascii="Arial" w:cs="Arial" w:eastAsia="Arial" w:hAnsi="Arial"/>
                <w:sz w:val="18"/>
                <w:szCs w:val="18"/>
                <w:color w:val="auto"/>
              </w:rPr>
              <w:t>% of net revenue</w:t>
            </w:r>
          </w:p>
        </w:tc>
        <w:tc>
          <w:tcPr>
            <w:tcW w:w="3120" w:type="dxa"/>
            <w:vAlign w:val="bottom"/>
            <w:gridSpan w:val="2"/>
          </w:tcPr>
          <w:p>
            <w:pPr>
              <w:jc w:val="right"/>
              <w:ind w:right="52"/>
              <w:spacing w:after="0"/>
              <w:rPr>
                <w:sz w:val="20"/>
                <w:szCs w:val="20"/>
                <w:color w:val="auto"/>
              </w:rPr>
            </w:pPr>
            <w:r>
              <w:rPr>
                <w:rFonts w:ascii="Arial" w:cs="Arial" w:eastAsia="Arial" w:hAnsi="Arial"/>
                <w:sz w:val="18"/>
                <w:szCs w:val="18"/>
                <w:color w:val="auto"/>
              </w:rPr>
              <w:t>46.8%</w:t>
            </w: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42.1%</w:t>
            </w:r>
          </w:p>
        </w:tc>
        <w:tc>
          <w:tcPr>
            <w:tcW w:w="840" w:type="dxa"/>
            <w:vAlign w:val="bottom"/>
          </w:tcPr>
          <w:p>
            <w:pPr>
              <w:spacing w:after="0"/>
              <w:rPr>
                <w:sz w:val="19"/>
                <w:szCs w:val="19"/>
                <w:color w:val="auto"/>
              </w:rPr>
            </w:pP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46.4%</w:t>
            </w: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41.9%</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color w:val="auto"/>
        </w:rPr>
        <w:t>The increase in cost of goods sold as a percentage of net revenue for the three and six months ended July 28, 2012 compared to the three and six months ended July 30, 2011 was primarily due to the product pricing declines outpacing the cost reductions received from our manufacturing partners. In addition, the gross margin mix of our products sold declined compared to the corresponding periods of fiscal 2012, driven by growth in businesses with lower gross margins. Our cost of goods sold as a percentage of net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18"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We currently expect cost of goods sold as a percentage of net revenue for the three months ending October 27, 2012 to be flat compared to the three months ended July 28, 2012.</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60" w:type="dxa"/>
            <w:vAlign w:val="bottom"/>
            <w:gridSpan w:val="4"/>
          </w:tcPr>
          <w:p>
            <w:pPr>
              <w:jc w:val="right"/>
              <w:ind w:right="78"/>
              <w:spacing w:after="0"/>
              <w:rPr>
                <w:sz w:val="20"/>
                <w:szCs w:val="20"/>
                <w:color w:val="auto"/>
              </w:rPr>
            </w:pPr>
            <w:r>
              <w:rPr>
                <w:rFonts w:ascii="Arial" w:cs="Arial" w:eastAsia="Arial" w:hAnsi="Arial"/>
                <w:sz w:val="14"/>
                <w:szCs w:val="14"/>
                <w:b w:val="1"/>
                <w:bCs w:val="1"/>
                <w:color w:val="auto"/>
                <w:w w:val="92"/>
              </w:rPr>
              <w:t>Three Months Ended</w:t>
            </w:r>
          </w:p>
        </w:tc>
        <w:tc>
          <w:tcPr>
            <w:tcW w:w="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60" w:type="dxa"/>
            <w:vAlign w:val="bottom"/>
            <w:gridSpan w:val="5"/>
          </w:tcPr>
          <w:p>
            <w:pPr>
              <w:ind w:left="16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6900" w:type="dxa"/>
            <w:vAlign w:val="bottom"/>
          </w:tcPr>
          <w:p>
            <w:pPr>
              <w:spacing w:after="0"/>
              <w:rPr>
                <w:sz w:val="11"/>
                <w:szCs w:val="11"/>
                <w:color w:val="auto"/>
              </w:rPr>
            </w:pPr>
          </w:p>
        </w:tc>
        <w:tc>
          <w:tcPr>
            <w:tcW w:w="980" w:type="dxa"/>
            <w:vAlign w:val="bottom"/>
            <w:tcBorders>
              <w:top w:val="single" w:sz="8" w:color="auto"/>
            </w:tcBorders>
            <w:gridSpan w:val="3"/>
          </w:tcPr>
          <w:p>
            <w:pPr>
              <w:jc w:val="center"/>
              <w:ind w:right="380"/>
              <w:spacing w:after="0" w:line="129" w:lineRule="exact"/>
              <w:rPr>
                <w:sz w:val="20"/>
                <w:szCs w:val="20"/>
                <w:color w:val="auto"/>
              </w:rPr>
            </w:pPr>
            <w:r>
              <w:rPr>
                <w:rFonts w:ascii="Arial" w:cs="Arial" w:eastAsia="Arial" w:hAnsi="Arial"/>
                <w:sz w:val="14"/>
                <w:szCs w:val="14"/>
                <w:b w:val="1"/>
                <w:bCs w:val="1"/>
                <w:color w:val="auto"/>
                <w:w w:val="85"/>
              </w:rPr>
              <w:t>July 28,</w:t>
            </w: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7"/>
              </w:rPr>
              <w:t>July 30,</w:t>
            </w:r>
          </w:p>
        </w:tc>
        <w:tc>
          <w:tcPr>
            <w:tcW w:w="400" w:type="dxa"/>
            <w:vAlign w:val="bottom"/>
          </w:tcPr>
          <w:p>
            <w:pPr>
              <w:spacing w:after="0"/>
              <w:rPr>
                <w:sz w:val="11"/>
                <w:szCs w:val="11"/>
                <w:color w:val="auto"/>
              </w:rPr>
            </w:pP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July 28,</w:t>
            </w:r>
          </w:p>
        </w:tc>
        <w:tc>
          <w:tcPr>
            <w:tcW w:w="3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7"/>
              </w:rPr>
              <w:t>July 30,</w:t>
            </w:r>
          </w:p>
        </w:tc>
        <w:tc>
          <w:tcPr>
            <w:tcW w:w="100" w:type="dxa"/>
            <w:vAlign w:val="bottom"/>
          </w:tcPr>
          <w:p>
            <w:pPr>
              <w:spacing w:after="0"/>
              <w:rPr>
                <w:sz w:val="11"/>
                <w:szCs w:val="11"/>
                <w:color w:val="auto"/>
              </w:rPr>
            </w:pPr>
          </w:p>
        </w:tc>
      </w:tr>
      <w:tr>
        <w:trPr>
          <w:trHeight w:val="161"/>
        </w:trPr>
        <w:tc>
          <w:tcPr>
            <w:tcW w:w="69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8"/>
              <w:spacing w:after="0"/>
              <w:rPr>
                <w:sz w:val="20"/>
                <w:szCs w:val="20"/>
                <w:color w:val="auto"/>
              </w:rPr>
            </w:pPr>
            <w:r>
              <w:rPr>
                <w:rFonts w:ascii="Arial" w:cs="Arial" w:eastAsia="Arial" w:hAnsi="Arial"/>
                <w:sz w:val="14"/>
                <w:szCs w:val="14"/>
                <w:b w:val="1"/>
                <w:bCs w:val="1"/>
                <w:color w:val="auto"/>
              </w:rPr>
              <w:t>2012</w:t>
            </w:r>
          </w:p>
        </w:tc>
        <w:tc>
          <w:tcPr>
            <w:tcW w:w="4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w w:val="96"/>
              </w:rPr>
              <w:t>2011</w:t>
            </w:r>
          </w:p>
        </w:tc>
        <w:tc>
          <w:tcPr>
            <w:tcW w:w="4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2012</w:t>
            </w:r>
          </w:p>
        </w:tc>
        <w:tc>
          <w:tcPr>
            <w:tcW w:w="3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w w:val="96"/>
              </w:rPr>
              <w:t>2011</w:t>
            </w:r>
          </w:p>
        </w:tc>
        <w:tc>
          <w:tcPr>
            <w:tcW w:w="100" w:type="dxa"/>
            <w:vAlign w:val="bottom"/>
          </w:tcPr>
          <w:p>
            <w:pPr>
              <w:spacing w:after="0"/>
              <w:rPr>
                <w:sz w:val="14"/>
                <w:szCs w:val="14"/>
                <w:color w:val="auto"/>
              </w:rPr>
            </w:pPr>
          </w:p>
        </w:tc>
      </w:tr>
      <w:tr>
        <w:trPr>
          <w:trHeight w:val="142"/>
        </w:trPr>
        <w:tc>
          <w:tcPr>
            <w:tcW w:w="6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60" w:type="dxa"/>
            <w:vAlign w:val="bottom"/>
            <w:gridSpan w:val="4"/>
          </w:tcPr>
          <w:p>
            <w:pPr>
              <w:jc w:val="right"/>
              <w:ind w:right="298"/>
              <w:spacing w:after="0" w:line="142" w:lineRule="exact"/>
              <w:rPr>
                <w:sz w:val="20"/>
                <w:szCs w:val="20"/>
                <w:color w:val="auto"/>
              </w:rPr>
            </w:pPr>
            <w:r>
              <w:rPr>
                <w:rFonts w:ascii="Arial" w:cs="Arial" w:eastAsia="Arial" w:hAnsi="Arial"/>
                <w:sz w:val="14"/>
                <w:szCs w:val="14"/>
                <w:b w:val="1"/>
                <w:bCs w:val="1"/>
                <w:color w:val="auto"/>
              </w:rPr>
              <w:t>(in thousands)</w:t>
            </w: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69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1,775</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1,916</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3,898</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3,611</w:t>
            </w:r>
          </w:p>
        </w:tc>
        <w:tc>
          <w:tcPr>
            <w:tcW w:w="100" w:type="dxa"/>
            <w:vAlign w:val="bottom"/>
            <w:shd w:val="clear" w:color="auto" w:fill="CCEEFF"/>
          </w:tcPr>
          <w:p>
            <w:pPr>
              <w:spacing w:after="0"/>
              <w:rPr>
                <w:sz w:val="18"/>
                <w:szCs w:val="18"/>
                <w:color w:val="auto"/>
              </w:rPr>
            </w:pPr>
          </w:p>
        </w:tc>
      </w:tr>
      <w:tr>
        <w:trPr>
          <w:trHeight w:val="216"/>
        </w:trPr>
        <w:tc>
          <w:tcPr>
            <w:tcW w:w="69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w w:val="83"/>
              </w:rPr>
              <w:t>22,413</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22,128</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39,587</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41,721</w:t>
            </w:r>
          </w:p>
        </w:tc>
        <w:tc>
          <w:tcPr>
            <w:tcW w:w="100" w:type="dxa"/>
            <w:vAlign w:val="bottom"/>
          </w:tcPr>
          <w:p>
            <w:pPr>
              <w:spacing w:after="0"/>
              <w:rPr>
                <w:sz w:val="18"/>
                <w:szCs w:val="18"/>
                <w:color w:val="auto"/>
              </w:rPr>
            </w:pPr>
          </w:p>
        </w:tc>
      </w:tr>
      <w:tr>
        <w:trPr>
          <w:trHeight w:val="216"/>
        </w:trPr>
        <w:tc>
          <w:tcPr>
            <w:tcW w:w="69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3,458</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3,207</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6,494</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5,861</w:t>
            </w:r>
          </w:p>
        </w:tc>
        <w:tc>
          <w:tcPr>
            <w:tcW w:w="100" w:type="dxa"/>
            <w:vAlign w:val="bottom"/>
            <w:shd w:val="clear" w:color="auto" w:fill="CCEEFF"/>
          </w:tcPr>
          <w:p>
            <w:pPr>
              <w:spacing w:after="0"/>
              <w:rPr>
                <w:sz w:val="18"/>
                <w:szCs w:val="18"/>
                <w:color w:val="auto"/>
              </w:rPr>
            </w:pPr>
          </w:p>
        </w:tc>
      </w:tr>
      <w:tr>
        <w:trPr>
          <w:trHeight w:val="216"/>
        </w:trPr>
        <w:tc>
          <w:tcPr>
            <w:tcW w:w="69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rPr>
              <w:t>5,582</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3,104</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10,441</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6,642</w:t>
            </w:r>
          </w:p>
        </w:tc>
        <w:tc>
          <w:tcPr>
            <w:tcW w:w="100" w:type="dxa"/>
            <w:vAlign w:val="bottom"/>
          </w:tcPr>
          <w:p>
            <w:pPr>
              <w:spacing w:after="0"/>
              <w:rPr>
                <w:sz w:val="18"/>
                <w:szCs w:val="18"/>
                <w:color w:val="auto"/>
              </w:rPr>
            </w:pPr>
          </w:p>
        </w:tc>
      </w:tr>
      <w:tr>
        <w:trPr>
          <w:trHeight w:val="27"/>
        </w:trPr>
        <w:tc>
          <w:tcPr>
            <w:tcW w:w="69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69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3"/>
              </w:rPr>
              <w:t>33,228</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30,355</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60,420</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57,835</w:t>
            </w:r>
          </w:p>
        </w:tc>
        <w:tc>
          <w:tcPr>
            <w:tcW w:w="100" w:type="dxa"/>
            <w:vAlign w:val="bottom"/>
            <w:shd w:val="clear" w:color="auto" w:fill="CCEEFF"/>
          </w:tcPr>
          <w:p>
            <w:pPr>
              <w:spacing w:after="0"/>
              <w:rPr>
                <w:sz w:val="18"/>
                <w:szCs w:val="18"/>
                <w:color w:val="auto"/>
              </w:rPr>
            </w:pPr>
          </w:p>
        </w:tc>
      </w:tr>
      <w:tr>
        <w:trPr>
          <w:trHeight w:val="20"/>
        </w:trPr>
        <w:tc>
          <w:tcPr>
            <w:tcW w:w="6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Share-based compensation expense increased during the three and six months ended July 28, 2012 by $2.9 million and $2.6 million, respectively, compared to the three and six months ended July 30, 2011. The increase was primarily attributable to higher headcount in fiscal 2013 compared to fiscal 2012 combined with an increase in expense related to the employee stock purchase plan. The offering price of the employee stock purchase plan was reset in June 2012 due to the decline in our stock price and restarted a new 24-month offering period. These increases were partially offset by a decrease in expense from restricted stock units granted under a tender offer exchange program, which became fully vested by the end of fiscal 2012. For fiscal 2012, share-based compensation expense for the three months ended July 30, 2011 included the recovery of previously recognized expense for certain share-based awards containing performance targets that were no longer expected to be achieved. There was no such recovery in the three months ended July 28, 2012.</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2000" w:type="dxa"/>
            <w:vAlign w:val="bottom"/>
            <w:gridSpan w:val="3"/>
          </w:tcPr>
          <w:p>
            <w:pPr>
              <w:jc w:val="right"/>
              <w:ind w:right="452"/>
              <w:spacing w:after="0"/>
              <w:rPr>
                <w:sz w:val="20"/>
                <w:szCs w:val="20"/>
                <w:color w:val="auto"/>
              </w:rPr>
            </w:pPr>
            <w:r>
              <w:rPr>
                <w:rFonts w:ascii="Arial" w:cs="Arial" w:eastAsia="Arial" w:hAnsi="Arial"/>
                <w:sz w:val="14"/>
                <w:szCs w:val="14"/>
                <w:b w:val="1"/>
                <w:bCs w:val="1"/>
                <w:color w:val="auto"/>
              </w:rPr>
              <w:t>Three Months Ended</w:t>
            </w:r>
          </w:p>
        </w:tc>
        <w:tc>
          <w:tcPr>
            <w:tcW w:w="820" w:type="dxa"/>
            <w:vAlign w:val="bottom"/>
            <w:vMerge w:val="restart"/>
          </w:tcPr>
          <w:p>
            <w:pPr>
              <w:jc w:val="right"/>
              <w:ind w:right="346"/>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2000" w:type="dxa"/>
            <w:vAlign w:val="bottom"/>
            <w:gridSpan w:val="3"/>
          </w:tcPr>
          <w:p>
            <w:pPr>
              <w:jc w:val="right"/>
              <w:ind w:right="600"/>
              <w:spacing w:after="0"/>
              <w:rPr>
                <w:sz w:val="20"/>
                <w:szCs w:val="20"/>
                <w:color w:val="auto"/>
              </w:rPr>
            </w:pPr>
            <w:r>
              <w:rPr>
                <w:rFonts w:ascii="Arial" w:cs="Arial" w:eastAsia="Arial" w:hAnsi="Arial"/>
                <w:sz w:val="14"/>
                <w:szCs w:val="14"/>
                <w:b w:val="1"/>
                <w:bCs w:val="1"/>
                <w:color w:val="auto"/>
              </w:rPr>
              <w:t>Six Months Ended</w:t>
            </w:r>
          </w:p>
        </w:tc>
        <w:tc>
          <w:tcPr>
            <w:tcW w:w="5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8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940" w:type="dxa"/>
            <w:vAlign w:val="bottom"/>
            <w:tcBorders>
              <w:top w:val="single" w:sz="8" w:color="auto"/>
            </w:tcBorders>
          </w:tcPr>
          <w:p>
            <w:pPr>
              <w:jc w:val="right"/>
              <w:ind w:right="292"/>
              <w:spacing w:after="0" w:line="129" w:lineRule="exact"/>
              <w:rPr>
                <w:sz w:val="20"/>
                <w:szCs w:val="20"/>
                <w:color w:val="auto"/>
              </w:rPr>
            </w:pPr>
            <w:r>
              <w:rPr>
                <w:rFonts w:ascii="Arial" w:cs="Arial" w:eastAsia="Arial" w:hAnsi="Arial"/>
                <w:sz w:val="14"/>
                <w:szCs w:val="14"/>
                <w:b w:val="1"/>
                <w:bCs w:val="1"/>
                <w:color w:val="auto"/>
              </w:rPr>
              <w:t>July 28,</w:t>
            </w:r>
          </w:p>
        </w:tc>
        <w:tc>
          <w:tcPr>
            <w:tcW w:w="800" w:type="dxa"/>
            <w:vAlign w:val="bottom"/>
            <w:tcBorders>
              <w:top w:val="single" w:sz="8" w:color="auto"/>
            </w:tcBorders>
          </w:tcPr>
          <w:p>
            <w:pPr>
              <w:jc w:val="right"/>
              <w:ind w:right="42"/>
              <w:spacing w:after="0" w:line="129" w:lineRule="exact"/>
              <w:rPr>
                <w:sz w:val="20"/>
                <w:szCs w:val="20"/>
                <w:color w:val="auto"/>
              </w:rPr>
            </w:pPr>
            <w:r>
              <w:rPr>
                <w:rFonts w:ascii="Arial" w:cs="Arial" w:eastAsia="Arial" w:hAnsi="Arial"/>
                <w:sz w:val="14"/>
                <w:szCs w:val="14"/>
                <w:b w:val="1"/>
                <w:bCs w:val="1"/>
                <w:color w:val="auto"/>
              </w:rPr>
              <w:t>July 30,</w:t>
            </w:r>
          </w:p>
        </w:tc>
        <w:tc>
          <w:tcPr>
            <w:tcW w:w="26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940" w:type="dxa"/>
            <w:vAlign w:val="bottom"/>
            <w:tcBorders>
              <w:top w:val="single" w:sz="8" w:color="auto"/>
            </w:tcBorders>
          </w:tcPr>
          <w:p>
            <w:pPr>
              <w:jc w:val="right"/>
              <w:ind w:right="312"/>
              <w:spacing w:after="0" w:line="129" w:lineRule="exact"/>
              <w:rPr>
                <w:sz w:val="20"/>
                <w:szCs w:val="20"/>
                <w:color w:val="auto"/>
              </w:rPr>
            </w:pPr>
            <w:r>
              <w:rPr>
                <w:rFonts w:ascii="Arial" w:cs="Arial" w:eastAsia="Arial" w:hAnsi="Arial"/>
                <w:sz w:val="14"/>
                <w:szCs w:val="14"/>
                <w:b w:val="1"/>
                <w:bCs w:val="1"/>
                <w:color w:val="auto"/>
              </w:rPr>
              <w:t>July 28,</w:t>
            </w:r>
          </w:p>
        </w:tc>
        <w:tc>
          <w:tcPr>
            <w:tcW w:w="800" w:type="dxa"/>
            <w:vAlign w:val="bottom"/>
            <w:tcBorders>
              <w:top w:val="single" w:sz="8" w:color="auto"/>
            </w:tcBorders>
          </w:tcPr>
          <w:p>
            <w:pPr>
              <w:jc w:val="right"/>
              <w:ind w:right="42"/>
              <w:spacing w:after="0" w:line="129" w:lineRule="exact"/>
              <w:rPr>
                <w:sz w:val="20"/>
                <w:szCs w:val="20"/>
                <w:color w:val="auto"/>
              </w:rPr>
            </w:pPr>
            <w:r>
              <w:rPr>
                <w:rFonts w:ascii="Arial" w:cs="Arial" w:eastAsia="Arial" w:hAnsi="Arial"/>
                <w:sz w:val="14"/>
                <w:szCs w:val="14"/>
                <w:b w:val="1"/>
                <w:bCs w:val="1"/>
                <w:color w:val="auto"/>
              </w:rPr>
              <w:t>July 30,</w:t>
            </w:r>
          </w:p>
        </w:tc>
        <w:tc>
          <w:tcPr>
            <w:tcW w:w="26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800" w:type="dxa"/>
            <w:vAlign w:val="bottom"/>
          </w:tcPr>
          <w:p>
            <w:pPr>
              <w:spacing w:after="0"/>
              <w:rPr>
                <w:sz w:val="14"/>
                <w:szCs w:val="14"/>
                <w:color w:val="auto"/>
              </w:rPr>
            </w:pPr>
          </w:p>
        </w:tc>
        <w:tc>
          <w:tcPr>
            <w:tcW w:w="284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2012</w:t>
            </w:r>
          </w:p>
        </w:tc>
        <w:tc>
          <w:tcPr>
            <w:tcW w:w="800" w:type="dxa"/>
            <w:vAlign w:val="bottom"/>
          </w:tcPr>
          <w:p>
            <w:pPr>
              <w:jc w:val="right"/>
              <w:ind w:right="142"/>
              <w:spacing w:after="0"/>
              <w:rPr>
                <w:sz w:val="20"/>
                <w:szCs w:val="20"/>
                <w:color w:val="auto"/>
              </w:rPr>
            </w:pPr>
            <w:r>
              <w:rPr>
                <w:rFonts w:ascii="Arial" w:cs="Arial" w:eastAsia="Arial" w:hAnsi="Arial"/>
                <w:sz w:val="14"/>
                <w:szCs w:val="14"/>
                <w:b w:val="1"/>
                <w:bCs w:val="1"/>
                <w:color w:val="auto"/>
              </w:rPr>
              <w:t>2011</w:t>
            </w:r>
          </w:p>
        </w:tc>
        <w:tc>
          <w:tcPr>
            <w:tcW w:w="260" w:type="dxa"/>
            <w:vAlign w:val="bottom"/>
          </w:tcPr>
          <w:p>
            <w:pPr>
              <w:spacing w:after="0"/>
              <w:rPr>
                <w:sz w:val="14"/>
                <w:szCs w:val="14"/>
                <w:color w:val="auto"/>
              </w:rPr>
            </w:pPr>
          </w:p>
        </w:tc>
        <w:tc>
          <w:tcPr>
            <w:tcW w:w="820" w:type="dxa"/>
            <w:vAlign w:val="bottom"/>
          </w:tcPr>
          <w:p>
            <w:pPr>
              <w:jc w:val="center"/>
              <w:ind w:right="66"/>
              <w:spacing w:after="0"/>
              <w:rPr>
                <w:sz w:val="20"/>
                <w:szCs w:val="20"/>
                <w:color w:val="auto"/>
              </w:rPr>
            </w:pPr>
            <w:r>
              <w:rPr>
                <w:rFonts w:ascii="Arial" w:cs="Arial" w:eastAsia="Arial" w:hAnsi="Arial"/>
                <w:sz w:val="14"/>
                <w:szCs w:val="14"/>
                <w:b w:val="1"/>
                <w:bCs w:val="1"/>
                <w:color w:val="auto"/>
                <w:w w:val="85"/>
              </w:rPr>
              <w:t>Change</w:t>
            </w:r>
          </w:p>
        </w:tc>
        <w:tc>
          <w:tcPr>
            <w:tcW w:w="106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2012</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2011</w:t>
            </w:r>
          </w:p>
        </w:tc>
        <w:tc>
          <w:tcPr>
            <w:tcW w:w="26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8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2140" w:type="dxa"/>
            <w:vAlign w:val="bottom"/>
            <w:tcBorders>
              <w:top w:val="single" w:sz="8" w:color="auto"/>
            </w:tcBorders>
            <w:gridSpan w:val="4"/>
          </w:tcPr>
          <w:p>
            <w:pPr>
              <w:jc w:val="right"/>
              <w:ind w:right="92"/>
              <w:spacing w:after="0" w:line="142" w:lineRule="exact"/>
              <w:rPr>
                <w:sz w:val="20"/>
                <w:szCs w:val="20"/>
                <w:color w:val="auto"/>
              </w:rPr>
            </w:pPr>
            <w:r>
              <w:rPr>
                <w:rFonts w:ascii="Arial" w:cs="Arial" w:eastAsia="Arial" w:hAnsi="Arial"/>
                <w:sz w:val="14"/>
                <w:szCs w:val="14"/>
                <w:b w:val="1"/>
                <w:bCs w:val="1"/>
                <w:color w:val="auto"/>
                <w:w w:val="86"/>
              </w:rPr>
              <w:t>(in thousands, except percentage)</w:t>
            </w:r>
          </w:p>
        </w:tc>
        <w:tc>
          <w:tcPr>
            <w:tcW w:w="80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284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$264,175</w:t>
            </w:r>
          </w:p>
        </w:tc>
        <w:tc>
          <w:tcPr>
            <w:tcW w:w="10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$249,604</w:t>
            </w:r>
          </w:p>
        </w:tc>
        <w:tc>
          <w:tcPr>
            <w:tcW w:w="820" w:type="dxa"/>
            <w:vAlign w:val="bottom"/>
            <w:shd w:val="clear" w:color="auto" w:fill="CCEEFF"/>
          </w:tcPr>
          <w:p>
            <w:pPr>
              <w:jc w:val="right"/>
              <w:ind w:right="46"/>
              <w:spacing w:after="0"/>
              <w:rPr>
                <w:sz w:val="20"/>
                <w:szCs w:val="20"/>
                <w:color w:val="auto"/>
              </w:rPr>
            </w:pPr>
            <w:r>
              <w:rPr>
                <w:rFonts w:ascii="Arial" w:cs="Arial" w:eastAsia="Arial" w:hAnsi="Arial"/>
                <w:sz w:val="18"/>
                <w:szCs w:val="18"/>
                <w:color w:val="auto"/>
              </w:rPr>
              <w:t>5.8%</w:t>
            </w:r>
          </w:p>
        </w:tc>
        <w:tc>
          <w:tcPr>
            <w:tcW w:w="10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$520,145</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$492,141</w:t>
            </w:r>
          </w:p>
        </w:tc>
        <w:tc>
          <w:tcPr>
            <w:tcW w:w="2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22"/>
        </w:trPr>
        <w:tc>
          <w:tcPr>
            <w:tcW w:w="3800" w:type="dxa"/>
            <w:vAlign w:val="bottom"/>
          </w:tcPr>
          <w:p>
            <w:pPr>
              <w:spacing w:after="0"/>
              <w:rPr>
                <w:sz w:val="20"/>
                <w:szCs w:val="20"/>
                <w:color w:val="auto"/>
              </w:rPr>
            </w:pPr>
            <w:r>
              <w:rPr>
                <w:rFonts w:ascii="Arial" w:cs="Arial" w:eastAsia="Arial" w:hAnsi="Arial"/>
                <w:sz w:val="18"/>
                <w:szCs w:val="18"/>
                <w:color w:val="auto"/>
              </w:rPr>
              <w:t>% of net revenue</w:t>
            </w:r>
          </w:p>
        </w:tc>
        <w:tc>
          <w:tcPr>
            <w:tcW w:w="2840" w:type="dxa"/>
            <w:vAlign w:val="bottom"/>
            <w:gridSpan w:val="2"/>
          </w:tcPr>
          <w:p>
            <w:pPr>
              <w:jc w:val="right"/>
              <w:ind w:right="52"/>
              <w:spacing w:after="0"/>
              <w:rPr>
                <w:sz w:val="20"/>
                <w:szCs w:val="20"/>
                <w:color w:val="auto"/>
              </w:rPr>
            </w:pPr>
            <w:r>
              <w:rPr>
                <w:rFonts w:ascii="Arial" w:cs="Arial" w:eastAsia="Arial" w:hAnsi="Arial"/>
                <w:sz w:val="18"/>
                <w:szCs w:val="18"/>
                <w:color w:val="auto"/>
              </w:rPr>
              <w:t>32.4%</w:t>
            </w: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27.8%</w:t>
            </w:r>
          </w:p>
        </w:tc>
        <w:tc>
          <w:tcPr>
            <w:tcW w:w="820" w:type="dxa"/>
            <w:vAlign w:val="bottom"/>
          </w:tcPr>
          <w:p>
            <w:pPr>
              <w:spacing w:after="0"/>
              <w:rPr>
                <w:sz w:val="19"/>
                <w:szCs w:val="19"/>
                <w:color w:val="auto"/>
              </w:rPr>
            </w:pP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32.3%</w:t>
            </w: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29.0%</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Research and development expense increased for the three and six months ended July 28, 2012 by $14.6 million and $28.0 million, respectively, compared to the three and six months ended July 30, 2011. These increases were primarily attributable to higher personnel-related costs as a result of increased headcount and higher average employee compensation. For the three months ended July 28, 2012, the increase in research and development expense compared to the three months ended July 30, 2011 also included higher product development costs.</w:t>
      </w:r>
    </w:p>
    <w:p>
      <w:pPr>
        <w:spacing w:after="0" w:line="113"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We currently expect that research and development expense for the three months ending October 27, 2012 will be similar to the level of expense reported for the three months ended July 28, 2012 as we continue to invest in future growth.</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0" w:type="dxa"/>
            <w:vAlign w:val="bottom"/>
          </w:tcPr>
          <w:p>
            <w:pPr>
              <w:spacing w:after="0"/>
              <w:rPr>
                <w:sz w:val="14"/>
                <w:szCs w:val="14"/>
                <w:color w:val="auto"/>
              </w:rPr>
            </w:pPr>
          </w:p>
        </w:tc>
        <w:tc>
          <w:tcPr>
            <w:tcW w:w="2240" w:type="dxa"/>
            <w:vAlign w:val="bottom"/>
          </w:tcPr>
          <w:p>
            <w:pPr>
              <w:spacing w:after="0"/>
              <w:rPr>
                <w:sz w:val="14"/>
                <w:szCs w:val="14"/>
                <w:color w:val="auto"/>
              </w:rPr>
            </w:pPr>
          </w:p>
        </w:tc>
        <w:tc>
          <w:tcPr>
            <w:tcW w:w="1820" w:type="dxa"/>
            <w:vAlign w:val="bottom"/>
            <w:gridSpan w:val="3"/>
          </w:tcPr>
          <w:p>
            <w:pPr>
              <w:jc w:val="right"/>
              <w:ind w:right="352"/>
              <w:spacing w:after="0"/>
              <w:rPr>
                <w:sz w:val="20"/>
                <w:szCs w:val="20"/>
                <w:color w:val="auto"/>
              </w:rPr>
            </w:pPr>
            <w:r>
              <w:rPr>
                <w:rFonts w:ascii="Arial" w:cs="Arial" w:eastAsia="Arial" w:hAnsi="Arial"/>
                <w:sz w:val="14"/>
                <w:szCs w:val="14"/>
                <w:b w:val="1"/>
                <w:bCs w:val="1"/>
                <w:color w:val="auto"/>
                <w:w w:val="99"/>
              </w:rPr>
              <w:t>Three Months Ended</w:t>
            </w:r>
          </w:p>
        </w:tc>
        <w:tc>
          <w:tcPr>
            <w:tcW w:w="960" w:type="dxa"/>
            <w:vAlign w:val="bottom"/>
            <w:vMerge w:val="restart"/>
          </w:tcPr>
          <w:p>
            <w:pPr>
              <w:jc w:val="right"/>
              <w:ind w:right="466"/>
              <w:spacing w:after="0"/>
              <w:rPr>
                <w:sz w:val="20"/>
                <w:szCs w:val="20"/>
                <w:color w:val="auto"/>
              </w:rPr>
            </w:pPr>
            <w:r>
              <w:rPr>
                <w:rFonts w:ascii="Arial" w:cs="Arial" w:eastAsia="Arial" w:hAnsi="Arial"/>
                <w:sz w:val="14"/>
                <w:szCs w:val="14"/>
                <w:b w:val="1"/>
                <w:bCs w:val="1"/>
                <w:color w:val="auto"/>
              </w:rPr>
              <w:t>%</w:t>
            </w:r>
          </w:p>
        </w:tc>
        <w:tc>
          <w:tcPr>
            <w:tcW w:w="182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rPr>
              <w:t>Six Months Ended</w:t>
            </w:r>
          </w:p>
        </w:tc>
        <w:tc>
          <w:tcPr>
            <w:tcW w:w="5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800" w:type="dxa"/>
            <w:vAlign w:val="bottom"/>
          </w:tcPr>
          <w:p>
            <w:pPr>
              <w:spacing w:after="0"/>
              <w:rPr>
                <w:sz w:val="11"/>
                <w:szCs w:val="11"/>
                <w:color w:val="auto"/>
              </w:rPr>
            </w:pPr>
          </w:p>
        </w:tc>
        <w:tc>
          <w:tcPr>
            <w:tcW w:w="2240" w:type="dxa"/>
            <w:vAlign w:val="bottom"/>
          </w:tcPr>
          <w:p>
            <w:pPr>
              <w:spacing w:after="0"/>
              <w:rPr>
                <w:sz w:val="11"/>
                <w:szCs w:val="11"/>
                <w:color w:val="auto"/>
              </w:rPr>
            </w:pPr>
          </w:p>
        </w:tc>
        <w:tc>
          <w:tcPr>
            <w:tcW w:w="860" w:type="dxa"/>
            <w:vAlign w:val="bottom"/>
            <w:tcBorders>
              <w:top w:val="single" w:sz="8" w:color="auto"/>
            </w:tcBorders>
          </w:tcPr>
          <w:p>
            <w:pPr>
              <w:jc w:val="right"/>
              <w:ind w:right="272"/>
              <w:spacing w:after="0" w:line="129" w:lineRule="exact"/>
              <w:rPr>
                <w:sz w:val="20"/>
                <w:szCs w:val="20"/>
                <w:color w:val="auto"/>
              </w:rPr>
            </w:pPr>
            <w:r>
              <w:rPr>
                <w:rFonts w:ascii="Arial" w:cs="Arial" w:eastAsia="Arial" w:hAnsi="Arial"/>
                <w:sz w:val="14"/>
                <w:szCs w:val="14"/>
                <w:b w:val="1"/>
                <w:bCs w:val="1"/>
                <w:color w:val="auto"/>
                <w:w w:val="97"/>
              </w:rPr>
              <w:t>July 28,</w:t>
            </w: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July 30,</w:t>
            </w:r>
          </w:p>
        </w:tc>
        <w:tc>
          <w:tcPr>
            <w:tcW w:w="260" w:type="dxa"/>
            <w:vAlign w:val="bottom"/>
          </w:tcPr>
          <w:p>
            <w:pPr>
              <w:spacing w:after="0"/>
              <w:rPr>
                <w:sz w:val="11"/>
                <w:szCs w:val="11"/>
                <w:color w:val="auto"/>
              </w:rPr>
            </w:pPr>
          </w:p>
        </w:tc>
        <w:tc>
          <w:tcPr>
            <w:tcW w:w="960" w:type="dxa"/>
            <w:vAlign w:val="bottom"/>
            <w:vMerge w:val="continue"/>
          </w:tcPr>
          <w:p>
            <w:pPr>
              <w:spacing w:after="0"/>
              <w:rPr>
                <w:sz w:val="11"/>
                <w:szCs w:val="11"/>
                <w:color w:val="auto"/>
              </w:rPr>
            </w:pPr>
          </w:p>
        </w:tc>
        <w:tc>
          <w:tcPr>
            <w:tcW w:w="880" w:type="dxa"/>
            <w:vAlign w:val="bottom"/>
            <w:tcBorders>
              <w:top w:val="single" w:sz="8" w:color="auto"/>
            </w:tcBorders>
          </w:tcPr>
          <w:p>
            <w:pPr>
              <w:jc w:val="right"/>
              <w:ind w:right="284"/>
              <w:spacing w:after="0" w:line="129" w:lineRule="exact"/>
              <w:rPr>
                <w:sz w:val="20"/>
                <w:szCs w:val="20"/>
                <w:color w:val="auto"/>
              </w:rPr>
            </w:pPr>
            <w:r>
              <w:rPr>
                <w:rFonts w:ascii="Arial" w:cs="Arial" w:eastAsia="Arial" w:hAnsi="Arial"/>
                <w:sz w:val="14"/>
                <w:szCs w:val="14"/>
                <w:b w:val="1"/>
                <w:bCs w:val="1"/>
                <w:color w:val="auto"/>
                <w:w w:val="97"/>
              </w:rPr>
              <w:t>July 28,</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July 30,</w:t>
            </w:r>
          </w:p>
        </w:tc>
        <w:tc>
          <w:tcPr>
            <w:tcW w:w="26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800" w:type="dxa"/>
            <w:vAlign w:val="bottom"/>
          </w:tcPr>
          <w:p>
            <w:pPr>
              <w:spacing w:after="0"/>
              <w:rPr>
                <w:sz w:val="14"/>
                <w:szCs w:val="14"/>
                <w:color w:val="auto"/>
              </w:rPr>
            </w:pPr>
          </w:p>
        </w:tc>
        <w:tc>
          <w:tcPr>
            <w:tcW w:w="3100" w:type="dxa"/>
            <w:vAlign w:val="bottom"/>
            <w:gridSpan w:val="2"/>
          </w:tcPr>
          <w:p>
            <w:pPr>
              <w:jc w:val="right"/>
              <w:ind w:right="352"/>
              <w:spacing w:after="0"/>
              <w:rPr>
                <w:sz w:val="20"/>
                <w:szCs w:val="20"/>
                <w:color w:val="auto"/>
              </w:rPr>
            </w:pPr>
            <w:r>
              <w:rPr>
                <w:rFonts w:ascii="Arial" w:cs="Arial" w:eastAsia="Arial" w:hAnsi="Arial"/>
                <w:sz w:val="14"/>
                <w:szCs w:val="14"/>
                <w:b w:val="1"/>
                <w:bCs w:val="1"/>
                <w:color w:val="auto"/>
              </w:rPr>
              <w:t>2012</w:t>
            </w:r>
          </w:p>
        </w:tc>
        <w:tc>
          <w:tcPr>
            <w:tcW w:w="700" w:type="dxa"/>
            <w:vAlign w:val="bottom"/>
          </w:tcPr>
          <w:p>
            <w:pPr>
              <w:jc w:val="right"/>
              <w:ind w:right="82"/>
              <w:spacing w:after="0"/>
              <w:rPr>
                <w:sz w:val="20"/>
                <w:szCs w:val="20"/>
                <w:color w:val="auto"/>
              </w:rPr>
            </w:pPr>
            <w:r>
              <w:rPr>
                <w:rFonts w:ascii="Arial" w:cs="Arial" w:eastAsia="Arial" w:hAnsi="Arial"/>
                <w:sz w:val="14"/>
                <w:szCs w:val="14"/>
                <w:b w:val="1"/>
                <w:bCs w:val="1"/>
                <w:color w:val="auto"/>
              </w:rPr>
              <w:t>2011</w:t>
            </w:r>
          </w:p>
        </w:tc>
        <w:tc>
          <w:tcPr>
            <w:tcW w:w="260" w:type="dxa"/>
            <w:vAlign w:val="bottom"/>
          </w:tcPr>
          <w:p>
            <w:pPr>
              <w:spacing w:after="0"/>
              <w:rPr>
                <w:sz w:val="14"/>
                <w:szCs w:val="14"/>
                <w:color w:val="auto"/>
              </w:rPr>
            </w:pPr>
          </w:p>
        </w:tc>
        <w:tc>
          <w:tcPr>
            <w:tcW w:w="960" w:type="dxa"/>
            <w:vAlign w:val="bottom"/>
          </w:tcPr>
          <w:p>
            <w:pPr>
              <w:jc w:val="center"/>
              <w:ind w:right="166"/>
              <w:spacing w:after="0"/>
              <w:rPr>
                <w:sz w:val="20"/>
                <w:szCs w:val="20"/>
                <w:color w:val="auto"/>
              </w:rPr>
            </w:pPr>
            <w:r>
              <w:rPr>
                <w:rFonts w:ascii="Arial" w:cs="Arial" w:eastAsia="Arial" w:hAnsi="Arial"/>
                <w:sz w:val="14"/>
                <w:szCs w:val="14"/>
                <w:b w:val="1"/>
                <w:bCs w:val="1"/>
                <w:color w:val="auto"/>
                <w:w w:val="85"/>
              </w:rPr>
              <w:t>Change</w:t>
            </w:r>
          </w:p>
        </w:tc>
        <w:tc>
          <w:tcPr>
            <w:tcW w:w="880" w:type="dxa"/>
            <w:vAlign w:val="bottom"/>
          </w:tcPr>
          <w:p>
            <w:pPr>
              <w:jc w:val="right"/>
              <w:ind w:right="364"/>
              <w:spacing w:after="0"/>
              <w:rPr>
                <w:sz w:val="20"/>
                <w:szCs w:val="20"/>
                <w:color w:val="auto"/>
              </w:rPr>
            </w:pPr>
            <w:r>
              <w:rPr>
                <w:rFonts w:ascii="Arial" w:cs="Arial" w:eastAsia="Arial" w:hAnsi="Arial"/>
                <w:sz w:val="14"/>
                <w:szCs w:val="14"/>
                <w:b w:val="1"/>
                <w:bCs w:val="1"/>
                <w:color w:val="auto"/>
              </w:rPr>
              <w:t>2012</w:t>
            </w:r>
          </w:p>
        </w:tc>
        <w:tc>
          <w:tcPr>
            <w:tcW w:w="680" w:type="dxa"/>
            <w:vAlign w:val="bottom"/>
          </w:tcPr>
          <w:p>
            <w:pPr>
              <w:jc w:val="right"/>
              <w:ind w:right="82"/>
              <w:spacing w:after="0"/>
              <w:rPr>
                <w:sz w:val="20"/>
                <w:szCs w:val="20"/>
                <w:color w:val="auto"/>
              </w:rPr>
            </w:pPr>
            <w:r>
              <w:rPr>
                <w:rFonts w:ascii="Arial" w:cs="Arial" w:eastAsia="Arial" w:hAnsi="Arial"/>
                <w:sz w:val="14"/>
                <w:szCs w:val="14"/>
                <w:b w:val="1"/>
                <w:bCs w:val="1"/>
                <w:color w:val="auto"/>
              </w:rPr>
              <w:t>2011</w:t>
            </w:r>
          </w:p>
        </w:tc>
        <w:tc>
          <w:tcPr>
            <w:tcW w:w="26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800" w:type="dxa"/>
            <w:vAlign w:val="bottom"/>
          </w:tcPr>
          <w:p>
            <w:pPr>
              <w:spacing w:after="0"/>
              <w:rPr>
                <w:sz w:val="12"/>
                <w:szCs w:val="12"/>
                <w:color w:val="auto"/>
              </w:rPr>
            </w:pPr>
          </w:p>
        </w:tc>
        <w:tc>
          <w:tcPr>
            <w:tcW w:w="2240" w:type="dxa"/>
            <w:vAlign w:val="bottom"/>
          </w:tcPr>
          <w:p>
            <w:pPr>
              <w:spacing w:after="0"/>
              <w:rPr>
                <w:sz w:val="12"/>
                <w:szCs w:val="12"/>
                <w:color w:val="auto"/>
              </w:rPr>
            </w:pPr>
          </w:p>
        </w:tc>
        <w:tc>
          <w:tcPr>
            <w:tcW w:w="86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2100" w:type="dxa"/>
            <w:vAlign w:val="bottom"/>
            <w:tcBorders>
              <w:top w:val="single" w:sz="8" w:color="auto"/>
            </w:tcBorders>
            <w:gridSpan w:val="3"/>
          </w:tcPr>
          <w:p>
            <w:pPr>
              <w:jc w:val="right"/>
              <w:ind w:right="24"/>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68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10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$41,034</w:t>
            </w:r>
          </w:p>
        </w:tc>
        <w:tc>
          <w:tcPr>
            <w:tcW w:w="9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$40,390</w:t>
            </w:r>
          </w:p>
        </w:tc>
        <w:tc>
          <w:tcPr>
            <w:tcW w:w="960" w:type="dxa"/>
            <w:vAlign w:val="bottom"/>
            <w:shd w:val="clear" w:color="auto" w:fill="CCEEFF"/>
          </w:tcPr>
          <w:p>
            <w:pPr>
              <w:jc w:val="right"/>
              <w:ind w:right="166"/>
              <w:spacing w:after="0"/>
              <w:rPr>
                <w:sz w:val="20"/>
                <w:szCs w:val="20"/>
                <w:color w:val="auto"/>
              </w:rPr>
            </w:pPr>
            <w:r>
              <w:rPr>
                <w:rFonts w:ascii="Arial" w:cs="Arial" w:eastAsia="Arial" w:hAnsi="Arial"/>
                <w:sz w:val="18"/>
                <w:szCs w:val="18"/>
                <w:color w:val="auto"/>
              </w:rPr>
              <w:t>1.6%</w:t>
            </w:r>
          </w:p>
        </w:tc>
        <w:tc>
          <w:tcPr>
            <w:tcW w:w="88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86"/>
              </w:rPr>
              <w:t>$81,100</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$78,542</w:t>
            </w:r>
          </w:p>
        </w:tc>
        <w:tc>
          <w:tcPr>
            <w:tcW w:w="2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222"/>
        </w:trPr>
        <w:tc>
          <w:tcPr>
            <w:tcW w:w="3800" w:type="dxa"/>
            <w:vAlign w:val="bottom"/>
          </w:tcPr>
          <w:p>
            <w:pPr>
              <w:spacing w:after="0"/>
              <w:rPr>
                <w:sz w:val="20"/>
                <w:szCs w:val="20"/>
                <w:color w:val="auto"/>
              </w:rPr>
            </w:pPr>
            <w:r>
              <w:rPr>
                <w:rFonts w:ascii="Arial" w:cs="Arial" w:eastAsia="Arial" w:hAnsi="Arial"/>
                <w:sz w:val="18"/>
                <w:szCs w:val="18"/>
                <w:color w:val="auto"/>
              </w:rPr>
              <w:t>% of net revenue</w:t>
            </w:r>
          </w:p>
        </w:tc>
        <w:tc>
          <w:tcPr>
            <w:tcW w:w="3100" w:type="dxa"/>
            <w:vAlign w:val="bottom"/>
            <w:gridSpan w:val="2"/>
          </w:tcPr>
          <w:p>
            <w:pPr>
              <w:jc w:val="right"/>
              <w:ind w:right="52"/>
              <w:spacing w:after="0"/>
              <w:rPr>
                <w:sz w:val="20"/>
                <w:szCs w:val="20"/>
                <w:color w:val="auto"/>
              </w:rPr>
            </w:pPr>
            <w:r>
              <w:rPr>
                <w:rFonts w:ascii="Arial" w:cs="Arial" w:eastAsia="Arial" w:hAnsi="Arial"/>
                <w:sz w:val="18"/>
                <w:szCs w:val="18"/>
                <w:color w:val="auto"/>
              </w:rPr>
              <w:t>5.0%</w:t>
            </w:r>
          </w:p>
        </w:tc>
        <w:tc>
          <w:tcPr>
            <w:tcW w:w="960" w:type="dxa"/>
            <w:vAlign w:val="bottom"/>
            <w:gridSpan w:val="2"/>
          </w:tcPr>
          <w:p>
            <w:pPr>
              <w:jc w:val="right"/>
              <w:ind w:right="52"/>
              <w:spacing w:after="0"/>
              <w:rPr>
                <w:sz w:val="20"/>
                <w:szCs w:val="20"/>
                <w:color w:val="auto"/>
              </w:rPr>
            </w:pPr>
            <w:r>
              <w:rPr>
                <w:rFonts w:ascii="Arial" w:cs="Arial" w:eastAsia="Arial" w:hAnsi="Arial"/>
                <w:sz w:val="18"/>
                <w:szCs w:val="18"/>
                <w:color w:val="auto"/>
              </w:rPr>
              <w:t>4.5%</w:t>
            </w:r>
          </w:p>
        </w:tc>
        <w:tc>
          <w:tcPr>
            <w:tcW w:w="960" w:type="dxa"/>
            <w:vAlign w:val="bottom"/>
          </w:tcPr>
          <w:p>
            <w:pPr>
              <w:spacing w:after="0"/>
              <w:rPr>
                <w:sz w:val="19"/>
                <w:szCs w:val="19"/>
                <w:color w:val="auto"/>
              </w:rPr>
            </w:pPr>
          </w:p>
        </w:tc>
        <w:tc>
          <w:tcPr>
            <w:tcW w:w="880" w:type="dxa"/>
            <w:vAlign w:val="bottom"/>
          </w:tcPr>
          <w:p>
            <w:pPr>
              <w:jc w:val="right"/>
              <w:ind w:right="64"/>
              <w:spacing w:after="0"/>
              <w:rPr>
                <w:sz w:val="20"/>
                <w:szCs w:val="20"/>
                <w:color w:val="auto"/>
              </w:rPr>
            </w:pPr>
            <w:r>
              <w:rPr>
                <w:rFonts w:ascii="Arial" w:cs="Arial" w:eastAsia="Arial" w:hAnsi="Arial"/>
                <w:sz w:val="18"/>
                <w:szCs w:val="18"/>
                <w:color w:val="auto"/>
              </w:rPr>
              <w:t>5.0%</w:t>
            </w:r>
          </w:p>
        </w:tc>
        <w:tc>
          <w:tcPr>
            <w:tcW w:w="940" w:type="dxa"/>
            <w:vAlign w:val="bottom"/>
            <w:gridSpan w:val="2"/>
          </w:tcPr>
          <w:p>
            <w:pPr>
              <w:jc w:val="right"/>
              <w:ind w:right="120"/>
              <w:spacing w:after="0"/>
              <w:rPr>
                <w:sz w:val="20"/>
                <w:szCs w:val="20"/>
                <w:color w:val="auto"/>
              </w:rPr>
            </w:pPr>
            <w:r>
              <w:rPr>
                <w:rFonts w:ascii="Arial" w:cs="Arial" w:eastAsia="Arial" w:hAnsi="Arial"/>
                <w:sz w:val="18"/>
                <w:szCs w:val="18"/>
                <w:color w:val="auto"/>
              </w:rPr>
              <w:t>4.6%</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Selling and marketing expense for the three and six months ended July 28, 2012 increased by $0.6 million and $2.6 million, respectively, compared to the three and six months ended July 30, 2011. These increases were primarily attributable to higher expenses arising from greater trade show and marketing communication activities.</w:t>
      </w:r>
    </w:p>
    <w:p>
      <w:pPr>
        <w:spacing w:after="0" w:line="140"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We currently expect that selling and marketing expense for the three months ending October 27, 2012 will be similar to the level of expense reported for the three months ended July 28, 2012.</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00" w:type="dxa"/>
            <w:vAlign w:val="bottom"/>
          </w:tcPr>
          <w:p>
            <w:pPr>
              <w:spacing w:after="0"/>
              <w:rPr>
                <w:sz w:val="14"/>
                <w:szCs w:val="14"/>
                <w:color w:val="auto"/>
              </w:rPr>
            </w:pPr>
          </w:p>
        </w:tc>
        <w:tc>
          <w:tcPr>
            <w:tcW w:w="2080" w:type="dxa"/>
            <w:vAlign w:val="bottom"/>
          </w:tcPr>
          <w:p>
            <w:pPr>
              <w:spacing w:after="0"/>
              <w:rPr>
                <w:sz w:val="14"/>
                <w:szCs w:val="14"/>
                <w:color w:val="auto"/>
              </w:rPr>
            </w:pPr>
          </w:p>
        </w:tc>
        <w:tc>
          <w:tcPr>
            <w:tcW w:w="1800" w:type="dxa"/>
            <w:vAlign w:val="bottom"/>
            <w:gridSpan w:val="3"/>
          </w:tcPr>
          <w:p>
            <w:pPr>
              <w:jc w:val="right"/>
              <w:ind w:right="352"/>
              <w:spacing w:after="0"/>
              <w:rPr>
                <w:sz w:val="20"/>
                <w:szCs w:val="20"/>
                <w:color w:val="auto"/>
              </w:rPr>
            </w:pPr>
            <w:r>
              <w:rPr>
                <w:rFonts w:ascii="Arial" w:cs="Arial" w:eastAsia="Arial" w:hAnsi="Arial"/>
                <w:sz w:val="14"/>
                <w:szCs w:val="14"/>
                <w:b w:val="1"/>
                <w:bCs w:val="1"/>
                <w:color w:val="auto"/>
                <w:w w:val="98"/>
              </w:rPr>
              <w:t>Three Months Ended</w:t>
            </w:r>
          </w:p>
        </w:tc>
        <w:tc>
          <w:tcPr>
            <w:tcW w:w="940" w:type="dxa"/>
            <w:vAlign w:val="bottom"/>
            <w:vMerge w:val="restart"/>
          </w:tcPr>
          <w:p>
            <w:pPr>
              <w:jc w:val="right"/>
              <w:ind w:right="466"/>
              <w:spacing w:after="0"/>
              <w:rPr>
                <w:sz w:val="20"/>
                <w:szCs w:val="20"/>
                <w:color w:val="auto"/>
              </w:rPr>
            </w:pPr>
            <w:r>
              <w:rPr>
                <w:rFonts w:ascii="Arial" w:cs="Arial" w:eastAsia="Arial" w:hAnsi="Arial"/>
                <w:sz w:val="14"/>
                <w:szCs w:val="14"/>
                <w:b w:val="1"/>
                <w:bCs w:val="1"/>
                <w:color w:val="auto"/>
              </w:rPr>
              <w:t>%</w:t>
            </w:r>
          </w:p>
        </w:tc>
        <w:tc>
          <w:tcPr>
            <w:tcW w:w="182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rPr>
              <w:t>Six Months Ended</w:t>
            </w:r>
          </w:p>
        </w:tc>
        <w:tc>
          <w:tcPr>
            <w:tcW w:w="5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000" w:type="dxa"/>
            <w:vAlign w:val="bottom"/>
          </w:tcPr>
          <w:p>
            <w:pPr>
              <w:spacing w:after="0"/>
              <w:rPr>
                <w:sz w:val="11"/>
                <w:szCs w:val="11"/>
                <w:color w:val="auto"/>
              </w:rPr>
            </w:pPr>
          </w:p>
        </w:tc>
        <w:tc>
          <w:tcPr>
            <w:tcW w:w="2080" w:type="dxa"/>
            <w:vAlign w:val="bottom"/>
          </w:tcPr>
          <w:p>
            <w:pPr>
              <w:spacing w:after="0"/>
              <w:rPr>
                <w:sz w:val="11"/>
                <w:szCs w:val="11"/>
                <w:color w:val="auto"/>
              </w:rPr>
            </w:pPr>
          </w:p>
        </w:tc>
        <w:tc>
          <w:tcPr>
            <w:tcW w:w="840" w:type="dxa"/>
            <w:vAlign w:val="bottom"/>
            <w:tcBorders>
              <w:top w:val="single" w:sz="8" w:color="auto"/>
            </w:tcBorders>
          </w:tcPr>
          <w:p>
            <w:pPr>
              <w:jc w:val="right"/>
              <w:ind w:right="272"/>
              <w:spacing w:after="0" w:line="129" w:lineRule="exact"/>
              <w:rPr>
                <w:sz w:val="20"/>
                <w:szCs w:val="20"/>
                <w:color w:val="auto"/>
              </w:rPr>
            </w:pPr>
            <w:r>
              <w:rPr>
                <w:rFonts w:ascii="Arial" w:cs="Arial" w:eastAsia="Arial" w:hAnsi="Arial"/>
                <w:sz w:val="14"/>
                <w:szCs w:val="14"/>
                <w:b w:val="1"/>
                <w:bCs w:val="1"/>
                <w:color w:val="auto"/>
                <w:w w:val="93"/>
              </w:rPr>
              <w:t>July 28,</w:t>
            </w:r>
          </w:p>
        </w:tc>
        <w:tc>
          <w:tcPr>
            <w:tcW w:w="700" w:type="dxa"/>
            <w:vAlign w:val="bottom"/>
            <w:tcBorders>
              <w:top w:val="single" w:sz="8" w:color="auto"/>
            </w:tcBorders>
          </w:tcPr>
          <w:p>
            <w:pPr>
              <w:jc w:val="right"/>
              <w:ind w:right="2"/>
              <w:spacing w:after="0" w:line="129" w:lineRule="exact"/>
              <w:rPr>
                <w:sz w:val="20"/>
                <w:szCs w:val="20"/>
                <w:color w:val="auto"/>
              </w:rPr>
            </w:pPr>
            <w:r>
              <w:rPr>
                <w:rFonts w:ascii="Arial" w:cs="Arial" w:eastAsia="Arial" w:hAnsi="Arial"/>
                <w:sz w:val="14"/>
                <w:szCs w:val="14"/>
                <w:b w:val="1"/>
                <w:bCs w:val="1"/>
                <w:color w:val="auto"/>
              </w:rPr>
              <w:t>July 30,</w:t>
            </w:r>
          </w:p>
        </w:tc>
        <w:tc>
          <w:tcPr>
            <w:tcW w:w="260" w:type="dxa"/>
            <w:vAlign w:val="bottom"/>
          </w:tcPr>
          <w:p>
            <w:pPr>
              <w:spacing w:after="0"/>
              <w:rPr>
                <w:sz w:val="11"/>
                <w:szCs w:val="11"/>
                <w:color w:val="auto"/>
              </w:rPr>
            </w:pPr>
          </w:p>
        </w:tc>
        <w:tc>
          <w:tcPr>
            <w:tcW w:w="940" w:type="dxa"/>
            <w:vAlign w:val="bottom"/>
            <w:vMerge w:val="continue"/>
          </w:tcPr>
          <w:p>
            <w:pPr>
              <w:spacing w:after="0"/>
              <w:rPr>
                <w:sz w:val="11"/>
                <w:szCs w:val="11"/>
                <w:color w:val="auto"/>
              </w:rPr>
            </w:pPr>
          </w:p>
        </w:tc>
        <w:tc>
          <w:tcPr>
            <w:tcW w:w="880" w:type="dxa"/>
            <w:vAlign w:val="bottom"/>
            <w:tcBorders>
              <w:top w:val="single" w:sz="8" w:color="auto"/>
            </w:tcBorders>
          </w:tcPr>
          <w:p>
            <w:pPr>
              <w:jc w:val="right"/>
              <w:ind w:right="284"/>
              <w:spacing w:after="0" w:line="129" w:lineRule="exact"/>
              <w:rPr>
                <w:sz w:val="20"/>
                <w:szCs w:val="20"/>
                <w:color w:val="auto"/>
              </w:rPr>
            </w:pPr>
            <w:r>
              <w:rPr>
                <w:rFonts w:ascii="Arial" w:cs="Arial" w:eastAsia="Arial" w:hAnsi="Arial"/>
                <w:sz w:val="14"/>
                <w:szCs w:val="14"/>
                <w:b w:val="1"/>
                <w:bCs w:val="1"/>
                <w:color w:val="auto"/>
                <w:w w:val="97"/>
              </w:rPr>
              <w:t>July 28,</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July 30,</w:t>
            </w:r>
          </w:p>
        </w:tc>
        <w:tc>
          <w:tcPr>
            <w:tcW w:w="26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000" w:type="dxa"/>
            <w:vAlign w:val="bottom"/>
          </w:tcPr>
          <w:p>
            <w:pPr>
              <w:spacing w:after="0"/>
              <w:rPr>
                <w:sz w:val="14"/>
                <w:szCs w:val="14"/>
                <w:color w:val="auto"/>
              </w:rPr>
            </w:pPr>
          </w:p>
        </w:tc>
        <w:tc>
          <w:tcPr>
            <w:tcW w:w="2920" w:type="dxa"/>
            <w:vAlign w:val="bottom"/>
            <w:gridSpan w:val="2"/>
          </w:tcPr>
          <w:p>
            <w:pPr>
              <w:jc w:val="right"/>
              <w:ind w:right="352"/>
              <w:spacing w:after="0"/>
              <w:rPr>
                <w:sz w:val="20"/>
                <w:szCs w:val="20"/>
                <w:color w:val="auto"/>
              </w:rPr>
            </w:pPr>
            <w:r>
              <w:rPr>
                <w:rFonts w:ascii="Arial" w:cs="Arial" w:eastAsia="Arial" w:hAnsi="Arial"/>
                <w:sz w:val="14"/>
                <w:szCs w:val="14"/>
                <w:b w:val="1"/>
                <w:bCs w:val="1"/>
                <w:color w:val="auto"/>
              </w:rPr>
              <w:t>2012</w:t>
            </w:r>
          </w:p>
        </w:tc>
        <w:tc>
          <w:tcPr>
            <w:tcW w:w="700" w:type="dxa"/>
            <w:vAlign w:val="bottom"/>
          </w:tcPr>
          <w:p>
            <w:pPr>
              <w:jc w:val="right"/>
              <w:ind w:right="82"/>
              <w:spacing w:after="0"/>
              <w:rPr>
                <w:sz w:val="20"/>
                <w:szCs w:val="20"/>
                <w:color w:val="auto"/>
              </w:rPr>
            </w:pPr>
            <w:r>
              <w:rPr>
                <w:rFonts w:ascii="Arial" w:cs="Arial" w:eastAsia="Arial" w:hAnsi="Arial"/>
                <w:sz w:val="14"/>
                <w:szCs w:val="14"/>
                <w:b w:val="1"/>
                <w:bCs w:val="1"/>
                <w:color w:val="auto"/>
              </w:rPr>
              <w:t>2011</w:t>
            </w:r>
          </w:p>
        </w:tc>
        <w:tc>
          <w:tcPr>
            <w:tcW w:w="260" w:type="dxa"/>
            <w:vAlign w:val="bottom"/>
          </w:tcPr>
          <w:p>
            <w:pPr>
              <w:spacing w:after="0"/>
              <w:rPr>
                <w:sz w:val="14"/>
                <w:szCs w:val="14"/>
                <w:color w:val="auto"/>
              </w:rPr>
            </w:pPr>
          </w:p>
        </w:tc>
        <w:tc>
          <w:tcPr>
            <w:tcW w:w="940" w:type="dxa"/>
            <w:vAlign w:val="bottom"/>
          </w:tcPr>
          <w:p>
            <w:pPr>
              <w:jc w:val="center"/>
              <w:ind w:right="186"/>
              <w:spacing w:after="0"/>
              <w:rPr>
                <w:sz w:val="20"/>
                <w:szCs w:val="20"/>
                <w:color w:val="auto"/>
              </w:rPr>
            </w:pPr>
            <w:r>
              <w:rPr>
                <w:rFonts w:ascii="Arial" w:cs="Arial" w:eastAsia="Arial" w:hAnsi="Arial"/>
                <w:sz w:val="14"/>
                <w:szCs w:val="14"/>
                <w:b w:val="1"/>
                <w:bCs w:val="1"/>
                <w:color w:val="auto"/>
                <w:w w:val="85"/>
              </w:rPr>
              <w:t>Change</w:t>
            </w:r>
          </w:p>
        </w:tc>
        <w:tc>
          <w:tcPr>
            <w:tcW w:w="880" w:type="dxa"/>
            <w:vAlign w:val="bottom"/>
          </w:tcPr>
          <w:p>
            <w:pPr>
              <w:jc w:val="right"/>
              <w:ind w:right="364"/>
              <w:spacing w:after="0"/>
              <w:rPr>
                <w:sz w:val="20"/>
                <w:szCs w:val="20"/>
                <w:color w:val="auto"/>
              </w:rPr>
            </w:pPr>
            <w:r>
              <w:rPr>
                <w:rFonts w:ascii="Arial" w:cs="Arial" w:eastAsia="Arial" w:hAnsi="Arial"/>
                <w:sz w:val="14"/>
                <w:szCs w:val="14"/>
                <w:b w:val="1"/>
                <w:bCs w:val="1"/>
                <w:color w:val="auto"/>
              </w:rPr>
              <w:t>2012</w:t>
            </w:r>
          </w:p>
        </w:tc>
        <w:tc>
          <w:tcPr>
            <w:tcW w:w="680" w:type="dxa"/>
            <w:vAlign w:val="bottom"/>
          </w:tcPr>
          <w:p>
            <w:pPr>
              <w:jc w:val="right"/>
              <w:ind w:right="82"/>
              <w:spacing w:after="0"/>
              <w:rPr>
                <w:sz w:val="20"/>
                <w:szCs w:val="20"/>
                <w:color w:val="auto"/>
              </w:rPr>
            </w:pPr>
            <w:r>
              <w:rPr>
                <w:rFonts w:ascii="Arial" w:cs="Arial" w:eastAsia="Arial" w:hAnsi="Arial"/>
                <w:sz w:val="14"/>
                <w:szCs w:val="14"/>
                <w:b w:val="1"/>
                <w:bCs w:val="1"/>
                <w:color w:val="auto"/>
              </w:rPr>
              <w:t>2011</w:t>
            </w:r>
          </w:p>
        </w:tc>
        <w:tc>
          <w:tcPr>
            <w:tcW w:w="26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000" w:type="dxa"/>
            <w:vAlign w:val="bottom"/>
          </w:tcPr>
          <w:p>
            <w:pPr>
              <w:spacing w:after="0"/>
              <w:rPr>
                <w:sz w:val="12"/>
                <w:szCs w:val="12"/>
                <w:color w:val="auto"/>
              </w:rPr>
            </w:pPr>
          </w:p>
        </w:tc>
        <w:tc>
          <w:tcPr>
            <w:tcW w:w="2080" w:type="dxa"/>
            <w:vAlign w:val="bottom"/>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2080" w:type="dxa"/>
            <w:vAlign w:val="bottom"/>
            <w:tcBorders>
              <w:top w:val="single" w:sz="8" w:color="auto"/>
            </w:tcBorders>
            <w:gridSpan w:val="3"/>
          </w:tcPr>
          <w:p>
            <w:pPr>
              <w:jc w:val="right"/>
              <w:ind w:right="24"/>
              <w:spacing w:after="0" w:line="142" w:lineRule="exact"/>
              <w:rPr>
                <w:sz w:val="20"/>
                <w:szCs w:val="20"/>
                <w:color w:val="auto"/>
              </w:rPr>
            </w:pPr>
            <w:r>
              <w:rPr>
                <w:rFonts w:ascii="Arial" w:cs="Arial" w:eastAsia="Arial" w:hAnsi="Arial"/>
                <w:sz w:val="14"/>
                <w:szCs w:val="14"/>
                <w:b w:val="1"/>
                <w:bCs w:val="1"/>
                <w:color w:val="auto"/>
                <w:w w:val="86"/>
              </w:rPr>
              <w:t>(in thousands, except percentage)</w:t>
            </w:r>
          </w:p>
        </w:tc>
        <w:tc>
          <w:tcPr>
            <w:tcW w:w="68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92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$25,718</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$23,631</w:t>
            </w:r>
          </w:p>
        </w:tc>
        <w:tc>
          <w:tcPr>
            <w:tcW w:w="260" w:type="dxa"/>
            <w:vAlign w:val="bottom"/>
            <w:shd w:val="clear" w:color="auto" w:fill="CCEEFF"/>
          </w:tcPr>
          <w:p>
            <w:pPr>
              <w:spacing w:after="0"/>
              <w:rPr>
                <w:sz w:val="18"/>
                <w:szCs w:val="18"/>
                <w:color w:val="auto"/>
              </w:rPr>
            </w:pPr>
          </w:p>
        </w:tc>
        <w:tc>
          <w:tcPr>
            <w:tcW w:w="940" w:type="dxa"/>
            <w:vAlign w:val="bottom"/>
            <w:shd w:val="clear" w:color="auto" w:fill="CCEEFF"/>
          </w:tcPr>
          <w:p>
            <w:pPr>
              <w:jc w:val="right"/>
              <w:ind w:right="166"/>
              <w:spacing w:after="0"/>
              <w:rPr>
                <w:sz w:val="20"/>
                <w:szCs w:val="20"/>
                <w:color w:val="auto"/>
              </w:rPr>
            </w:pPr>
            <w:r>
              <w:rPr>
                <w:rFonts w:ascii="Arial" w:cs="Arial" w:eastAsia="Arial" w:hAnsi="Arial"/>
                <w:sz w:val="18"/>
                <w:szCs w:val="18"/>
                <w:color w:val="auto"/>
              </w:rPr>
              <w:t>8.8%</w:t>
            </w:r>
          </w:p>
        </w:tc>
        <w:tc>
          <w:tcPr>
            <w:tcW w:w="88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86"/>
              </w:rPr>
              <w:t>$51,423</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$48,415</w:t>
            </w:r>
          </w:p>
        </w:tc>
        <w:tc>
          <w:tcPr>
            <w:tcW w:w="2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22"/>
        </w:trPr>
        <w:tc>
          <w:tcPr>
            <w:tcW w:w="4000" w:type="dxa"/>
            <w:vAlign w:val="bottom"/>
          </w:tcPr>
          <w:p>
            <w:pPr>
              <w:spacing w:after="0"/>
              <w:rPr>
                <w:sz w:val="20"/>
                <w:szCs w:val="20"/>
                <w:color w:val="auto"/>
              </w:rPr>
            </w:pPr>
            <w:r>
              <w:rPr>
                <w:rFonts w:ascii="Arial" w:cs="Arial" w:eastAsia="Arial" w:hAnsi="Arial"/>
                <w:sz w:val="18"/>
                <w:szCs w:val="18"/>
                <w:color w:val="auto"/>
              </w:rPr>
              <w:t>% of net revenue</w:t>
            </w:r>
          </w:p>
        </w:tc>
        <w:tc>
          <w:tcPr>
            <w:tcW w:w="2920" w:type="dxa"/>
            <w:vAlign w:val="bottom"/>
            <w:gridSpan w:val="2"/>
          </w:tcPr>
          <w:p>
            <w:pPr>
              <w:jc w:val="right"/>
              <w:ind w:right="52"/>
              <w:spacing w:after="0"/>
              <w:rPr>
                <w:sz w:val="20"/>
                <w:szCs w:val="20"/>
                <w:color w:val="auto"/>
              </w:rPr>
            </w:pPr>
            <w:r>
              <w:rPr>
                <w:rFonts w:ascii="Arial" w:cs="Arial" w:eastAsia="Arial" w:hAnsi="Arial"/>
                <w:sz w:val="18"/>
                <w:szCs w:val="18"/>
                <w:color w:val="auto"/>
              </w:rPr>
              <w:t>3.1%</w:t>
            </w:r>
          </w:p>
        </w:tc>
        <w:tc>
          <w:tcPr>
            <w:tcW w:w="960" w:type="dxa"/>
            <w:vAlign w:val="bottom"/>
            <w:gridSpan w:val="2"/>
          </w:tcPr>
          <w:p>
            <w:pPr>
              <w:jc w:val="right"/>
              <w:ind w:right="52"/>
              <w:spacing w:after="0"/>
              <w:rPr>
                <w:sz w:val="20"/>
                <w:szCs w:val="20"/>
                <w:color w:val="auto"/>
              </w:rPr>
            </w:pPr>
            <w:r>
              <w:rPr>
                <w:rFonts w:ascii="Arial" w:cs="Arial" w:eastAsia="Arial" w:hAnsi="Arial"/>
                <w:sz w:val="18"/>
                <w:szCs w:val="18"/>
                <w:color w:val="auto"/>
              </w:rPr>
              <w:t>2.7%</w:t>
            </w:r>
          </w:p>
        </w:tc>
        <w:tc>
          <w:tcPr>
            <w:tcW w:w="940" w:type="dxa"/>
            <w:vAlign w:val="bottom"/>
          </w:tcPr>
          <w:p>
            <w:pPr>
              <w:spacing w:after="0"/>
              <w:rPr>
                <w:sz w:val="19"/>
                <w:szCs w:val="19"/>
                <w:color w:val="auto"/>
              </w:rPr>
            </w:pPr>
          </w:p>
        </w:tc>
        <w:tc>
          <w:tcPr>
            <w:tcW w:w="880" w:type="dxa"/>
            <w:vAlign w:val="bottom"/>
          </w:tcPr>
          <w:p>
            <w:pPr>
              <w:jc w:val="right"/>
              <w:ind w:right="64"/>
              <w:spacing w:after="0"/>
              <w:rPr>
                <w:sz w:val="20"/>
                <w:szCs w:val="20"/>
                <w:color w:val="auto"/>
              </w:rPr>
            </w:pPr>
            <w:r>
              <w:rPr>
                <w:rFonts w:ascii="Arial" w:cs="Arial" w:eastAsia="Arial" w:hAnsi="Arial"/>
                <w:sz w:val="18"/>
                <w:szCs w:val="18"/>
                <w:color w:val="auto"/>
              </w:rPr>
              <w:t>3.2%</w:t>
            </w:r>
          </w:p>
        </w:tc>
        <w:tc>
          <w:tcPr>
            <w:tcW w:w="940" w:type="dxa"/>
            <w:vAlign w:val="bottom"/>
            <w:gridSpan w:val="2"/>
          </w:tcPr>
          <w:p>
            <w:pPr>
              <w:jc w:val="right"/>
              <w:ind w:right="120"/>
              <w:spacing w:after="0"/>
              <w:rPr>
                <w:sz w:val="20"/>
                <w:szCs w:val="20"/>
                <w:color w:val="auto"/>
              </w:rPr>
            </w:pPr>
            <w:r>
              <w:rPr>
                <w:rFonts w:ascii="Arial" w:cs="Arial" w:eastAsia="Arial" w:hAnsi="Arial"/>
                <w:sz w:val="18"/>
                <w:szCs w:val="18"/>
                <w:color w:val="auto"/>
              </w:rPr>
              <w:t>2.9%</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General and administrative expense for the three and six months ended July 28, 2012 increased by $2.1 million and $3.0 million, respectively, compared to the three and six months ended July 30, 2011. These increases were driven by higher share-based compensation expense partially offset by decreases in legal expenses due to the settlement of several cases prior to the end of fiscal 2012.</w:t>
      </w:r>
    </w:p>
    <w:p>
      <w:pPr>
        <w:spacing w:after="0" w:line="140"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We currently expect that general and administrative expense for the three months ending October 27, 2012 will be similar to the level of expense reported for the three months ended July 28, 2012.</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0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820" w:type="dxa"/>
            <w:vAlign w:val="bottom"/>
            <w:gridSpan w:val="3"/>
          </w:tcPr>
          <w:p>
            <w:pPr>
              <w:jc w:val="right"/>
              <w:ind w:right="352"/>
              <w:spacing w:after="0"/>
              <w:rPr>
                <w:sz w:val="20"/>
                <w:szCs w:val="20"/>
                <w:color w:val="auto"/>
              </w:rPr>
            </w:pPr>
            <w:r>
              <w:rPr>
                <w:rFonts w:ascii="Arial" w:cs="Arial" w:eastAsia="Arial" w:hAnsi="Arial"/>
                <w:sz w:val="14"/>
                <w:szCs w:val="14"/>
                <w:b w:val="1"/>
                <w:bCs w:val="1"/>
                <w:color w:val="auto"/>
                <w:w w:val="99"/>
              </w:rPr>
              <w:t>Three Months Ended</w:t>
            </w:r>
          </w:p>
        </w:tc>
        <w:tc>
          <w:tcPr>
            <w:tcW w:w="96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182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rPr>
              <w:t>Six Months Ended</w:t>
            </w:r>
          </w:p>
        </w:tc>
        <w:tc>
          <w:tcPr>
            <w:tcW w:w="5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00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860" w:type="dxa"/>
            <w:vAlign w:val="bottom"/>
            <w:tcBorders>
              <w:top w:val="single" w:sz="8" w:color="auto"/>
            </w:tcBorders>
          </w:tcPr>
          <w:p>
            <w:pPr>
              <w:jc w:val="right"/>
              <w:ind w:right="272"/>
              <w:spacing w:after="0" w:line="129" w:lineRule="exact"/>
              <w:rPr>
                <w:sz w:val="20"/>
                <w:szCs w:val="20"/>
                <w:color w:val="auto"/>
              </w:rPr>
            </w:pPr>
            <w:r>
              <w:rPr>
                <w:rFonts w:ascii="Arial" w:cs="Arial" w:eastAsia="Arial" w:hAnsi="Arial"/>
                <w:sz w:val="14"/>
                <w:szCs w:val="14"/>
                <w:b w:val="1"/>
                <w:bCs w:val="1"/>
                <w:color w:val="auto"/>
                <w:w w:val="97"/>
              </w:rPr>
              <w:t>July 28,</w:t>
            </w:r>
          </w:p>
        </w:tc>
        <w:tc>
          <w:tcPr>
            <w:tcW w:w="7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July 30,</w:t>
            </w:r>
          </w:p>
        </w:tc>
        <w:tc>
          <w:tcPr>
            <w:tcW w:w="260" w:type="dxa"/>
            <w:vAlign w:val="bottom"/>
          </w:tcPr>
          <w:p>
            <w:pPr>
              <w:spacing w:after="0"/>
              <w:rPr>
                <w:sz w:val="11"/>
                <w:szCs w:val="11"/>
                <w:color w:val="auto"/>
              </w:rPr>
            </w:pPr>
          </w:p>
        </w:tc>
        <w:tc>
          <w:tcPr>
            <w:tcW w:w="960" w:type="dxa"/>
            <w:vAlign w:val="bottom"/>
            <w:vMerge w:val="continue"/>
          </w:tcPr>
          <w:p>
            <w:pPr>
              <w:spacing w:after="0"/>
              <w:rPr>
                <w:sz w:val="11"/>
                <w:szCs w:val="11"/>
                <w:color w:val="auto"/>
              </w:rPr>
            </w:pPr>
          </w:p>
        </w:tc>
        <w:tc>
          <w:tcPr>
            <w:tcW w:w="880" w:type="dxa"/>
            <w:vAlign w:val="bottom"/>
            <w:tcBorders>
              <w:top w:val="single" w:sz="8" w:color="auto"/>
            </w:tcBorders>
          </w:tcPr>
          <w:p>
            <w:pPr>
              <w:jc w:val="right"/>
              <w:ind w:right="284"/>
              <w:spacing w:after="0" w:line="129" w:lineRule="exact"/>
              <w:rPr>
                <w:sz w:val="20"/>
                <w:szCs w:val="20"/>
                <w:color w:val="auto"/>
              </w:rPr>
            </w:pPr>
            <w:r>
              <w:rPr>
                <w:rFonts w:ascii="Arial" w:cs="Arial" w:eastAsia="Arial" w:hAnsi="Arial"/>
                <w:sz w:val="14"/>
                <w:szCs w:val="14"/>
                <w:b w:val="1"/>
                <w:bCs w:val="1"/>
                <w:color w:val="auto"/>
                <w:w w:val="97"/>
              </w:rPr>
              <w:t>July 28,</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July 30,</w:t>
            </w:r>
          </w:p>
        </w:tc>
        <w:tc>
          <w:tcPr>
            <w:tcW w:w="26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000" w:type="dxa"/>
            <w:vAlign w:val="bottom"/>
          </w:tcPr>
          <w:p>
            <w:pPr>
              <w:spacing w:after="0"/>
              <w:rPr>
                <w:sz w:val="14"/>
                <w:szCs w:val="14"/>
                <w:color w:val="auto"/>
              </w:rPr>
            </w:pPr>
          </w:p>
        </w:tc>
        <w:tc>
          <w:tcPr>
            <w:tcW w:w="1900" w:type="dxa"/>
            <w:vAlign w:val="bottom"/>
            <w:gridSpan w:val="2"/>
          </w:tcPr>
          <w:p>
            <w:pPr>
              <w:jc w:val="right"/>
              <w:ind w:right="352"/>
              <w:spacing w:after="0"/>
              <w:rPr>
                <w:sz w:val="20"/>
                <w:szCs w:val="20"/>
                <w:color w:val="auto"/>
              </w:rPr>
            </w:pPr>
            <w:r>
              <w:rPr>
                <w:rFonts w:ascii="Arial" w:cs="Arial" w:eastAsia="Arial" w:hAnsi="Arial"/>
                <w:sz w:val="14"/>
                <w:szCs w:val="14"/>
                <w:b w:val="1"/>
                <w:bCs w:val="1"/>
                <w:color w:val="auto"/>
              </w:rPr>
              <w:t>2012</w:t>
            </w:r>
          </w:p>
        </w:tc>
        <w:tc>
          <w:tcPr>
            <w:tcW w:w="700" w:type="dxa"/>
            <w:vAlign w:val="bottom"/>
          </w:tcPr>
          <w:p>
            <w:pPr>
              <w:jc w:val="right"/>
              <w:ind w:right="82"/>
              <w:spacing w:after="0"/>
              <w:rPr>
                <w:sz w:val="20"/>
                <w:szCs w:val="20"/>
                <w:color w:val="auto"/>
              </w:rPr>
            </w:pPr>
            <w:r>
              <w:rPr>
                <w:rFonts w:ascii="Arial" w:cs="Arial" w:eastAsia="Arial" w:hAnsi="Arial"/>
                <w:sz w:val="14"/>
                <w:szCs w:val="14"/>
                <w:b w:val="1"/>
                <w:bCs w:val="1"/>
                <w:color w:val="auto"/>
              </w:rPr>
              <w:t>2011</w:t>
            </w:r>
          </w:p>
        </w:tc>
        <w:tc>
          <w:tcPr>
            <w:tcW w:w="260" w:type="dxa"/>
            <w:vAlign w:val="bottom"/>
          </w:tcPr>
          <w:p>
            <w:pPr>
              <w:spacing w:after="0"/>
              <w:rPr>
                <w:sz w:val="14"/>
                <w:szCs w:val="14"/>
                <w:color w:val="auto"/>
              </w:rPr>
            </w:pPr>
          </w:p>
        </w:tc>
        <w:tc>
          <w:tcPr>
            <w:tcW w:w="960" w:type="dxa"/>
            <w:vAlign w:val="bottom"/>
          </w:tcPr>
          <w:p>
            <w:pPr>
              <w:ind w:left="140"/>
              <w:spacing w:after="0"/>
              <w:rPr>
                <w:sz w:val="20"/>
                <w:szCs w:val="20"/>
                <w:color w:val="auto"/>
              </w:rPr>
            </w:pPr>
            <w:r>
              <w:rPr>
                <w:rFonts w:ascii="Arial" w:cs="Arial" w:eastAsia="Arial" w:hAnsi="Arial"/>
                <w:sz w:val="14"/>
                <w:szCs w:val="14"/>
                <w:b w:val="1"/>
                <w:bCs w:val="1"/>
                <w:color w:val="auto"/>
              </w:rPr>
              <w:t>Change</w:t>
            </w:r>
          </w:p>
        </w:tc>
        <w:tc>
          <w:tcPr>
            <w:tcW w:w="880" w:type="dxa"/>
            <w:vAlign w:val="bottom"/>
          </w:tcPr>
          <w:p>
            <w:pPr>
              <w:jc w:val="right"/>
              <w:ind w:right="364"/>
              <w:spacing w:after="0"/>
              <w:rPr>
                <w:sz w:val="20"/>
                <w:szCs w:val="20"/>
                <w:color w:val="auto"/>
              </w:rPr>
            </w:pPr>
            <w:r>
              <w:rPr>
                <w:rFonts w:ascii="Arial" w:cs="Arial" w:eastAsia="Arial" w:hAnsi="Arial"/>
                <w:sz w:val="14"/>
                <w:szCs w:val="14"/>
                <w:b w:val="1"/>
                <w:bCs w:val="1"/>
                <w:color w:val="auto"/>
              </w:rPr>
              <w:t>2012</w:t>
            </w:r>
          </w:p>
        </w:tc>
        <w:tc>
          <w:tcPr>
            <w:tcW w:w="680" w:type="dxa"/>
            <w:vAlign w:val="bottom"/>
          </w:tcPr>
          <w:p>
            <w:pPr>
              <w:jc w:val="right"/>
              <w:ind w:right="82"/>
              <w:spacing w:after="0"/>
              <w:rPr>
                <w:sz w:val="20"/>
                <w:szCs w:val="20"/>
                <w:color w:val="auto"/>
              </w:rPr>
            </w:pPr>
            <w:r>
              <w:rPr>
                <w:rFonts w:ascii="Arial" w:cs="Arial" w:eastAsia="Arial" w:hAnsi="Arial"/>
                <w:sz w:val="14"/>
                <w:szCs w:val="14"/>
                <w:b w:val="1"/>
                <w:bCs w:val="1"/>
                <w:color w:val="auto"/>
              </w:rPr>
              <w:t>2011</w:t>
            </w:r>
          </w:p>
        </w:tc>
        <w:tc>
          <w:tcPr>
            <w:tcW w:w="26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0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86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2100" w:type="dxa"/>
            <w:vAlign w:val="bottom"/>
            <w:tcBorders>
              <w:top w:val="single" w:sz="8" w:color="auto"/>
            </w:tcBorders>
            <w:gridSpan w:val="3"/>
          </w:tcPr>
          <w:p>
            <w:pPr>
              <w:jc w:val="right"/>
              <w:ind w:right="24"/>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68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190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$13,023</w:t>
            </w:r>
          </w:p>
        </w:tc>
        <w:tc>
          <w:tcPr>
            <w:tcW w:w="9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$11,138</w:t>
            </w:r>
          </w:p>
        </w:tc>
        <w:tc>
          <w:tcPr>
            <w:tcW w:w="960" w:type="dxa"/>
            <w:vAlign w:val="bottom"/>
            <w:shd w:val="clear" w:color="auto" w:fill="CCEEFF"/>
          </w:tcPr>
          <w:p>
            <w:pPr>
              <w:ind w:left="260"/>
              <w:spacing w:after="0"/>
              <w:rPr>
                <w:sz w:val="20"/>
                <w:szCs w:val="20"/>
                <w:color w:val="auto"/>
              </w:rPr>
            </w:pPr>
            <w:r>
              <w:rPr>
                <w:rFonts w:ascii="Arial" w:cs="Arial" w:eastAsia="Arial" w:hAnsi="Arial"/>
                <w:sz w:val="18"/>
                <w:szCs w:val="18"/>
                <w:color w:val="auto"/>
              </w:rPr>
              <w:t>16.9%</w:t>
            </w:r>
          </w:p>
        </w:tc>
        <w:tc>
          <w:tcPr>
            <w:tcW w:w="88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86"/>
              </w:rPr>
              <w:t>$27,378</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$25,479</w:t>
            </w:r>
          </w:p>
        </w:tc>
        <w:tc>
          <w:tcPr>
            <w:tcW w:w="2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7.5%</w:t>
            </w:r>
          </w:p>
        </w:tc>
        <w:tc>
          <w:tcPr>
            <w:tcW w:w="0" w:type="dxa"/>
            <w:vAlign w:val="bottom"/>
          </w:tcPr>
          <w:p>
            <w:pPr>
              <w:spacing w:after="0"/>
              <w:rPr>
                <w:sz w:val="1"/>
                <w:szCs w:val="1"/>
                <w:color w:val="auto"/>
              </w:rPr>
            </w:pPr>
          </w:p>
        </w:tc>
      </w:tr>
      <w:tr>
        <w:trPr>
          <w:trHeight w:val="222"/>
        </w:trPr>
        <w:tc>
          <w:tcPr>
            <w:tcW w:w="5000" w:type="dxa"/>
            <w:vAlign w:val="bottom"/>
          </w:tcPr>
          <w:p>
            <w:pPr>
              <w:spacing w:after="0"/>
              <w:rPr>
                <w:sz w:val="20"/>
                <w:szCs w:val="20"/>
                <w:color w:val="auto"/>
              </w:rPr>
            </w:pPr>
            <w:r>
              <w:rPr>
                <w:rFonts w:ascii="Arial" w:cs="Arial" w:eastAsia="Arial" w:hAnsi="Arial"/>
                <w:sz w:val="18"/>
                <w:szCs w:val="18"/>
                <w:color w:val="auto"/>
              </w:rPr>
              <w:t>% of net revenue</w:t>
            </w:r>
          </w:p>
        </w:tc>
        <w:tc>
          <w:tcPr>
            <w:tcW w:w="1900" w:type="dxa"/>
            <w:vAlign w:val="bottom"/>
            <w:gridSpan w:val="2"/>
          </w:tcPr>
          <w:p>
            <w:pPr>
              <w:jc w:val="right"/>
              <w:ind w:right="52"/>
              <w:spacing w:after="0"/>
              <w:rPr>
                <w:sz w:val="20"/>
                <w:szCs w:val="20"/>
                <w:color w:val="auto"/>
              </w:rPr>
            </w:pPr>
            <w:r>
              <w:rPr>
                <w:rFonts w:ascii="Arial" w:cs="Arial" w:eastAsia="Arial" w:hAnsi="Arial"/>
                <w:sz w:val="18"/>
                <w:szCs w:val="18"/>
                <w:color w:val="auto"/>
              </w:rPr>
              <w:t>1.6%</w:t>
            </w:r>
          </w:p>
        </w:tc>
        <w:tc>
          <w:tcPr>
            <w:tcW w:w="960" w:type="dxa"/>
            <w:vAlign w:val="bottom"/>
            <w:gridSpan w:val="2"/>
          </w:tcPr>
          <w:p>
            <w:pPr>
              <w:jc w:val="right"/>
              <w:ind w:right="52"/>
              <w:spacing w:after="0"/>
              <w:rPr>
                <w:sz w:val="20"/>
                <w:szCs w:val="20"/>
                <w:color w:val="auto"/>
              </w:rPr>
            </w:pPr>
            <w:r>
              <w:rPr>
                <w:rFonts w:ascii="Arial" w:cs="Arial" w:eastAsia="Arial" w:hAnsi="Arial"/>
                <w:sz w:val="18"/>
                <w:szCs w:val="18"/>
                <w:color w:val="auto"/>
              </w:rPr>
              <w:t>1.2%</w:t>
            </w:r>
          </w:p>
        </w:tc>
        <w:tc>
          <w:tcPr>
            <w:tcW w:w="960" w:type="dxa"/>
            <w:vAlign w:val="bottom"/>
          </w:tcPr>
          <w:p>
            <w:pPr>
              <w:spacing w:after="0"/>
              <w:rPr>
                <w:sz w:val="19"/>
                <w:szCs w:val="19"/>
                <w:color w:val="auto"/>
              </w:rPr>
            </w:pPr>
          </w:p>
        </w:tc>
        <w:tc>
          <w:tcPr>
            <w:tcW w:w="880" w:type="dxa"/>
            <w:vAlign w:val="bottom"/>
          </w:tcPr>
          <w:p>
            <w:pPr>
              <w:jc w:val="right"/>
              <w:ind w:right="64"/>
              <w:spacing w:after="0"/>
              <w:rPr>
                <w:sz w:val="20"/>
                <w:szCs w:val="20"/>
                <w:color w:val="auto"/>
              </w:rPr>
            </w:pPr>
            <w:r>
              <w:rPr>
                <w:rFonts w:ascii="Arial" w:cs="Arial" w:eastAsia="Arial" w:hAnsi="Arial"/>
                <w:sz w:val="18"/>
                <w:szCs w:val="18"/>
                <w:color w:val="auto"/>
              </w:rPr>
              <w:t>1.7%</w:t>
            </w:r>
          </w:p>
        </w:tc>
        <w:tc>
          <w:tcPr>
            <w:tcW w:w="940" w:type="dxa"/>
            <w:vAlign w:val="bottom"/>
            <w:gridSpan w:val="2"/>
          </w:tcPr>
          <w:p>
            <w:pPr>
              <w:jc w:val="right"/>
              <w:ind w:right="120"/>
              <w:spacing w:after="0"/>
              <w:rPr>
                <w:sz w:val="20"/>
                <w:szCs w:val="20"/>
                <w:color w:val="auto"/>
              </w:rPr>
            </w:pPr>
            <w:r>
              <w:rPr>
                <w:rFonts w:ascii="Arial" w:cs="Arial" w:eastAsia="Arial" w:hAnsi="Arial"/>
                <w:sz w:val="18"/>
                <w:szCs w:val="18"/>
                <w:color w:val="auto"/>
              </w:rPr>
              <w:t>1.4%</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40" w:firstLine="456"/>
        <w:spacing w:after="0" w:line="255" w:lineRule="auto"/>
        <w:rPr>
          <w:sz w:val="20"/>
          <w:szCs w:val="20"/>
          <w:color w:val="auto"/>
        </w:rPr>
      </w:pPr>
      <w:r>
        <w:rPr>
          <w:rFonts w:ascii="Arial" w:cs="Arial" w:eastAsia="Arial" w:hAnsi="Arial"/>
          <w:sz w:val="18"/>
          <w:szCs w:val="18"/>
          <w:color w:val="auto"/>
        </w:rPr>
        <w:t>Amortization and write-off of acquired intangible assets for the three and six months ended July 28, 2012 increased in both periods by $1.9 million compared to the three and six months ended July 30, 2011. These increases were primarily due to the intangible assets acquired in the fourth quarter of fiscal 2012. Also, amortization and write-off of acquired intangible assets for the six months ended July 28, 2012 included a $0.8 million write-off of in-process research and development related to an abandoned project. These increases were partially offset by certain intangible assets acquired in earlier acquisitions that became fully amortized.</w:t>
      </w:r>
    </w:p>
    <w:p>
      <w:pPr>
        <w:sectPr>
          <w:pgSz w:w="11900" w:h="16838" w:orient="portrait"/>
          <w:cols w:equalWidth="0" w:num="1">
            <w:col w:w="11420"/>
          </w:cols>
          <w:pgMar w:left="240" w:top="459" w:right="239" w:bottom="1440" w:gutter="0" w:footer="0" w:header="0"/>
        </w:sectPr>
      </w:pP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25</w:t>
      </w:r>
    </w:p>
    <w:p>
      <w:pPr>
        <w:sectPr>
          <w:pgSz w:w="11900" w:h="16838" w:orient="portrait"/>
          <w:cols w:equalWidth="0" w:num="1">
            <w:col w:w="11420"/>
          </w:cols>
          <w:pgMar w:left="240" w:top="459" w:right="239" w:bottom="1440" w:gutter="0" w:footer="0" w:header="0"/>
          <w:type w:val="continuous"/>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260" w:type="dxa"/>
            <w:vAlign w:val="bottom"/>
          </w:tcPr>
          <w:p>
            <w:pPr>
              <w:spacing w:after="0"/>
              <w:rPr>
                <w:sz w:val="14"/>
                <w:szCs w:val="14"/>
                <w:color w:val="auto"/>
              </w:rPr>
            </w:pPr>
          </w:p>
        </w:tc>
        <w:tc>
          <w:tcPr>
            <w:tcW w:w="1680" w:type="dxa"/>
            <w:vAlign w:val="bottom"/>
            <w:gridSpan w:val="3"/>
          </w:tcPr>
          <w:p>
            <w:pPr>
              <w:jc w:val="right"/>
              <w:ind w:right="360"/>
              <w:spacing w:after="0"/>
              <w:rPr>
                <w:sz w:val="20"/>
                <w:szCs w:val="20"/>
                <w:color w:val="auto"/>
              </w:rPr>
            </w:pPr>
            <w:r>
              <w:rPr>
                <w:rFonts w:ascii="Arial" w:cs="Arial" w:eastAsia="Arial" w:hAnsi="Arial"/>
                <w:sz w:val="14"/>
                <w:szCs w:val="14"/>
                <w:b w:val="1"/>
                <w:bCs w:val="1"/>
                <w:color w:val="auto"/>
                <w:w w:val="93"/>
              </w:rPr>
              <w:t>Three Months Ended</w:t>
            </w:r>
          </w:p>
        </w:tc>
        <w:tc>
          <w:tcPr>
            <w:tcW w:w="1000" w:type="dxa"/>
            <w:vAlign w:val="bottom"/>
            <w:vMerge w:val="restart"/>
          </w:tcPr>
          <w:p>
            <w:pPr>
              <w:jc w:val="center"/>
              <w:ind w:right="226"/>
              <w:spacing w:after="0"/>
              <w:rPr>
                <w:sz w:val="20"/>
                <w:szCs w:val="20"/>
                <w:color w:val="auto"/>
              </w:rPr>
            </w:pPr>
            <w:r>
              <w:rPr>
                <w:rFonts w:ascii="Arial" w:cs="Arial" w:eastAsia="Arial" w:hAnsi="Arial"/>
                <w:sz w:val="14"/>
                <w:szCs w:val="14"/>
                <w:b w:val="1"/>
                <w:bCs w:val="1"/>
                <w:color w:val="auto"/>
              </w:rPr>
              <w:t>%</w:t>
            </w:r>
          </w:p>
        </w:tc>
        <w:tc>
          <w:tcPr>
            <w:tcW w:w="1780" w:type="dxa"/>
            <w:vAlign w:val="bottom"/>
            <w:gridSpan w:val="3"/>
          </w:tcPr>
          <w:p>
            <w:pPr>
              <w:jc w:val="right"/>
              <w:ind w:right="560"/>
              <w:spacing w:after="0"/>
              <w:rPr>
                <w:sz w:val="20"/>
                <w:szCs w:val="20"/>
                <w:color w:val="auto"/>
              </w:rPr>
            </w:pPr>
            <w:r>
              <w:rPr>
                <w:rFonts w:ascii="Arial" w:cs="Arial" w:eastAsia="Arial" w:hAnsi="Arial"/>
                <w:sz w:val="14"/>
                <w:szCs w:val="14"/>
                <w:b w:val="1"/>
                <w:bCs w:val="1"/>
                <w:color w:val="auto"/>
                <w:w w:val="98"/>
              </w:rPr>
              <w:t>Six Months Ended</w:t>
            </w:r>
          </w:p>
        </w:tc>
        <w:tc>
          <w:tcPr>
            <w:tcW w:w="500" w:type="dxa"/>
            <w:vAlign w:val="bottom"/>
            <w:vMerge w:val="restart"/>
          </w:tcPr>
          <w:p>
            <w:pPr>
              <w:jc w:val="right"/>
              <w:ind w:right="10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260" w:type="dxa"/>
            <w:vAlign w:val="bottom"/>
          </w:tcPr>
          <w:p>
            <w:pPr>
              <w:spacing w:after="0"/>
              <w:rPr>
                <w:sz w:val="11"/>
                <w:szCs w:val="11"/>
                <w:color w:val="auto"/>
              </w:rPr>
            </w:pPr>
          </w:p>
        </w:tc>
        <w:tc>
          <w:tcPr>
            <w:tcW w:w="760" w:type="dxa"/>
            <w:vAlign w:val="bottom"/>
            <w:tcBorders>
              <w:top w:val="single" w:sz="8" w:color="auto"/>
            </w:tcBorders>
          </w:tcPr>
          <w:p>
            <w:pPr>
              <w:jc w:val="right"/>
              <w:ind w:right="204"/>
              <w:spacing w:after="0" w:line="129" w:lineRule="exact"/>
              <w:rPr>
                <w:sz w:val="20"/>
                <w:szCs w:val="20"/>
                <w:color w:val="auto"/>
              </w:rPr>
            </w:pPr>
            <w:r>
              <w:rPr>
                <w:rFonts w:ascii="Arial" w:cs="Arial" w:eastAsia="Arial" w:hAnsi="Arial"/>
                <w:sz w:val="14"/>
                <w:szCs w:val="14"/>
                <w:b w:val="1"/>
                <w:bCs w:val="1"/>
                <w:color w:val="auto"/>
                <w:w w:val="89"/>
              </w:rPr>
              <w:t>July 28,</w:t>
            </w:r>
          </w:p>
        </w:tc>
        <w:tc>
          <w:tcPr>
            <w:tcW w:w="6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July 30,</w:t>
            </w:r>
          </w:p>
        </w:tc>
        <w:tc>
          <w:tcPr>
            <w:tcW w:w="280" w:type="dxa"/>
            <w:vAlign w:val="bottom"/>
          </w:tcPr>
          <w:p>
            <w:pPr>
              <w:spacing w:after="0"/>
              <w:rPr>
                <w:sz w:val="11"/>
                <w:szCs w:val="11"/>
                <w:color w:val="auto"/>
              </w:rPr>
            </w:pPr>
          </w:p>
        </w:tc>
        <w:tc>
          <w:tcPr>
            <w:tcW w:w="1000" w:type="dxa"/>
            <w:vAlign w:val="bottom"/>
            <w:vMerge w:val="continue"/>
          </w:tcPr>
          <w:p>
            <w:pPr>
              <w:spacing w:after="0"/>
              <w:rPr>
                <w:sz w:val="11"/>
                <w:szCs w:val="11"/>
                <w:color w:val="auto"/>
              </w:rPr>
            </w:pPr>
          </w:p>
        </w:tc>
        <w:tc>
          <w:tcPr>
            <w:tcW w:w="760" w:type="dxa"/>
            <w:vAlign w:val="bottom"/>
            <w:tcBorders>
              <w:top w:val="single" w:sz="8" w:color="auto"/>
            </w:tcBorders>
          </w:tcPr>
          <w:p>
            <w:pPr>
              <w:jc w:val="right"/>
              <w:ind w:right="204"/>
              <w:spacing w:after="0" w:line="129" w:lineRule="exact"/>
              <w:rPr>
                <w:sz w:val="20"/>
                <w:szCs w:val="20"/>
                <w:color w:val="auto"/>
              </w:rPr>
            </w:pPr>
            <w:r>
              <w:rPr>
                <w:rFonts w:ascii="Arial" w:cs="Arial" w:eastAsia="Arial" w:hAnsi="Arial"/>
                <w:sz w:val="14"/>
                <w:szCs w:val="14"/>
                <w:b w:val="1"/>
                <w:bCs w:val="1"/>
                <w:color w:val="auto"/>
                <w:w w:val="89"/>
              </w:rPr>
              <w:t>July 28,</w:t>
            </w:r>
          </w:p>
        </w:tc>
        <w:tc>
          <w:tcPr>
            <w:tcW w:w="6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July 30,</w:t>
            </w:r>
          </w:p>
        </w:tc>
        <w:tc>
          <w:tcPr>
            <w:tcW w:w="40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260" w:type="dxa"/>
            <w:vAlign w:val="bottom"/>
          </w:tcPr>
          <w:p>
            <w:pPr>
              <w:spacing w:after="0"/>
              <w:rPr>
                <w:sz w:val="14"/>
                <w:szCs w:val="14"/>
                <w:color w:val="auto"/>
              </w:rPr>
            </w:pPr>
          </w:p>
        </w:tc>
        <w:tc>
          <w:tcPr>
            <w:tcW w:w="760" w:type="dxa"/>
            <w:vAlign w:val="bottom"/>
          </w:tcPr>
          <w:p>
            <w:pPr>
              <w:jc w:val="right"/>
              <w:ind w:right="304"/>
              <w:spacing w:after="0"/>
              <w:rPr>
                <w:sz w:val="20"/>
                <w:szCs w:val="20"/>
                <w:color w:val="auto"/>
              </w:rPr>
            </w:pPr>
            <w:r>
              <w:rPr>
                <w:rFonts w:ascii="Arial" w:cs="Arial" w:eastAsia="Arial" w:hAnsi="Arial"/>
                <w:sz w:val="14"/>
                <w:szCs w:val="14"/>
                <w:b w:val="1"/>
                <w:bCs w:val="1"/>
                <w:color w:val="auto"/>
              </w:rPr>
              <w:t>2012</w:t>
            </w:r>
          </w:p>
        </w:tc>
        <w:tc>
          <w:tcPr>
            <w:tcW w:w="640" w:type="dxa"/>
            <w:vAlign w:val="bottom"/>
          </w:tcPr>
          <w:p>
            <w:pPr>
              <w:jc w:val="right"/>
              <w:ind w:right="44"/>
              <w:spacing w:after="0"/>
              <w:rPr>
                <w:sz w:val="20"/>
                <w:szCs w:val="20"/>
                <w:color w:val="auto"/>
              </w:rPr>
            </w:pPr>
            <w:r>
              <w:rPr>
                <w:rFonts w:ascii="Arial" w:cs="Arial" w:eastAsia="Arial" w:hAnsi="Arial"/>
                <w:sz w:val="14"/>
                <w:szCs w:val="14"/>
                <w:b w:val="1"/>
                <w:bCs w:val="1"/>
                <w:color w:val="auto"/>
              </w:rPr>
              <w:t>2011</w:t>
            </w:r>
          </w:p>
        </w:tc>
        <w:tc>
          <w:tcPr>
            <w:tcW w:w="280" w:type="dxa"/>
            <w:vAlign w:val="bottom"/>
          </w:tcPr>
          <w:p>
            <w:pPr>
              <w:spacing w:after="0"/>
              <w:rPr>
                <w:sz w:val="14"/>
                <w:szCs w:val="14"/>
                <w:color w:val="auto"/>
              </w:rPr>
            </w:pPr>
          </w:p>
        </w:tc>
        <w:tc>
          <w:tcPr>
            <w:tcW w:w="1000" w:type="dxa"/>
            <w:vAlign w:val="bottom"/>
          </w:tcPr>
          <w:p>
            <w:pPr>
              <w:jc w:val="center"/>
              <w:ind w:right="206"/>
              <w:spacing w:after="0"/>
              <w:rPr>
                <w:sz w:val="20"/>
                <w:szCs w:val="20"/>
                <w:color w:val="auto"/>
              </w:rPr>
            </w:pPr>
            <w:r>
              <w:rPr>
                <w:rFonts w:ascii="Arial" w:cs="Arial" w:eastAsia="Arial" w:hAnsi="Arial"/>
                <w:sz w:val="14"/>
                <w:szCs w:val="14"/>
                <w:b w:val="1"/>
                <w:bCs w:val="1"/>
                <w:color w:val="auto"/>
                <w:w w:val="85"/>
              </w:rPr>
              <w:t>Change</w:t>
            </w:r>
          </w:p>
        </w:tc>
        <w:tc>
          <w:tcPr>
            <w:tcW w:w="760" w:type="dxa"/>
            <w:vAlign w:val="bottom"/>
          </w:tcPr>
          <w:p>
            <w:pPr>
              <w:jc w:val="right"/>
              <w:ind w:right="304"/>
              <w:spacing w:after="0"/>
              <w:rPr>
                <w:sz w:val="20"/>
                <w:szCs w:val="20"/>
                <w:color w:val="auto"/>
              </w:rPr>
            </w:pPr>
            <w:r>
              <w:rPr>
                <w:rFonts w:ascii="Arial" w:cs="Arial" w:eastAsia="Arial" w:hAnsi="Arial"/>
                <w:sz w:val="14"/>
                <w:szCs w:val="14"/>
                <w:b w:val="1"/>
                <w:bCs w:val="1"/>
                <w:color w:val="auto"/>
              </w:rPr>
              <w:t>2012</w:t>
            </w:r>
          </w:p>
        </w:tc>
        <w:tc>
          <w:tcPr>
            <w:tcW w:w="620" w:type="dxa"/>
            <w:vAlign w:val="bottom"/>
          </w:tcPr>
          <w:p>
            <w:pPr>
              <w:jc w:val="right"/>
              <w:ind w:right="42"/>
              <w:spacing w:after="0"/>
              <w:rPr>
                <w:sz w:val="20"/>
                <w:szCs w:val="20"/>
                <w:color w:val="auto"/>
              </w:rPr>
            </w:pPr>
            <w:r>
              <w:rPr>
                <w:rFonts w:ascii="Arial" w:cs="Arial" w:eastAsia="Arial" w:hAnsi="Arial"/>
                <w:sz w:val="14"/>
                <w:szCs w:val="14"/>
                <w:b w:val="1"/>
                <w:bCs w:val="1"/>
                <w:color w:val="auto"/>
              </w:rPr>
              <w:t>2011</w:t>
            </w:r>
          </w:p>
        </w:tc>
        <w:tc>
          <w:tcPr>
            <w:tcW w:w="400" w:type="dxa"/>
            <w:vAlign w:val="bottom"/>
          </w:tcPr>
          <w:p>
            <w:pPr>
              <w:spacing w:after="0"/>
              <w:rPr>
                <w:sz w:val="14"/>
                <w:szCs w:val="14"/>
                <w:color w:val="auto"/>
              </w:rPr>
            </w:pPr>
          </w:p>
        </w:tc>
        <w:tc>
          <w:tcPr>
            <w:tcW w:w="7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260" w:type="dxa"/>
            <w:vAlign w:val="bottom"/>
          </w:tcPr>
          <w:p>
            <w:pPr>
              <w:spacing w:after="0"/>
              <w:rPr>
                <w:sz w:val="12"/>
                <w:szCs w:val="12"/>
                <w:color w:val="auto"/>
              </w:rPr>
            </w:pPr>
          </w:p>
        </w:tc>
        <w:tc>
          <w:tcPr>
            <w:tcW w:w="760" w:type="dxa"/>
            <w:vAlign w:val="bottom"/>
            <w:tcBorders>
              <w:top w:val="single" w:sz="8" w:color="auto"/>
            </w:tcBorders>
          </w:tcPr>
          <w:p>
            <w:pPr>
              <w:spacing w:after="0"/>
              <w:rPr>
                <w:sz w:val="12"/>
                <w:szCs w:val="12"/>
                <w:color w:val="auto"/>
              </w:rPr>
            </w:pPr>
          </w:p>
        </w:tc>
        <w:tc>
          <w:tcPr>
            <w:tcW w:w="2680" w:type="dxa"/>
            <w:vAlign w:val="bottom"/>
            <w:tcBorders>
              <w:top w:val="single" w:sz="8" w:color="auto"/>
            </w:tcBorders>
            <w:gridSpan w:val="4"/>
          </w:tcPr>
          <w:p>
            <w:pPr>
              <w:jc w:val="center"/>
              <w:ind w:right="44"/>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620" w:type="dxa"/>
            <w:vAlign w:val="bottom"/>
            <w:tcBorders>
              <w:top w:val="single" w:sz="8" w:color="auto"/>
            </w:tcBorders>
          </w:tcPr>
          <w:p>
            <w:pPr>
              <w:spacing w:after="0"/>
              <w:rPr>
                <w:sz w:val="12"/>
                <w:szCs w:val="12"/>
                <w:color w:val="auto"/>
              </w:rPr>
            </w:pPr>
          </w:p>
        </w:tc>
        <w:tc>
          <w:tcPr>
            <w:tcW w:w="400" w:type="dxa"/>
            <w:vAlign w:val="bottom"/>
          </w:tcPr>
          <w:p>
            <w:pPr>
              <w:spacing w:after="0"/>
              <w:rPr>
                <w:sz w:val="12"/>
                <w:szCs w:val="12"/>
                <w:color w:val="auto"/>
              </w:rPr>
            </w:pPr>
          </w:p>
        </w:tc>
        <w:tc>
          <w:tcPr>
            <w:tcW w:w="50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76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7"/>
              </w:rPr>
              <w:t>$5,864</w:t>
            </w: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$2,064</w:t>
            </w:r>
          </w:p>
        </w:tc>
        <w:tc>
          <w:tcPr>
            <w:tcW w:w="1000" w:type="dxa"/>
            <w:vAlign w:val="bottom"/>
            <w:shd w:val="clear" w:color="auto" w:fill="CCEEFF"/>
          </w:tcPr>
          <w:p>
            <w:pPr>
              <w:jc w:val="right"/>
              <w:ind w:right="186"/>
              <w:spacing w:after="0"/>
              <w:rPr>
                <w:sz w:val="20"/>
                <w:szCs w:val="20"/>
                <w:color w:val="auto"/>
              </w:rPr>
            </w:pPr>
            <w:r>
              <w:rPr>
                <w:rFonts w:ascii="Arial" w:cs="Arial" w:eastAsia="Arial" w:hAnsi="Arial"/>
                <w:sz w:val="18"/>
                <w:szCs w:val="18"/>
                <w:color w:val="auto"/>
              </w:rPr>
              <w:t>184.1 %</w:t>
            </w:r>
          </w:p>
        </w:tc>
        <w:tc>
          <w:tcPr>
            <w:tcW w:w="76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7"/>
              </w:rPr>
              <w:t>$6,921</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$1,846</w:t>
            </w:r>
          </w:p>
        </w:tc>
        <w:tc>
          <w:tcPr>
            <w:tcW w:w="4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3"/>
              </w:rPr>
              <w:t>274.9 %</w:t>
            </w:r>
          </w:p>
        </w:tc>
        <w:tc>
          <w:tcPr>
            <w:tcW w:w="0" w:type="dxa"/>
            <w:vAlign w:val="bottom"/>
          </w:tcPr>
          <w:p>
            <w:pPr>
              <w:spacing w:after="0"/>
              <w:rPr>
                <w:sz w:val="1"/>
                <w:szCs w:val="1"/>
                <w:color w:val="auto"/>
              </w:rPr>
            </w:pPr>
          </w:p>
        </w:tc>
      </w:tr>
      <w:tr>
        <w:trPr>
          <w:trHeight w:val="222"/>
        </w:trPr>
        <w:tc>
          <w:tcPr>
            <w:tcW w:w="6260" w:type="dxa"/>
            <w:vAlign w:val="bottom"/>
          </w:tcPr>
          <w:p>
            <w:pPr>
              <w:spacing w:after="0"/>
              <w:rPr>
                <w:sz w:val="20"/>
                <w:szCs w:val="20"/>
                <w:color w:val="auto"/>
              </w:rPr>
            </w:pPr>
            <w:r>
              <w:rPr>
                <w:rFonts w:ascii="Arial" w:cs="Arial" w:eastAsia="Arial" w:hAnsi="Arial"/>
                <w:sz w:val="18"/>
                <w:szCs w:val="18"/>
                <w:color w:val="auto"/>
              </w:rPr>
              <w:t>% of net revenue</w:t>
            </w:r>
          </w:p>
        </w:tc>
        <w:tc>
          <w:tcPr>
            <w:tcW w:w="760" w:type="dxa"/>
            <w:vAlign w:val="bottom"/>
          </w:tcPr>
          <w:p>
            <w:pPr>
              <w:jc w:val="right"/>
              <w:ind w:right="44"/>
              <w:spacing w:after="0"/>
              <w:rPr>
                <w:sz w:val="20"/>
                <w:szCs w:val="20"/>
                <w:color w:val="auto"/>
              </w:rPr>
            </w:pPr>
            <w:r>
              <w:rPr>
                <w:rFonts w:ascii="Arial" w:cs="Arial" w:eastAsia="Arial" w:hAnsi="Arial"/>
                <w:sz w:val="18"/>
                <w:szCs w:val="18"/>
                <w:color w:val="auto"/>
              </w:rPr>
              <w:t>0.7%</w:t>
            </w: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0.2%</w:t>
            </w:r>
          </w:p>
        </w:tc>
        <w:tc>
          <w:tcPr>
            <w:tcW w:w="1000" w:type="dxa"/>
            <w:vAlign w:val="bottom"/>
          </w:tcPr>
          <w:p>
            <w:pPr>
              <w:spacing w:after="0"/>
              <w:rPr>
                <w:sz w:val="19"/>
                <w:szCs w:val="19"/>
                <w:color w:val="auto"/>
              </w:rPr>
            </w:pPr>
          </w:p>
        </w:tc>
        <w:tc>
          <w:tcPr>
            <w:tcW w:w="760" w:type="dxa"/>
            <w:vAlign w:val="bottom"/>
          </w:tcPr>
          <w:p>
            <w:pPr>
              <w:jc w:val="right"/>
              <w:ind w:right="44"/>
              <w:spacing w:after="0"/>
              <w:rPr>
                <w:sz w:val="20"/>
                <w:szCs w:val="20"/>
                <w:color w:val="auto"/>
              </w:rPr>
            </w:pPr>
            <w:r>
              <w:rPr>
                <w:rFonts w:ascii="Arial" w:cs="Arial" w:eastAsia="Arial" w:hAnsi="Arial"/>
                <w:sz w:val="18"/>
                <w:szCs w:val="18"/>
                <w:color w:val="auto"/>
              </w:rPr>
              <w:t>0.4%</w:t>
            </w:r>
          </w:p>
        </w:tc>
        <w:tc>
          <w:tcPr>
            <w:tcW w:w="1020" w:type="dxa"/>
            <w:vAlign w:val="bottom"/>
            <w:gridSpan w:val="2"/>
          </w:tcPr>
          <w:p>
            <w:pPr>
              <w:jc w:val="right"/>
              <w:ind w:right="240"/>
              <w:spacing w:after="0"/>
              <w:rPr>
                <w:sz w:val="20"/>
                <w:szCs w:val="20"/>
                <w:color w:val="auto"/>
              </w:rPr>
            </w:pPr>
            <w:r>
              <w:rPr>
                <w:rFonts w:ascii="Arial" w:cs="Arial" w:eastAsia="Arial" w:hAnsi="Arial"/>
                <w:sz w:val="18"/>
                <w:szCs w:val="18"/>
                <w:color w:val="auto"/>
              </w:rPr>
              <w:t>0.1%</w:t>
            </w:r>
          </w:p>
        </w:tc>
        <w:tc>
          <w:tcPr>
            <w:tcW w:w="5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40" w:firstLine="456"/>
        <w:spacing w:after="0" w:line="306" w:lineRule="auto"/>
        <w:rPr>
          <w:sz w:val="20"/>
          <w:szCs w:val="20"/>
          <w:color w:val="auto"/>
        </w:rPr>
      </w:pPr>
      <w:r>
        <w:rPr>
          <w:rFonts w:ascii="Arial" w:cs="Arial" w:eastAsia="Arial" w:hAnsi="Arial"/>
          <w:sz w:val="16"/>
          <w:szCs w:val="16"/>
          <w:color w:val="auto"/>
        </w:rPr>
        <w:t>Interest and other income, net, for the three and six months ended July 28, 2012 increased compared to the three and six months ended July 30, 2011 primarily due to the effect of the relative strengthening of the U.S. dollar on our foreign currency denominated tax liabilities. This was partially offset by lower interest income in the three and six months ended July 28, 2012 due to lower average cash and investment balances, as well as a lower rate of return.</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260" w:type="dxa"/>
            <w:vAlign w:val="bottom"/>
          </w:tcPr>
          <w:p>
            <w:pPr>
              <w:spacing w:after="0"/>
              <w:rPr>
                <w:sz w:val="14"/>
                <w:szCs w:val="14"/>
                <w:color w:val="auto"/>
              </w:rPr>
            </w:pPr>
          </w:p>
        </w:tc>
        <w:tc>
          <w:tcPr>
            <w:tcW w:w="1660" w:type="dxa"/>
            <w:vAlign w:val="bottom"/>
            <w:gridSpan w:val="3"/>
          </w:tcPr>
          <w:p>
            <w:pPr>
              <w:jc w:val="right"/>
              <w:ind w:right="340"/>
              <w:spacing w:after="0"/>
              <w:rPr>
                <w:sz w:val="20"/>
                <w:szCs w:val="20"/>
                <w:color w:val="auto"/>
              </w:rPr>
            </w:pPr>
            <w:r>
              <w:rPr>
                <w:rFonts w:ascii="Arial" w:cs="Arial" w:eastAsia="Arial" w:hAnsi="Arial"/>
                <w:sz w:val="14"/>
                <w:szCs w:val="14"/>
                <w:b w:val="1"/>
                <w:bCs w:val="1"/>
                <w:color w:val="auto"/>
                <w:w w:val="93"/>
              </w:rPr>
              <w:t>Three Months Ended</w:t>
            </w:r>
          </w:p>
        </w:tc>
        <w:tc>
          <w:tcPr>
            <w:tcW w:w="1020" w:type="dxa"/>
            <w:vAlign w:val="bottom"/>
            <w:vMerge w:val="restart"/>
          </w:tcPr>
          <w:p>
            <w:pPr>
              <w:jc w:val="right"/>
              <w:ind w:right="526"/>
              <w:spacing w:after="0"/>
              <w:rPr>
                <w:sz w:val="20"/>
                <w:szCs w:val="20"/>
                <w:color w:val="auto"/>
              </w:rPr>
            </w:pPr>
            <w:r>
              <w:rPr>
                <w:rFonts w:ascii="Arial" w:cs="Arial" w:eastAsia="Arial" w:hAnsi="Arial"/>
                <w:sz w:val="14"/>
                <w:szCs w:val="14"/>
                <w:b w:val="1"/>
                <w:bCs w:val="1"/>
                <w:color w:val="auto"/>
              </w:rPr>
              <w:t>%</w:t>
            </w:r>
          </w:p>
        </w:tc>
        <w:tc>
          <w:tcPr>
            <w:tcW w:w="1780" w:type="dxa"/>
            <w:vAlign w:val="bottom"/>
            <w:gridSpan w:val="3"/>
          </w:tcPr>
          <w:p>
            <w:pPr>
              <w:jc w:val="right"/>
              <w:ind w:right="560"/>
              <w:spacing w:after="0"/>
              <w:rPr>
                <w:sz w:val="20"/>
                <w:szCs w:val="20"/>
                <w:color w:val="auto"/>
              </w:rPr>
            </w:pPr>
            <w:r>
              <w:rPr>
                <w:rFonts w:ascii="Arial" w:cs="Arial" w:eastAsia="Arial" w:hAnsi="Arial"/>
                <w:sz w:val="14"/>
                <w:szCs w:val="14"/>
                <w:b w:val="1"/>
                <w:bCs w:val="1"/>
                <w:color w:val="auto"/>
                <w:w w:val="98"/>
              </w:rPr>
              <w:t>Six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260" w:type="dxa"/>
            <w:vAlign w:val="bottom"/>
          </w:tcPr>
          <w:p>
            <w:pPr>
              <w:spacing w:after="0"/>
              <w:rPr>
                <w:sz w:val="11"/>
                <w:szCs w:val="11"/>
                <w:color w:val="auto"/>
              </w:rPr>
            </w:pPr>
          </w:p>
        </w:tc>
        <w:tc>
          <w:tcPr>
            <w:tcW w:w="760" w:type="dxa"/>
            <w:vAlign w:val="bottom"/>
            <w:tcBorders>
              <w:top w:val="single" w:sz="8" w:color="auto"/>
            </w:tcBorders>
          </w:tcPr>
          <w:p>
            <w:pPr>
              <w:jc w:val="right"/>
              <w:ind w:right="204"/>
              <w:spacing w:after="0" w:line="129" w:lineRule="exact"/>
              <w:rPr>
                <w:sz w:val="20"/>
                <w:szCs w:val="20"/>
                <w:color w:val="auto"/>
              </w:rPr>
            </w:pPr>
            <w:r>
              <w:rPr>
                <w:rFonts w:ascii="Arial" w:cs="Arial" w:eastAsia="Arial" w:hAnsi="Arial"/>
                <w:sz w:val="14"/>
                <w:szCs w:val="14"/>
                <w:b w:val="1"/>
                <w:bCs w:val="1"/>
                <w:color w:val="auto"/>
                <w:w w:val="89"/>
              </w:rPr>
              <w:t>July 28,</w:t>
            </w:r>
          </w:p>
        </w:tc>
        <w:tc>
          <w:tcPr>
            <w:tcW w:w="6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July 30,</w:t>
            </w:r>
          </w:p>
        </w:tc>
        <w:tc>
          <w:tcPr>
            <w:tcW w:w="26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760" w:type="dxa"/>
            <w:vAlign w:val="bottom"/>
            <w:tcBorders>
              <w:top w:val="single" w:sz="8" w:color="auto"/>
            </w:tcBorders>
          </w:tcPr>
          <w:p>
            <w:pPr>
              <w:jc w:val="right"/>
              <w:ind w:right="204"/>
              <w:spacing w:after="0" w:line="129" w:lineRule="exact"/>
              <w:rPr>
                <w:sz w:val="20"/>
                <w:szCs w:val="20"/>
                <w:color w:val="auto"/>
              </w:rPr>
            </w:pPr>
            <w:r>
              <w:rPr>
                <w:rFonts w:ascii="Arial" w:cs="Arial" w:eastAsia="Arial" w:hAnsi="Arial"/>
                <w:sz w:val="14"/>
                <w:szCs w:val="14"/>
                <w:b w:val="1"/>
                <w:bCs w:val="1"/>
                <w:color w:val="auto"/>
                <w:w w:val="89"/>
              </w:rPr>
              <w:t>July 28,</w:t>
            </w:r>
          </w:p>
        </w:tc>
        <w:tc>
          <w:tcPr>
            <w:tcW w:w="6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July 30,</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260" w:type="dxa"/>
            <w:vAlign w:val="bottom"/>
          </w:tcPr>
          <w:p>
            <w:pPr>
              <w:spacing w:after="0"/>
              <w:rPr>
                <w:sz w:val="14"/>
                <w:szCs w:val="14"/>
                <w:color w:val="auto"/>
              </w:rPr>
            </w:pPr>
          </w:p>
        </w:tc>
        <w:tc>
          <w:tcPr>
            <w:tcW w:w="760" w:type="dxa"/>
            <w:vAlign w:val="bottom"/>
          </w:tcPr>
          <w:p>
            <w:pPr>
              <w:jc w:val="right"/>
              <w:ind w:right="304"/>
              <w:spacing w:after="0"/>
              <w:rPr>
                <w:sz w:val="20"/>
                <w:szCs w:val="20"/>
                <w:color w:val="auto"/>
              </w:rPr>
            </w:pPr>
            <w:r>
              <w:rPr>
                <w:rFonts w:ascii="Arial" w:cs="Arial" w:eastAsia="Arial" w:hAnsi="Arial"/>
                <w:sz w:val="14"/>
                <w:szCs w:val="14"/>
                <w:b w:val="1"/>
                <w:bCs w:val="1"/>
                <w:color w:val="auto"/>
              </w:rPr>
              <w:t>2012</w:t>
            </w:r>
          </w:p>
        </w:tc>
        <w:tc>
          <w:tcPr>
            <w:tcW w:w="640" w:type="dxa"/>
            <w:vAlign w:val="bottom"/>
          </w:tcPr>
          <w:p>
            <w:pPr>
              <w:jc w:val="right"/>
              <w:ind w:right="44"/>
              <w:spacing w:after="0"/>
              <w:rPr>
                <w:sz w:val="20"/>
                <w:szCs w:val="20"/>
                <w:color w:val="auto"/>
              </w:rPr>
            </w:pPr>
            <w:r>
              <w:rPr>
                <w:rFonts w:ascii="Arial" w:cs="Arial" w:eastAsia="Arial" w:hAnsi="Arial"/>
                <w:sz w:val="14"/>
                <w:szCs w:val="14"/>
                <w:b w:val="1"/>
                <w:bCs w:val="1"/>
                <w:color w:val="auto"/>
              </w:rPr>
              <w:t>2011</w:t>
            </w:r>
          </w:p>
        </w:tc>
        <w:tc>
          <w:tcPr>
            <w:tcW w:w="260" w:type="dxa"/>
            <w:vAlign w:val="bottom"/>
          </w:tcPr>
          <w:p>
            <w:pPr>
              <w:spacing w:after="0"/>
              <w:rPr>
                <w:sz w:val="14"/>
                <w:szCs w:val="14"/>
                <w:color w:val="auto"/>
              </w:rPr>
            </w:pPr>
          </w:p>
        </w:tc>
        <w:tc>
          <w:tcPr>
            <w:tcW w:w="1020" w:type="dxa"/>
            <w:vAlign w:val="bottom"/>
          </w:tcPr>
          <w:p>
            <w:pPr>
              <w:jc w:val="center"/>
              <w:ind w:right="266"/>
              <w:spacing w:after="0"/>
              <w:rPr>
                <w:sz w:val="20"/>
                <w:szCs w:val="20"/>
                <w:color w:val="auto"/>
              </w:rPr>
            </w:pPr>
            <w:r>
              <w:rPr>
                <w:rFonts w:ascii="Arial" w:cs="Arial" w:eastAsia="Arial" w:hAnsi="Arial"/>
                <w:sz w:val="14"/>
                <w:szCs w:val="14"/>
                <w:b w:val="1"/>
                <w:bCs w:val="1"/>
                <w:color w:val="auto"/>
                <w:w w:val="85"/>
              </w:rPr>
              <w:t>Change</w:t>
            </w:r>
          </w:p>
        </w:tc>
        <w:tc>
          <w:tcPr>
            <w:tcW w:w="760" w:type="dxa"/>
            <w:vAlign w:val="bottom"/>
          </w:tcPr>
          <w:p>
            <w:pPr>
              <w:jc w:val="right"/>
              <w:ind w:right="304"/>
              <w:spacing w:after="0"/>
              <w:rPr>
                <w:sz w:val="20"/>
                <w:szCs w:val="20"/>
                <w:color w:val="auto"/>
              </w:rPr>
            </w:pPr>
            <w:r>
              <w:rPr>
                <w:rFonts w:ascii="Arial" w:cs="Arial" w:eastAsia="Arial" w:hAnsi="Arial"/>
                <w:sz w:val="14"/>
                <w:szCs w:val="14"/>
                <w:b w:val="1"/>
                <w:bCs w:val="1"/>
                <w:color w:val="auto"/>
              </w:rPr>
              <w:t>2012</w:t>
            </w:r>
          </w:p>
        </w:tc>
        <w:tc>
          <w:tcPr>
            <w:tcW w:w="620" w:type="dxa"/>
            <w:vAlign w:val="bottom"/>
          </w:tcPr>
          <w:p>
            <w:pPr>
              <w:jc w:val="right"/>
              <w:ind w:right="42"/>
              <w:spacing w:after="0"/>
              <w:rPr>
                <w:sz w:val="20"/>
                <w:szCs w:val="20"/>
                <w:color w:val="auto"/>
              </w:rPr>
            </w:pPr>
            <w:r>
              <w:rPr>
                <w:rFonts w:ascii="Arial" w:cs="Arial" w:eastAsia="Arial" w:hAnsi="Arial"/>
                <w:sz w:val="14"/>
                <w:szCs w:val="14"/>
                <w:b w:val="1"/>
                <w:bCs w:val="1"/>
                <w:color w:val="auto"/>
              </w:rPr>
              <w:t>2011</w:t>
            </w:r>
          </w:p>
        </w:tc>
        <w:tc>
          <w:tcPr>
            <w:tcW w:w="40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260" w:type="dxa"/>
            <w:vAlign w:val="bottom"/>
          </w:tcPr>
          <w:p>
            <w:pPr>
              <w:spacing w:after="0"/>
              <w:rPr>
                <w:sz w:val="12"/>
                <w:szCs w:val="12"/>
                <w:color w:val="auto"/>
              </w:rPr>
            </w:pPr>
          </w:p>
        </w:tc>
        <w:tc>
          <w:tcPr>
            <w:tcW w:w="760" w:type="dxa"/>
            <w:vAlign w:val="bottom"/>
            <w:tcBorders>
              <w:top w:val="single" w:sz="8" w:color="auto"/>
            </w:tcBorders>
          </w:tcPr>
          <w:p>
            <w:pPr>
              <w:spacing w:after="0"/>
              <w:rPr>
                <w:sz w:val="12"/>
                <w:szCs w:val="12"/>
                <w:color w:val="auto"/>
              </w:rPr>
            </w:pPr>
          </w:p>
        </w:tc>
        <w:tc>
          <w:tcPr>
            <w:tcW w:w="2680" w:type="dxa"/>
            <w:vAlign w:val="bottom"/>
            <w:tcBorders>
              <w:top w:val="single" w:sz="8" w:color="auto"/>
            </w:tcBorders>
            <w:gridSpan w:val="4"/>
          </w:tcPr>
          <w:p>
            <w:pPr>
              <w:jc w:val="right"/>
              <w:ind w:right="364"/>
              <w:spacing w:after="0" w:line="142" w:lineRule="exact"/>
              <w:rPr>
                <w:sz w:val="20"/>
                <w:szCs w:val="20"/>
                <w:color w:val="auto"/>
              </w:rPr>
            </w:pPr>
            <w:r>
              <w:rPr>
                <w:rFonts w:ascii="Arial" w:cs="Arial" w:eastAsia="Arial" w:hAnsi="Arial"/>
                <w:sz w:val="14"/>
                <w:szCs w:val="14"/>
                <w:b w:val="1"/>
                <w:bCs w:val="1"/>
                <w:color w:val="auto"/>
                <w:w w:val="97"/>
              </w:rPr>
              <w:t>(in thousands, except percentage)</w:t>
            </w:r>
          </w:p>
        </w:tc>
        <w:tc>
          <w:tcPr>
            <w:tcW w:w="620" w:type="dxa"/>
            <w:vAlign w:val="bottom"/>
            <w:tcBorders>
              <w:top w:val="single" w:sz="8" w:color="auto"/>
            </w:tcBorders>
          </w:tcPr>
          <w:p>
            <w:pPr>
              <w:spacing w:after="0"/>
              <w:rPr>
                <w:sz w:val="12"/>
                <w:szCs w:val="12"/>
                <w:color w:val="auto"/>
              </w:rPr>
            </w:pPr>
          </w:p>
        </w:tc>
        <w:tc>
          <w:tcPr>
            <w:tcW w:w="40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76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7"/>
              </w:rPr>
              <w:t>$3,105</w:t>
            </w:r>
          </w:p>
        </w:tc>
        <w:tc>
          <w:tcPr>
            <w:tcW w:w="9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$4,312</w:t>
            </w:r>
          </w:p>
        </w:tc>
        <w:tc>
          <w:tcPr>
            <w:tcW w:w="1020" w:type="dxa"/>
            <w:vAlign w:val="bottom"/>
            <w:shd w:val="clear" w:color="auto" w:fill="CCEEFF"/>
          </w:tcPr>
          <w:p>
            <w:pPr>
              <w:jc w:val="right"/>
              <w:ind w:right="166"/>
              <w:spacing w:after="0"/>
              <w:rPr>
                <w:sz w:val="20"/>
                <w:szCs w:val="20"/>
                <w:color w:val="auto"/>
              </w:rPr>
            </w:pPr>
            <w:r>
              <w:rPr>
                <w:rFonts w:ascii="Arial" w:cs="Arial" w:eastAsia="Arial" w:hAnsi="Arial"/>
                <w:sz w:val="18"/>
                <w:szCs w:val="18"/>
                <w:color w:val="auto"/>
              </w:rPr>
              <w:t>(28.0)%</w:t>
            </w:r>
          </w:p>
        </w:tc>
        <w:tc>
          <w:tcPr>
            <w:tcW w:w="76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7"/>
              </w:rPr>
              <w:t>$3,552</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$5,346</w:t>
            </w:r>
          </w:p>
        </w:tc>
        <w:tc>
          <w:tcPr>
            <w:tcW w:w="4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(33.6)%</w:t>
            </w:r>
          </w:p>
        </w:tc>
        <w:tc>
          <w:tcPr>
            <w:tcW w:w="0" w:type="dxa"/>
            <w:vAlign w:val="bottom"/>
          </w:tcPr>
          <w:p>
            <w:pPr>
              <w:spacing w:after="0"/>
              <w:rPr>
                <w:sz w:val="1"/>
                <w:szCs w:val="1"/>
                <w:color w:val="auto"/>
              </w:rPr>
            </w:pPr>
          </w:p>
        </w:tc>
      </w:tr>
      <w:tr>
        <w:trPr>
          <w:trHeight w:val="222"/>
        </w:trPr>
        <w:tc>
          <w:tcPr>
            <w:tcW w:w="6260" w:type="dxa"/>
            <w:vAlign w:val="bottom"/>
          </w:tcPr>
          <w:p>
            <w:pPr>
              <w:spacing w:after="0"/>
              <w:rPr>
                <w:sz w:val="20"/>
                <w:szCs w:val="20"/>
                <w:color w:val="auto"/>
              </w:rPr>
            </w:pPr>
            <w:r>
              <w:rPr>
                <w:rFonts w:ascii="Arial" w:cs="Arial" w:eastAsia="Arial" w:hAnsi="Arial"/>
                <w:sz w:val="18"/>
                <w:szCs w:val="18"/>
                <w:color w:val="auto"/>
              </w:rPr>
              <w:t>% of net revenue</w:t>
            </w:r>
          </w:p>
        </w:tc>
        <w:tc>
          <w:tcPr>
            <w:tcW w:w="760" w:type="dxa"/>
            <w:vAlign w:val="bottom"/>
          </w:tcPr>
          <w:p>
            <w:pPr>
              <w:jc w:val="right"/>
              <w:ind w:right="44"/>
              <w:spacing w:after="0"/>
              <w:rPr>
                <w:sz w:val="20"/>
                <w:szCs w:val="20"/>
                <w:color w:val="auto"/>
              </w:rPr>
            </w:pPr>
            <w:r>
              <w:rPr>
                <w:rFonts w:ascii="Arial" w:cs="Arial" w:eastAsia="Arial" w:hAnsi="Arial"/>
                <w:sz w:val="18"/>
                <w:szCs w:val="18"/>
                <w:color w:val="auto"/>
              </w:rPr>
              <w:t>0.4%</w:t>
            </w: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0.5%</w:t>
            </w:r>
          </w:p>
        </w:tc>
        <w:tc>
          <w:tcPr>
            <w:tcW w:w="1020" w:type="dxa"/>
            <w:vAlign w:val="bottom"/>
          </w:tcPr>
          <w:p>
            <w:pPr>
              <w:spacing w:after="0"/>
              <w:rPr>
                <w:sz w:val="19"/>
                <w:szCs w:val="19"/>
                <w:color w:val="auto"/>
              </w:rPr>
            </w:pPr>
          </w:p>
        </w:tc>
        <w:tc>
          <w:tcPr>
            <w:tcW w:w="760" w:type="dxa"/>
            <w:vAlign w:val="bottom"/>
          </w:tcPr>
          <w:p>
            <w:pPr>
              <w:jc w:val="right"/>
              <w:ind w:right="44"/>
              <w:spacing w:after="0"/>
              <w:rPr>
                <w:sz w:val="20"/>
                <w:szCs w:val="20"/>
                <w:color w:val="auto"/>
              </w:rPr>
            </w:pPr>
            <w:r>
              <w:rPr>
                <w:rFonts w:ascii="Arial" w:cs="Arial" w:eastAsia="Arial" w:hAnsi="Arial"/>
                <w:sz w:val="18"/>
                <w:szCs w:val="18"/>
                <w:color w:val="auto"/>
              </w:rPr>
              <w:t>0.2%</w:t>
            </w:r>
          </w:p>
        </w:tc>
        <w:tc>
          <w:tcPr>
            <w:tcW w:w="1020" w:type="dxa"/>
            <w:vAlign w:val="bottom"/>
            <w:gridSpan w:val="2"/>
          </w:tcPr>
          <w:p>
            <w:pPr>
              <w:jc w:val="right"/>
              <w:ind w:right="240"/>
              <w:spacing w:after="0"/>
              <w:rPr>
                <w:sz w:val="20"/>
                <w:szCs w:val="20"/>
                <w:color w:val="auto"/>
              </w:rPr>
            </w:pPr>
            <w:r>
              <w:rPr>
                <w:rFonts w:ascii="Arial" w:cs="Arial" w:eastAsia="Arial" w:hAnsi="Arial"/>
                <w:sz w:val="18"/>
                <w:szCs w:val="18"/>
                <w:color w:val="auto"/>
              </w:rPr>
              <w:t>0.3%</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For the three and six months ended July 28, 2012, our effective tax rate was 3.2% and 1.9%, respectively. The income tax provision for the three and six months ended July 28, 2012 included the current income tax liability of $5.9 million and $8.6 million, respectively, which were primarily offset by net reductions in unrecognized tax benefits of $3.4 million in the three months ended July 28, 2012 and $6.0 million in the six months ended July 28, 2012. These net reductions in unrecognized tax benefits primarily arose from the expiration of statute of limitations and from the settlement of audits in non-U.S. jurisdictions less increases in current unrecognized tax benefit estimates.</w:t>
      </w:r>
    </w:p>
    <w:p>
      <w:pPr>
        <w:spacing w:after="0" w:line="143"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color w:val="auto"/>
        </w:rPr>
        <w:t>For the three and six months ended July 30, 2011, our effective tax rate was 2.2% and 1.6%, respectively. The income tax provision for the three and six months ended July 30, 2011 included the current income tax liability of $4.9 million and $8.3 million, respectively, partially offset by a net reduction in unrecognized tax benefits of $1.0 million in the three months ended July 30, 2011 and $3.4 million in the six months ended July 30, 2011 primarily due to the expiration of the statute of limitations in non-U.S. jurisdictions less increases in current unrecognized tax benefit estimates.</w:t>
      </w:r>
    </w:p>
    <w:p>
      <w:pPr>
        <w:spacing w:after="0" w:line="113"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During the next 12 months, it is reasonably possible that the amount of unrecognized tax benefits could decrease due to potential settlement with tax authorities and the expiration of applicable statutes of limitations. However, the amount cannot be reasonably estimated as the Company will have negotiations with various tax authorities throughout the year.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Our principal source of liquidity as of July 28, 2012 consisted of approximately $2.1 billion of cash, cash equivalents and short-term investments. We believe that our existing cash, cash equivalents and short term investments, together with cash generated from operations and from the issuance of common shares through our employee stock option and purchase plans, will be sufficient to cover our working capital needs, capital expenditures, investment requirements, commitments, repurchases of our common shares and payment of quarterly dividends for at least the next 12 months. To the extent that our existing cash, cash equivalents and short-term investments and cash generated by operations are insufficient to fund our future activities, we may need to raise additional funds through public or private debt or equity financing. We may enter into additional acquisitions of businesses, assets, products, technologies or other strategic arrangements in the future, which could also require us to seek debt or equity financing.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20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jc w:val="both"/>
        <w:ind w:right="80" w:firstLine="456"/>
        <w:spacing w:after="0" w:line="323" w:lineRule="auto"/>
        <w:rPr>
          <w:sz w:val="20"/>
          <w:szCs w:val="20"/>
          <w:color w:val="auto"/>
        </w:rPr>
      </w:pPr>
      <w:r>
        <w:rPr>
          <w:rFonts w:ascii="Arial" w:cs="Arial" w:eastAsia="Arial" w:hAnsi="Arial"/>
          <w:sz w:val="15"/>
          <w:szCs w:val="15"/>
          <w:color w:val="auto"/>
        </w:rPr>
        <w:t>Net cash provided by operating activities was $387.9 million for the six months ended July 28, 2012. The cash inflows from operations for the six months ended July 28, 2012 were due to $323.0 million of net income adjusted for non-cash items and positive working capital changes of $64.8 million. The increase in working capital for the six months ended July 28, 2012 was primarily driven by a decrease in accounts receivable due to lower sales combined with a decrease in prepaid expenses and other assets. The increase in accounts payable also contributed to the increase in working capital for the six months ended July 28, 2012.</w:t>
      </w:r>
    </w:p>
    <w:p>
      <w:pPr>
        <w:spacing w:after="0" w:line="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Net cash provided by operating activities was $440.6 million for the six months ended July 30, 2011. The cash inflows from operations in the six months ended July 30, 2011 were primarily due to $476.2 million of net income adjusted for non-cash items, offset by a negative effect from changes in working capital.</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and (Used in) Investing Activities</w:t>
      </w:r>
    </w:p>
    <w:p>
      <w:pPr>
        <w:spacing w:after="0" w:line="90"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Net cash provided by investing activities was $192.5 million for the six months ended July 28, 2012 compared to net cash used in investing activities of $526.7 million for the six months ended July 30, 2011. Net cash provided by investing activities for the six months ended July 28, 2012 was generated from the sale and maturities of marketable securities of $881.3 million less purchases of marketable securities of $646.9 million. The net cash inflow from marketable securities for the six months ended July 28, 2012 was partially offset by the purchase of $29.7 million of property and equipment, $6.5 million of IP licenses and $5.8 million for strategic investments.</w:t>
      </w:r>
    </w:p>
    <w:p>
      <w:pPr>
        <w:spacing w:after="0" w:line="143"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The net cash used in investing activities in the six months ended July 30, 2011 was primarily due to net purchases of marketable securities of $458.8 million. In addition, we purchased $42.2 million of property and equipment, and paid $16.8 million for an acquisition.</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Financing Activities</w:t>
      </w:r>
    </w:p>
    <w:p>
      <w:pPr>
        <w:spacing w:after="0" w:line="90"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Net cash used in financing activities was $459.1 million for the six months ended July 28, 2012 compared to net cash used in financing activities of $898.0 million for the six months ended July 30, 2011. For the six months ended July 28, 2012, net cash used in financing activities was primarily attributable to repurchases under our share repurchase program of 34.4 million common shares in the open market for $473.5 million and the payment of our first quarterly dividend of $33.5 million. The cash outflow was partially offset by net proceeds of $47.9 million from the issuance of our common shares under our share-based plans less the minimum tax withholding paid on behalf of employees for net share settlements. For the six months ended July 30, 2011, net cash provided by financing activities was primarily attributable to repurchases under our share repurchase program of 59.4 million common shares in the open market for $939.2 million. The cash outflow was partially offset net proceeds of $41.8 million from the issuance of common shares under our share-based plans less the minimum tax withholding paid on behalf of employees for net share settlements.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July 28, 2012, we did not have any material off-balance sheet arrangements, as defined in Item 303(a)(4)(ii) of SEC Regulation S-K.</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We presented our contractual obligations at January 28, 2012 in our Annual Report on Form 10-K for the fiscal year then ended. There has been no material changes outside the ordinary course of business in those obligations during six months ended July 28, 2012.</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6" w:lineRule="exact"/>
        <w:rPr>
          <w:sz w:val="20"/>
          <w:szCs w:val="20"/>
          <w:color w:val="auto"/>
        </w:rPr>
      </w:pPr>
    </w:p>
    <w:p>
      <w:pPr>
        <w:ind w:right="40"/>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July 28, 2012. We maintain an investment policy that requires minimum credit ratings, diversification of credit risk and limits the long-term interest rate risk by requiring maturities of less than five years. We invest our excess cash primarily in highly liquid debt instruments of the U.S. government and its agencies, time deposits, money market mutual funds, and corporate debt securities. These investments are generally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July 28, 2012, a hypothetical 100 basis point increase in interest rates across all maturities would result in a $13.4 million decline in the fair market value of the portfolio. Due to our positive cash flow from operations, the relatively short-term nature of our investment portfolio and our ability to hold investments to maturity, such change in fair market value would likely not have resulted in any cash flow impact.</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As of July 28, 2012, our investment portfolio included $19.5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we use a discounted cash flow model based on estimated timing and amount of future interest and principal payments. In developing the cash flow model, we consider the credit quality and liquidity of the underlying securities and related issuer, the collateralization of underlying security investments and other considerations. As of July 28, 2012, the fair value of auction rate securities was $1.4 million less than par value and recorded in long-term investments.</w:t>
      </w:r>
    </w:p>
    <w:p>
      <w:pPr>
        <w:spacing w:after="0" w:line="12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Based on our balance of approximately $2.1 billion in cash, cash equivalents and short-term investments, and the fact that we continue to generate positive cash flow on a quarterly basis, we do not anticipate having to sell these securities below par value and do not have the intent to sell these auction rate securities until recovery. Since we consider the impairment to be temporary, we recorded the unrealized loss to accumulated other comprehensive income, a component of shareholders’ equity.</w:t>
      </w:r>
    </w:p>
    <w:p>
      <w:pPr>
        <w:spacing w:after="0" w:line="143" w:lineRule="exact"/>
        <w:rPr>
          <w:sz w:val="20"/>
          <w:szCs w:val="20"/>
          <w:color w:val="auto"/>
        </w:rPr>
      </w:pPr>
    </w:p>
    <w:p>
      <w:pPr>
        <w:spacing w:after="0" w:line="255"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 held companies for strategic purposes. We account for these investments under the cost method</w:t>
      </w:r>
      <w:r>
        <w:rPr>
          <w:rFonts w:ascii="Arial" w:cs="Arial" w:eastAsia="Arial" w:hAnsi="Arial"/>
          <w:sz w:val="18"/>
          <w:szCs w:val="18"/>
          <w:i w:val="1"/>
          <w:iCs w:val="1"/>
          <w:color w:val="auto"/>
        </w:rPr>
        <w:t xml:space="preserve"> </w:t>
      </w:r>
      <w:r>
        <w:rPr>
          <w:rFonts w:ascii="Arial" w:cs="Arial" w:eastAsia="Arial" w:hAnsi="Arial"/>
          <w:sz w:val="18"/>
          <w:szCs w:val="18"/>
          <w:color w:val="auto"/>
        </w:rPr>
        <w:t>when we do not have the ability to exercise significant influence or control over the operations of these companies and under the equity method when we have the ability to exercise significant influence, but do not have control. Carrying value of these equity investments was $11.7 million at July 28, 2012, and was included in other non-current assets in our balance sheets. We monitor these investments for impairment and make appropriate reductions in carrying value when an impairment is deemed to be other-than-temporary.</w:t>
      </w:r>
    </w:p>
    <w:p>
      <w:pPr>
        <w:spacing w:after="0" w:line="143" w:lineRule="exact"/>
        <w:rPr>
          <w:sz w:val="20"/>
          <w:szCs w:val="20"/>
          <w:color w:val="auto"/>
        </w:rPr>
      </w:pPr>
    </w:p>
    <w:p>
      <w:pPr>
        <w:ind w:right="80"/>
        <w:spacing w:after="0" w:line="291" w:lineRule="auto"/>
        <w:rPr>
          <w:sz w:val="20"/>
          <w:szCs w:val="20"/>
          <w:color w:val="auto"/>
        </w:rPr>
      </w:pPr>
      <w:r>
        <w:rPr>
          <w:rFonts w:ascii="Arial" w:cs="Arial" w:eastAsia="Arial" w:hAnsi="Arial"/>
          <w:sz w:val="16"/>
          <w:szCs w:val="16"/>
          <w:i w:val="1"/>
          <w:iCs w:val="1"/>
          <w:color w:val="auto"/>
        </w:rPr>
        <w:t xml:space="preserve">Commodity Price Risk. </w:t>
      </w:r>
      <w:r>
        <w:rPr>
          <w:rFonts w:ascii="Arial" w:cs="Arial" w:eastAsia="Arial" w:hAnsi="Arial"/>
          <w:sz w:val="16"/>
          <w:szCs w:val="16"/>
          <w:color w:val="auto"/>
        </w:rPr>
        <w:t>We are subject to risk from fluctuating market prices of certain commodity raw materials, particularly gold, that are incorporated into</w:t>
      </w:r>
      <w:r>
        <w:rPr>
          <w:rFonts w:ascii="Arial" w:cs="Arial" w:eastAsia="Arial" w:hAnsi="Arial"/>
          <w:sz w:val="16"/>
          <w:szCs w:val="16"/>
          <w:i w:val="1"/>
          <w:iCs w:val="1"/>
          <w:color w:val="auto"/>
        </w:rPr>
        <w:t xml:space="preserve"> </w:t>
      </w:r>
      <w:r>
        <w:rPr>
          <w:rFonts w:ascii="Arial" w:cs="Arial" w:eastAsia="Arial" w:hAnsi="Arial"/>
          <w:sz w:val="16"/>
          <w:szCs w:val="16"/>
          <w:color w:val="auto"/>
        </w:rPr>
        <w:t>our end products. Supplies for such commodities may from time-to-time become restricted, or general market factors and conditions may affect the pricing of such commodities. Over the past few years, the price of gold increased significantly and certain of our supply chain partners assessed surcharges to compensate for the rising commodity prices. We are currently restructuring certain manufacturing processes to use copper instead of gold in our products. While we continue to attempt to mitigate the risk of similar increases in commodities-related costs, there can be no assurance that we will be able to successfully safeguard against potential short-term and long-term commodities price fluctuations. We do not enter into formal hedging arrangements to mitigate against commodity risk.</w:t>
      </w:r>
    </w:p>
    <w:p>
      <w:pPr>
        <w:spacing w:after="0" w:line="120" w:lineRule="exact"/>
        <w:rPr>
          <w:sz w:val="20"/>
          <w:szCs w:val="20"/>
          <w:color w:val="auto"/>
        </w:rPr>
      </w:pPr>
    </w:p>
    <w:p>
      <w:pPr>
        <w:ind w:right="180"/>
        <w:spacing w:after="0" w:line="289"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we pay certain payroll and other operating expenses in local currencies and these expenses may be higher or lower in U.S. dollar terms. Furthermore, our operation in Israel represents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interest and other income, net.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Israeli shekel expenses. We enter into certain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De-designated hedges or hedges deemed ineffective are recorded in interest and other income, net. We do not hedge our tax liabilities denominated in local currency on our balance sheet as the timing of these tax liabilities becoming cash flows is not deemed to be certain.</w:t>
      </w:r>
    </w:p>
    <w:p>
      <w:pPr>
        <w:spacing w:after="0" w:line="118"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3.4%. We expect our hedges of foreign currency exposures to be highly effective and offset a significant portion of the short-term impact of changes in exchange rates.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Our management, with the participation of our Chief Executive Officer and our Chief Financial Officer, has evaluated the effectiveness of our disclosure controls and procedures (as defined in Rule 13a-15(e) of the Exchange Act). Our disclosure controls and procedures are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00"/>
          </w:cols>
          <w:pgMar w:left="240" w:top="459" w:right="2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80"/>
        <w:spacing w:after="0" w:line="255" w:lineRule="auto"/>
        <w:rPr>
          <w:sz w:val="20"/>
          <w:szCs w:val="20"/>
          <w:color w:val="auto"/>
        </w:rPr>
      </w:pPr>
      <w:r>
        <w:rPr>
          <w:rFonts w:ascii="Arial" w:cs="Arial" w:eastAsia="Arial" w:hAnsi="Arial"/>
          <w:sz w:val="18"/>
          <w:szCs w:val="18"/>
          <w:color w:val="auto"/>
        </w:rPr>
        <w:t>designed to ensure that information required to be disclosed is recorded, processed, summarized and reported within the time periods specified in the rules and forms of the Securities and Exchange Commission (“SEC”)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July 28, 2012, our disclosure controls and procedures were effective to provide reasonable assurance.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July 28, 2012 that have materially affected, or are reasonably likely to materially affect, our internal control over financial reporting.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PART II. OTHER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6"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The information under the caption “Contingencies” as set forth in “Note 9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96" w:lineRule="exact"/>
        <w:rPr>
          <w:sz w:val="20"/>
          <w:szCs w:val="20"/>
          <w:color w:val="auto"/>
        </w:rPr>
      </w:pPr>
    </w:p>
    <w:p>
      <w:pPr>
        <w:ind w:right="160" w:firstLine="456"/>
        <w:spacing w:after="0" w:line="298" w:lineRule="auto"/>
        <w:rPr>
          <w:sz w:val="20"/>
          <w:szCs w:val="20"/>
          <w:color w:val="auto"/>
        </w:rPr>
      </w:pPr>
      <w:r>
        <w:rPr>
          <w:rFonts w:ascii="Arial" w:cs="Arial" w:eastAsia="Arial" w:hAnsi="Arial"/>
          <w:sz w:val="16"/>
          <w:szCs w:val="16"/>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 including our Annual Report on Form 10-K for the year ended January 28, 2012 and subsequent reports on Forms 10-Q and 8-K. Many of these risks and uncertainties are beyond our control, including business cycles and seasonal trends of the computing, semiconductor and related industries.</w:t>
      </w:r>
    </w:p>
    <w:p>
      <w:pPr>
        <w:spacing w:after="0" w:line="19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30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markets we address, including the continuing volatility in the technology sector and semiconductor industry;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and specifically within the semiconductor industry;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right="62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including the impact of changing commodity prices such as the price of gold;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113" w:lineRule="exact"/>
        <w:rPr>
          <w:rFonts w:ascii="Arial" w:cs="Arial" w:eastAsia="Arial" w:hAnsi="Arial"/>
          <w:sz w:val="16"/>
          <w:szCs w:val="16"/>
          <w:color w:val="auto"/>
        </w:rPr>
      </w:pPr>
    </w:p>
    <w:p>
      <w:pPr>
        <w:ind w:left="900" w:right="30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gain or loss of a key customer or design win;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900" w:right="36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impact of a significant natural disaster, including earthquakes, floods and tsunamis;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360"/>
          </w:cols>
          <w:pgMar w:left="240" w:top="459" w:right="29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Accordingly, you may not be able to resell your common shares at or above the price you paid. In future periods, our stock price could decline if, amongst other factors, our revenues or operating results are below our estimates or the estimates or expectations of public market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the intensely competitive markets, and our failure to compete effectively would harm our results of operations.</w:t>
      </w:r>
    </w:p>
    <w:p>
      <w:pPr>
        <w:spacing w:after="0" w:line="9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The semiconductor industry and specifically the mobile and wireless communications markets are extremely competitive, and we expect competition to intensify as current competitors expand their product offerings and new competitors enter the market. We currently compete with a number of large domestic and international companies in the business of designing integrated circuits and related applications, some of which have greater financial, technical and management resources than us. We expect competition to continue to increase as industry standards continue to evolve and become better known, and others realize the market potential of wired and wireless products and services. For example, we expect to continue seeing increased competition in the TD-SCDMA smartphone market in China.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28" w:lineRule="exact"/>
        <w:rPr>
          <w:sz w:val="20"/>
          <w:szCs w:val="20"/>
          <w:color w:val="auto"/>
        </w:rPr>
      </w:pPr>
    </w:p>
    <w:p>
      <w:pPr>
        <w:ind w:right="300" w:firstLine="456"/>
        <w:spacing w:after="0" w:line="256" w:lineRule="auto"/>
        <w:rPr>
          <w:sz w:val="20"/>
          <w:szCs w:val="20"/>
          <w:color w:val="auto"/>
        </w:rPr>
      </w:pPr>
      <w:r>
        <w:rPr>
          <w:rFonts w:ascii="Arial" w:cs="Arial" w:eastAsia="Arial" w:hAnsi="Arial"/>
          <w:sz w:val="18"/>
          <w:szCs w:val="18"/>
          <w:color w:val="auto"/>
        </w:rPr>
        <w:t>In addition, the semiconductor providers competing in the mobile and wireless communication markets have recently experienced consolidation. For example, Broadcom Corporation acquired NetLogic Microsystems in February 2011 and Texas Instruments Incorporated acquired National Semiconductor in September 2011. Consolidation among our competitors could lead to a changing competitive landscape, capabilities and market share, which could harm our results of operations.</w:t>
      </w:r>
    </w:p>
    <w:p>
      <w:pPr>
        <w:spacing w:after="0" w:line="224"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400" w:firstLine="456"/>
        <w:spacing w:after="0" w:line="259" w:lineRule="auto"/>
        <w:rPr>
          <w:sz w:val="20"/>
          <w:szCs w:val="20"/>
          <w:color w:val="auto"/>
        </w:rPr>
      </w:pPr>
      <w:r>
        <w:rPr>
          <w:rFonts w:ascii="Arial" w:cs="Arial" w:eastAsia="Arial" w:hAnsi="Arial"/>
          <w:sz w:val="18"/>
          <w:szCs w:val="18"/>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customers are participants in this industry.</w:t>
      </w:r>
    </w:p>
    <w:p>
      <w:pPr>
        <w:spacing w:after="0" w:line="14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40"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In addition, the HDD industry has experienced consolidation over the past several years. For example, during fiscal 2010, Toshiba acquired the HDD operations of Fujitsu. In December 2011, Seagate completed the acquisition of Samsung’s HDD unit. In March 2012, Western Digital completed the acquisition of Hitachi’s HDD unit. Consolidation among our customers could lead to changing demand for our products, replacement of our products by the merged entity with those of our competitors and cancellation of orders, each of which could harm our results of operations. On the other hand, this could lead to increased opportunities for our products within the combined company if we can leverage our technology and customer relationships.</w:t>
      </w:r>
    </w:p>
    <w:p>
      <w:pPr>
        <w:spacing w:after="0" w:line="1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Furthermore, future changes in the nature of information storage products could reduce demand for traditional HDDs. For example, products using alternative technologies, such as solid-state flash drives and other storage technologies could become a source of competition to manufacturers of HDDs. Because we offer SSD controllers, leveraging our technology in hard drives, we believe we will maintain significant market share even if demand for traditional HDDs decreases.</w:t>
      </w:r>
    </w:p>
    <w:p>
      <w:pPr>
        <w:spacing w:after="0" w:line="224" w:lineRule="exact"/>
        <w:rPr>
          <w:sz w:val="20"/>
          <w:szCs w:val="20"/>
          <w:color w:val="auto"/>
        </w:rPr>
      </w:pPr>
    </w:p>
    <w:p>
      <w:pPr>
        <w:ind w:right="46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right="180" w:firstLine="456"/>
        <w:spacing w:after="0" w:line="332" w:lineRule="auto"/>
        <w:rPr>
          <w:sz w:val="20"/>
          <w:szCs w:val="20"/>
          <w:color w:val="auto"/>
        </w:rPr>
      </w:pPr>
      <w:r>
        <w:rPr>
          <w:rFonts w:ascii="Arial" w:cs="Arial" w:eastAsia="Arial" w:hAnsi="Arial"/>
          <w:sz w:val="16"/>
          <w:szCs w:val="16"/>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w:t>
      </w:r>
    </w:p>
    <w:p>
      <w:pPr>
        <w:spacing w:after="0" w:line="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00"/>
          </w:cols>
          <w:pgMar w:left="240" w:top="459" w:right="2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90" w:lineRule="auto"/>
        <w:rPr>
          <w:sz w:val="20"/>
          <w:szCs w:val="20"/>
          <w:color w:val="auto"/>
        </w:rPr>
      </w:pPr>
      <w:r>
        <w:rPr>
          <w:rFonts w:ascii="Arial" w:cs="Arial" w:eastAsia="Arial" w:hAnsi="Arial"/>
          <w:sz w:val="16"/>
          <w:szCs w:val="16"/>
          <w:color w:val="auto"/>
        </w:rPr>
        <w:t>customer inventories and sometimes accelerated erosion of prices, including as a result of volatile global economic conditions.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18"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subsequent global economic recovery in the semiconductor industry.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224"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 party foundries to produce our integrated circuit products. We also currently rely on several third party assembly and test subcontractors to assemble, package and test our products. This exposes us to a variety of risks, including the following:</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right="120" w:firstLine="456"/>
        <w:spacing w:after="0" w:line="288" w:lineRule="auto"/>
        <w:rPr>
          <w:sz w:val="20"/>
          <w:szCs w:val="20"/>
          <w:color w:val="auto"/>
        </w:rPr>
      </w:pPr>
      <w:r>
        <w:rPr>
          <w:rFonts w:ascii="Arial" w:cs="Arial" w:eastAsia="Arial" w:hAnsi="Arial"/>
          <w:sz w:val="16"/>
          <w:szCs w:val="16"/>
          <w:color w:val="auto"/>
        </w:rPr>
        <w:t>Substantially all of our products are manufactured by third party foundries located in Taiwan. Our other sources for manufacturing are located in the U.S., China and Singapore. In addition, substantially all of our assembly and testing facilities are located in Singapore, Taiwan, Malaysia and the Philippines. Because of the geographic concentration of these third party foundries, as well as our assembly and test subcontractors, we are exposed to the risk that their operations may be disrupted by regional disasters or by political changes. For example, the risk of an earthquake in Taiwan and elsewhere in the Pacific Rim region is significant due to the proximity of major earthquake fault lines to the facilities of our foundries and assembly and test subcontractors. Taiwan has experienced significant earthquakes in the past and may be subject to additional earthquakes that could disrupt manufacturing operations. In the event of a significant natural disaster or a quarantine or closure that affects our manufacturers in the Pacific Rim, our revenues, cost of goods sold and results of operations would be negatively impacted. In addition, if we were unable to quickly identify alternate manufacturing facilities, we could experience significant delays in product shipments, which could harm our results of operations.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In addition, when demand is strong, availability of foundry capacity may be constrained, and with limited exceptions, our vendors are not obligated to perform services or supply products to us for any specific period, in any specific quantities, or at any specific price, except as may be provided in a particular purchase order. For example, in recent years, we experienced some supply shortages due to the difficulties encountered by the foundries in rapidly increasing their production capacities after the recovery from the severe economic down turn from fiscal 2009 to fiscal 2012 due to a rapid increase in demand. Although we have entered into contractual commitments to supply specified levels of products to some of our customers, we may not have sufficient levels of production capacity with all of our foundries. In addition,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Moreover, if any of our third 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21" w:lineRule="exact"/>
        <w:rPr>
          <w:sz w:val="20"/>
          <w:szCs w:val="20"/>
          <w:color w:val="auto"/>
        </w:rPr>
      </w:pPr>
    </w:p>
    <w:p>
      <w:pPr>
        <w:jc w:val="both"/>
        <w:ind w:right="280" w:firstLine="456"/>
        <w:spacing w:after="0" w:line="298" w:lineRule="auto"/>
        <w:rPr>
          <w:sz w:val="20"/>
          <w:szCs w:val="20"/>
          <w:color w:val="auto"/>
        </w:rPr>
      </w:pPr>
      <w:r>
        <w:rPr>
          <w:rFonts w:ascii="Arial" w:cs="Arial" w:eastAsia="Arial" w:hAnsi="Arial"/>
          <w:sz w:val="16"/>
          <w:szCs w:val="16"/>
          <w:color w:val="auto"/>
        </w:rPr>
        <w:t>Despite our strategy to move to a dual source,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44"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We are also subject to risk from fluctuating market prices of certain commodity raw materials, particularly gold, that are incorporated into our end products or used by our suppliers to manufacture our end products. Supplies for such commodities may from time-to-time become restricted, or general market factors and conditions may affect pricing of such commodities. Over the past few years, the price of gold increased significantly and certain of our supply chain partners assessed surcharges to compensate for the resultant increase in manufacturing costs. As a result, our gross margins have been adversely affected by significant increases in the price of gold. We are currently restructuring certain manufacturing processes to use copper instead of gold in our products. In transitioning from gold to copper, because the capacity of either wafer producers or assemblers can be limited from time to time, we may be unable to satisfy the demand of our customers, or may have to accept price increases or other compensation arrangements that increase our operating expenses and erode our gross margins. Our results may also be materially affected adversely if we fail to execute successfully or if we experience resistance from our customer base in the transition from gold to copper.</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221" w:lineRule="exact"/>
        <w:rPr>
          <w:sz w:val="20"/>
          <w:szCs w:val="20"/>
          <w:color w:val="auto"/>
        </w:rPr>
      </w:pPr>
    </w:p>
    <w:p>
      <w:pPr>
        <w:ind w:right="24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Net revenue from our three largest customers represented 35% of our net revenue in the six months ended July 28, 2012.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52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develop their own solutions;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be subject to severe business disruptions.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products we develop and sell are primarily used for high volume applications. As a result, the prices of those products have historically decreased rapidly. In addition, more recently introduced products tend to have higher associated costs because of initial overall development and production ramp.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13"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our established businesses. Fluctuations in the mix and types of our products may also affect the extent to which we are able to recover the fixed costs and investments associated with a particular product, and as a result can harm our financial results.</w:t>
      </w:r>
    </w:p>
    <w:p>
      <w:pPr>
        <w:spacing w:after="0" w:line="143"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In the past, we have reduced the average selling prices of our products in anticipation of future competitive pricing pressures, new product introductions by us or by our competitors and other factors. We expect that we will have to do so again in the future.</w:t>
      </w:r>
    </w:p>
    <w:p>
      <w:pPr>
        <w:spacing w:after="0" w:line="224"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that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 Even if new and enhanced products are introduced to the market, we and our customers may not be able to achieve market acceptance of them in a timely manner.</w:t>
      </w:r>
    </w:p>
    <w:p>
      <w:pPr>
        <w:spacing w:after="0" w:line="121"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certain price concessions, which could cause our average selling prices and gross margins to decline.</w:t>
      </w:r>
    </w:p>
    <w:p>
      <w:pPr>
        <w:spacing w:after="0" w:line="221"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306" w:lineRule="auto"/>
        <w:rPr>
          <w:sz w:val="20"/>
          <w:szCs w:val="20"/>
          <w:color w:val="auto"/>
        </w:rPr>
      </w:pPr>
      <w:r>
        <w:rPr>
          <w:rFonts w:ascii="Arial" w:cs="Arial" w:eastAsia="Arial" w:hAnsi="Arial"/>
          <w:sz w:val="16"/>
          <w:szCs w:val="16"/>
          <w:color w:val="auto"/>
        </w:rPr>
        <w:t>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07"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43"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24" w:lineRule="exact"/>
        <w:rPr>
          <w:sz w:val="20"/>
          <w:szCs w:val="20"/>
          <w:color w:val="auto"/>
        </w:rPr>
      </w:pPr>
    </w:p>
    <w:p>
      <w:pPr>
        <w:spacing w:after="0" w:line="332" w:lineRule="auto"/>
        <w:rPr>
          <w:sz w:val="20"/>
          <w:szCs w:val="20"/>
          <w:color w:val="auto"/>
        </w:rPr>
      </w:pPr>
      <w:r>
        <w:rPr>
          <w:rFonts w:ascii="Arial" w:cs="Arial" w:eastAsia="Arial" w:hAnsi="Arial"/>
          <w:sz w:val="16"/>
          <w:szCs w:val="16"/>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4"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For example, in pre-trial proceedings related to our litigation with Carnegie Mellon University (“CMU”) as described in more detail in Note 9 of the notes to our unaudited condensed consolidated financial statements, CMU has alleged that it is entitled to damages in the amount of approximately $735 million through March 2010 as a result of the alleged infringement. If we receive a significant adverse judgment in any litigation matter, our results of operations and financial position may be adversely affected.</w:t>
      </w:r>
    </w:p>
    <w:p>
      <w:pPr>
        <w:spacing w:after="0" w:line="120" w:lineRule="exact"/>
        <w:rPr>
          <w:sz w:val="20"/>
          <w:szCs w:val="20"/>
          <w:color w:val="auto"/>
        </w:rPr>
      </w:pPr>
    </w:p>
    <w:p>
      <w:pPr>
        <w:ind w:right="140" w:firstLine="456"/>
        <w:spacing w:after="0" w:line="253" w:lineRule="auto"/>
        <w:rPr>
          <w:sz w:val="20"/>
          <w:szCs w:val="20"/>
          <w:color w:val="auto"/>
        </w:rPr>
      </w:pPr>
      <w:r>
        <w:rPr>
          <w:rFonts w:ascii="Arial" w:cs="Arial" w:eastAsia="Arial" w:hAnsi="Arial"/>
          <w:sz w:val="18"/>
          <w:szCs w:val="18"/>
          <w:color w:val="auto"/>
        </w:rPr>
        <w:t>From time to time our subsidiaries and customers receive, and may continue to receive in the future, notices that allege claims of infringement, misappropriation or misuse of the intellectual property rights of third parties. In addition to standards-based infringement claims, infringement claims have also been directed against us and our subsidiaries’ proprietary technologies, particularly those related to storage technology, microprocessors and other circuit components. We have also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66" w:lineRule="exact"/>
        <w:rPr>
          <w:sz w:val="20"/>
          <w:szCs w:val="20"/>
          <w:color w:val="auto"/>
        </w:rPr>
      </w:pPr>
    </w:p>
    <w:p>
      <w:pPr>
        <w:ind w:left="1480" w:right="640" w:hanging="446"/>
        <w:spacing w:after="0" w:line="268" w:lineRule="auto"/>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1480" w:right="140" w:hanging="446"/>
        <w:spacing w:after="0" w:line="268" w:lineRule="auto"/>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1480" w:right="240" w:hanging="446"/>
        <w:spacing w:after="0" w:line="268" w:lineRule="auto"/>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attempt to obtain or renew licenses to the relevant intellectual property, which licenses may not be available on reasonable terms or at all; and</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9"/>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We may also be required to indemnify some customers under our contracts if a third party alleges, or a court finds, that our products have infringed upon the proprietary rights of other parties. From time to time, we have agreed to indemnify select customers for claims made against our products, where such claims allege infringement of third party intellectual property rights, including, but not limited to, patents, registered trademarks and/or copyrights. If we are required to make a significant payment under any of our indemnification obligations, our result of operations may be harmed.</w:t>
      </w:r>
    </w:p>
    <w:p>
      <w:pPr>
        <w:spacing w:after="0" w:line="9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360"/>
          </w:cols>
          <w:pgMar w:left="240" w:top="459" w:right="29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300"/>
        <w:spacing w:after="0" w:line="370" w:lineRule="auto"/>
        <w:rPr>
          <w:sz w:val="20"/>
          <w:szCs w:val="20"/>
          <w:color w:val="auto"/>
        </w:rPr>
      </w:pPr>
      <w:r>
        <w:rPr>
          <w:rFonts w:ascii="Arial" w:cs="Arial" w:eastAsia="Arial" w:hAnsi="Arial"/>
          <w:sz w:val="15"/>
          <w:szCs w:val="15"/>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spacing w:after="0" w:line="62"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have been named as a party to several lawsuits and we may be named in additional litigation in the future. Please see “Note 9 – Commitments and Contingencies” of our notes to the unaudited condensed consolidated financial statements set forth in Part I, Item 1 of this Quarterly Report on Form 10-Q for a more detailed description of a number of the litigation matters we are currently engaged in. Under certain circumstances, we have contractual and other legal obligations to indemnify and to incur legal expenses on behalf of current and former directors and officers for these lawsuits. In addition, due to the high volatility of our stock price, we may be vulnerable to securities class action litigation. In addition, as a result of a prior SEC settlement, we forfeited for three years our ability to invoke the “safe harbor” for forward-looking statements provided by the Private Securities Litigation Reform Act of 1995. Because we could not benefit from the statutory safe harbor from June 2008 through June 2011, it may be more difficult for us to defend against any future claims based on any forward-looking statements issued during that timeframe.</w:t>
      </w:r>
    </w:p>
    <w:p>
      <w:pPr>
        <w:spacing w:after="0" w:line="118"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The ultimate outcome of any litigation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had approximately $2.0 billion of goodwill and $114.1 million of intangible assets on our balance sheet as of July 28, 2012. Under U.S. GAAP, we are required to review our intangible assets for impairment whenever events or changes in circumstances indicate that the carrying value of these assets may not be recoverable. We perform an annual assessment of goodwill at the beginning of our fiscal fourth quarter and we also assess the impairment of goodwill on an interim basis whenever events or changes in circumstances indicate that the carrying value of such assets may not be recoverable. If the businesses acquired fail to meet our expectations set out at the time of the acquisition or if our market capitalization adjusted for control premiums and other factors declines to below our carrying value, we could incur significant goodwill or intangible impairment charges, which could negatively impact our financial results. In addition, from time to time, we have made investments in other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Impairment charges could have a material impact on our results of operations in any period.</w:t>
      </w:r>
    </w:p>
    <w:p>
      <w:pPr>
        <w:spacing w:after="0" w:line="201"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For example, in order to reduce expenses in the challenging economic environment that began during the second half of fiscal 2009, in late fiscal 2009 and early in fiscal 2010, we implemented certain cost reduction measures to reduce operating expenses. Since that time we have hired a significant numbers of employees primarily in the research and development area.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21"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306" w:lineRule="auto"/>
        <w:rPr>
          <w:sz w:val="20"/>
          <w:szCs w:val="20"/>
          <w:color w:val="auto"/>
        </w:rPr>
      </w:pPr>
      <w:r>
        <w:rPr>
          <w:rFonts w:ascii="Arial" w:cs="Arial" w:eastAsia="Arial" w:hAnsi="Arial"/>
          <w:sz w:val="16"/>
          <w:szCs w:val="16"/>
          <w:color w:val="auto"/>
        </w:rPr>
        <w:t>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right="160" w:firstLine="456"/>
        <w:spacing w:after="0" w:line="289" w:lineRule="auto"/>
        <w:rPr>
          <w:sz w:val="20"/>
          <w:szCs w:val="20"/>
          <w:color w:val="auto"/>
        </w:rPr>
      </w:pPr>
      <w:r>
        <w:rPr>
          <w:rFonts w:ascii="Arial" w:cs="Arial" w:eastAsia="Arial" w:hAnsi="Arial"/>
          <w:sz w:val="16"/>
          <w:szCs w:val="16"/>
          <w:color w:val="auto"/>
        </w:rPr>
        <w:t>We have experienced, from time to time, hardware and software defects and bugs associated with the introduction of our highly complex products. We cannot assure you that, despite our testing procedures,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we may have difficulty identifying the end customers of the defective products in the field. As a result, we could incur substantial costs to implement modifications to correct defects. Any of these problems could materially adversely affect our results of operations.</w:t>
      </w:r>
    </w:p>
    <w:p>
      <w:pPr>
        <w:spacing w:after="0" w:line="199"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89% of our net revenue in six months ended July 28, 2012, 89% of our net revenue in fiscal 2012 and 81% of our net revenue in fiscal 2011.</w:t>
      </w:r>
    </w:p>
    <w:p>
      <w:pPr>
        <w:spacing w:after="0" w:line="116"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We also have substantial operations outside of the U.S. These operations are directly influenced by the political and economic conditions of the region in which they are located, and with respect to Israel, possible military hostilities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1480" w:right="600" w:hanging="446"/>
        <w:spacing w:after="0" w:line="268" w:lineRule="auto"/>
        <w:tabs>
          <w:tab w:leader="none" w:pos="14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political, social and economic instability, including wars, terrorism, political unrest, boycotts, curtailment of trade and other business restrictions;</w:t>
      </w:r>
    </w:p>
    <w:p>
      <w:pPr>
        <w:spacing w:after="0" w:line="50" w:lineRule="exact"/>
        <w:rPr>
          <w:rFonts w:ascii="Arial" w:cs="Arial" w:eastAsia="Arial" w:hAnsi="Arial"/>
          <w:sz w:val="18"/>
          <w:szCs w:val="18"/>
          <w:color w:val="auto"/>
        </w:rPr>
      </w:pPr>
    </w:p>
    <w:p>
      <w:pPr>
        <w:ind w:left="1480" w:right="100" w:hanging="446"/>
        <w:spacing w:after="0" w:line="268" w:lineRule="auto"/>
        <w:tabs>
          <w:tab w:leader="none" w:pos="14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00"/>
          </w:cols>
          <w:pgMar w:left="240" w:top="459" w:right="2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right="400" w:hanging="446"/>
        <w:spacing w:after="0" w:line="268" w:lineRule="auto"/>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420" w:firstLine="456"/>
        <w:spacing w:after="0" w:line="298" w:lineRule="auto"/>
        <w:rPr>
          <w:sz w:val="20"/>
          <w:szCs w:val="20"/>
          <w:color w:val="auto"/>
        </w:rPr>
      </w:pPr>
      <w:r>
        <w:rPr>
          <w:rFonts w:ascii="Arial" w:cs="Arial" w:eastAsia="Arial" w:hAnsi="Arial"/>
          <w:sz w:val="16"/>
          <w:szCs w:val="16"/>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13"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94"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and hire additional personnel, our ability to develop and successfully market our products could be harmed.</w:t>
      </w:r>
    </w:p>
    <w:p>
      <w:pPr>
        <w:spacing w:after="0" w:line="132"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sales and marketing personnel. The loss of key employees or the inability to attract qualified personnel, including hardware and software engineers and sales and marketing personnel could delay the development and introduction of and harm our ability to sell our products. We typically do not enter into employment agreements with any of our key technical personnel, and their knowledge of our business and industry would be extremely difficult to replace.</w:t>
      </w:r>
    </w:p>
    <w:p>
      <w:pPr>
        <w:spacing w:after="0" w:line="113" w:lineRule="exact"/>
        <w:rPr>
          <w:sz w:val="20"/>
          <w:szCs w:val="20"/>
          <w:color w:val="auto"/>
        </w:rPr>
      </w:pPr>
    </w:p>
    <w:p>
      <w:pPr>
        <w:jc w:val="both"/>
        <w:ind w:right="60" w:firstLine="456"/>
        <w:spacing w:after="0" w:line="306" w:lineRule="auto"/>
        <w:rPr>
          <w:sz w:val="20"/>
          <w:szCs w:val="20"/>
          <w:color w:val="auto"/>
        </w:rPr>
      </w:pPr>
      <w:r>
        <w:rPr>
          <w:rFonts w:ascii="Arial" w:cs="Arial" w:eastAsia="Arial" w:hAnsi="Arial"/>
          <w:sz w:val="16"/>
          <w:szCs w:val="16"/>
          <w:color w:val="auto"/>
        </w:rPr>
        <w:t>The competition for qualified technical personnel with significant experience in the design, development, manufacturing, marketing and sales of integrated circuits is intense.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188"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85"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and technologies, augment our end market coverage, or enhance our technological capabilities.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3"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new debt or contingent liabilities, or payment of cash. Moreover, such</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380"/>
        <w:spacing w:after="0" w:line="306" w:lineRule="auto"/>
        <w:rPr>
          <w:sz w:val="20"/>
          <w:szCs w:val="20"/>
          <w:color w:val="auto"/>
        </w:rPr>
      </w:pPr>
      <w:r>
        <w:rPr>
          <w:rFonts w:ascii="Arial" w:cs="Arial" w:eastAsia="Arial" w:hAnsi="Arial"/>
          <w:sz w:val="16"/>
          <w:szCs w:val="16"/>
          <w:color w:val="auto"/>
        </w:rPr>
        <w:t>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188"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5"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Changes in financial accounting standards or practices or existing taxation rules or practices may adversely affect our financial results.</w:t>
      </w:r>
    </w:p>
    <w:p>
      <w:pPr>
        <w:spacing w:after="0" w:line="113" w:lineRule="exact"/>
        <w:rPr>
          <w:sz w:val="20"/>
          <w:szCs w:val="20"/>
          <w:color w:val="auto"/>
        </w:rPr>
      </w:pPr>
    </w:p>
    <w:p>
      <w:pPr>
        <w:ind w:right="240" w:firstLine="456"/>
        <w:spacing w:after="0" w:line="294" w:lineRule="auto"/>
        <w:rPr>
          <w:sz w:val="20"/>
          <w:szCs w:val="20"/>
          <w:color w:val="auto"/>
        </w:rPr>
      </w:pPr>
      <w:r>
        <w:rPr>
          <w:rFonts w:ascii="Arial" w:cs="Arial" w:eastAsia="Arial" w:hAnsi="Arial"/>
          <w:sz w:val="16"/>
          <w:szCs w:val="16"/>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the U.S. Congress may consider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 or cause our stock price to decline.</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that we receive may be terminated or reduced in the future, which would harm our results of operations and profitability.</w:t>
      </w:r>
    </w:p>
    <w:p>
      <w:pPr>
        <w:spacing w:after="0" w:line="9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In prior years, we have entered into agreements with the local governments in certain foreign jurisdictions where we have significant operations to provide us with favorable tax rates in those jurisdictions if certain criteria are met.</w:t>
      </w:r>
    </w:p>
    <w:p>
      <w:pPr>
        <w:spacing w:after="0" w:line="132"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We have obtained from the Minister of Finance of Bermuda under the Exempt Undertakings Tax Protection Act 1966, as amended, an undertaking that, in the event Bermuda enacts legislation imposing tax computed on profits, income, or capital asset, gain or appreciation, then the imposition of any such taxes will not apply to us until March 31, 2035. We cannot assure that any future elected Government of Bermuda would not amend the Exempted Undertaking Tax Protection Act 1966 such that tax would be imposed in Bermuda.</w:t>
      </w:r>
    </w:p>
    <w:p>
      <w:pPr>
        <w:spacing w:after="0" w:line="143"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Economic Development Board of Singapore (the “EDB”) granted Pioneer Status to our wholly-owned subsidiary in Singapore in July 1999. This tax exemption was to expire after ten years, but the EDB in June 2006 agreed to extend the term to 15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w:t>
      </w:r>
    </w:p>
    <w:p>
      <w:pPr>
        <w:spacing w:after="0" w:line="14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Under the Israeli Encouragement law of “approved or benefited enterprise,” two branches of Marvell Israel (“MISL”), the GTL branch and the cellular branch (formerly Marvell DSPC), are entitled to a beneficial tax program that includes reduced tax rates and exemption of certain income. The first program was approved for MISL in 1995 and the most recent was approved in 2003. Marvell DSPC has five approved programs, with the first approved in 1990 and the most recent benefited enterprise approved in 2010. The benefit period is generally 10 to 15 years and begins in the first year in which our Israeli divisions earn taxable income from the approved or benefited enterprises, provided the maximum period has not elapsed. Income from the approved or benefited enterprises is subject to reduced tax rates ranging between 0% and 10% or tax exemptions for fiscal 2008 through 2020. A new amendment to the Encouragement law, which was approved by the Israeli government in December 2011, came into effect January 1, 2012. MISL and DSPC will not apply the new amendment to the Encouragement law prior to fiscal 2023.</w:t>
      </w:r>
    </w:p>
    <w:p>
      <w:pPr>
        <w:spacing w:after="0" w:line="118"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During fiscal 2007, our Switzerland subsidiary received a ten-year Federal and Cantonal tax holiday on revenues from research and design and wafer supply trading activities that will expire in 2016. In fiscal 2011, we met the requirements of the initial five year period and we will receive the ongoing tax holiday benefits provided that we continue to meet the ongoing requirements.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If any of our tax agreements in any of these foreign jurisdictions were terminated, our results of our operations and profitability would be harmed.</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23"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often made available under licenses, which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There can be no assurance that we will continue to declare cash dividends at all or in any particular amounts.</w:t>
      </w:r>
    </w:p>
    <w:p>
      <w:pPr>
        <w:spacing w:after="0" w:line="90"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In May 2012, we announced the declaration of our first quarterly cash dividend. We intend to continue to pay a regular quarterly cash dividend on our common shares subject to, among other things, the best interests of our shareholders, our results of operations, cash balances and future cash requirements, financial condition, statutory requirements of Bermuda law, and other factors that the board of directors may deem relevant. Our dividend payments may change from time to time, and we cannot provide assurance that we will continue to declare dividends at all or in any particular amounts. A reduction in our dividend payments could have a negative effect on our share price.</w:t>
      </w:r>
    </w:p>
    <w:p>
      <w:pPr>
        <w:spacing w:after="0" w:line="224" w:lineRule="exact"/>
        <w:rPr>
          <w:sz w:val="20"/>
          <w:szCs w:val="20"/>
          <w:color w:val="auto"/>
        </w:rPr>
      </w:pPr>
    </w:p>
    <w:p>
      <w:pPr>
        <w:jc w:val="both"/>
        <w:ind w:right="200"/>
        <w:spacing w:after="0" w:line="259" w:lineRule="auto"/>
        <w:rPr>
          <w:sz w:val="20"/>
          <w:szCs w:val="20"/>
          <w:color w:val="auto"/>
        </w:rPr>
      </w:pPr>
      <w:r>
        <w:rPr>
          <w:rFonts w:ascii="Arial" w:cs="Arial" w:eastAsia="Arial" w:hAnsi="Arial"/>
          <w:sz w:val="18"/>
          <w:szCs w:val="18"/>
          <w:b w:val="1"/>
          <w:bCs w:val="1"/>
          <w:i w:val="1"/>
          <w:iCs w:val="1"/>
          <w:color w:val="auto"/>
        </w:rPr>
        <w:t>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59"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Our management is responsible for maintaining effective internal control over financial reporting and for its assessment of the effectiveness of internal control over financial reporting included in each Annual Report on Form 10-K.</w:t>
      </w:r>
    </w:p>
    <w:p>
      <w:pPr>
        <w:spacing w:after="0" w:line="143"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Our management, including our Chief Executive Officer and Chief Financial Officer, does not expect that our internal control over financial reporting will prevent all error and all fraud. These inherent limitations include the realities that judgments in decision making can be faulty, breakdowns can occur because of simple errors, and errors discovered by personnel within control systems may not be properly disclosed and addressed. Controls can also be circumvented by the individual acts of some persons, by collusion of two or more people, or by management override of the controls.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b w:val="1"/>
          <w:bCs w:val="1"/>
          <w:i w:val="1"/>
          <w:iCs w:val="1"/>
          <w:color w:val="auto"/>
        </w:rPr>
        <w:t>Two of our officers and directors own a large percentage of our voting stock, and, together with another employee who is also a significant shareholder, are related by blood or marriage. These factors may allow the officers and directors as a group or the three related employees to influence the election of directors and the approval or disapproval of significant corporate actions.</w:t>
      </w:r>
    </w:p>
    <w:p>
      <w:pPr>
        <w:spacing w:after="0" w:line="59" w:lineRule="exact"/>
        <w:rPr>
          <w:sz w:val="20"/>
          <w:szCs w:val="20"/>
          <w:color w:val="auto"/>
        </w:rPr>
      </w:pPr>
    </w:p>
    <w:p>
      <w:pPr>
        <w:ind w:right="140" w:firstLine="456"/>
        <w:spacing w:after="0" w:line="314" w:lineRule="auto"/>
        <w:rPr>
          <w:sz w:val="20"/>
          <w:szCs w:val="20"/>
          <w:color w:val="auto"/>
        </w:rPr>
      </w:pPr>
      <w:r>
        <w:rPr>
          <w:rFonts w:ascii="Arial" w:cs="Arial" w:eastAsia="Arial" w:hAnsi="Arial"/>
          <w:sz w:val="15"/>
          <w:szCs w:val="15"/>
          <w:color w:val="auto"/>
        </w:rPr>
        <w:t>Dr. Sehat Sutardja, our President and Chief Executive Officer, and Weili Dai, who serves as the Vice President and General Manager of Communications and Consumer Business of Marvell Semiconductor, Inc, are husband and wife, and Dr. Sehat Sutardja and Dr. Pantas Sutardja, our Vice President, Chief Technology Officer and Chief Research and Development Officer, are brothers. Together, these three individuals held approximately 19% of our outstanding common shares as of July 28, 2012.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example, the voting power of these individuals could have the effect of delaying or preventing an acquisition of us on terms that other shareholders may desire.</w:t>
      </w:r>
    </w:p>
    <w:p>
      <w:pPr>
        <w:spacing w:after="0" w:line="105"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are generally not available to shareholders under the laws of Bermuda. Derivative actions may be available in certain circumstances, which would permit a shareholder to bring an action in our name if the directors or officers are alleged to be acting beyond our corporate power, committing illegal acts or violating our Memorandum of Association or Third Amended and Restated Bye-Laws (“Bye-Laws”). Furthermore, consideration would be given by a Bermuda court to acts that are alleged to constitute a fraud against the minority shareholders or, for example, where an act requiring the approval of a greater percentage of the company’s shareholders than those who actually approved it.</w:t>
      </w:r>
    </w:p>
    <w:p>
      <w:pPr>
        <w:spacing w:after="0" w:line="12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194" w:lineRule="exact"/>
        <w:rPr>
          <w:sz w:val="20"/>
          <w:szCs w:val="20"/>
          <w:color w:val="auto"/>
        </w:rPr>
      </w:pPr>
    </w:p>
    <w:p>
      <w:pPr>
        <w:ind w:right="320"/>
        <w:spacing w:after="0" w:line="357" w:lineRule="auto"/>
        <w:rPr>
          <w:sz w:val="20"/>
          <w:szCs w:val="20"/>
          <w:color w:val="auto"/>
        </w:rPr>
      </w:pPr>
      <w:r>
        <w:rPr>
          <w:rFonts w:ascii="Arial" w:cs="Arial" w:eastAsia="Arial" w:hAnsi="Arial"/>
          <w:sz w:val="15"/>
          <w:szCs w:val="15"/>
          <w:b w:val="1"/>
          <w:bCs w:val="1"/>
          <w:i w:val="1"/>
          <w:iCs w:val="1"/>
          <w:color w:val="auto"/>
        </w:rPr>
        <w:t>We rely upon the performance of our information technology systems to process, transmit, store and protect electronic information, and the failure of any critical information technology system may result in serious harm to our reputation, business, results of operations and/or financial condition.</w:t>
      </w:r>
    </w:p>
    <w:p>
      <w:pPr>
        <w:ind w:firstLine="456"/>
        <w:spacing w:after="0" w:line="285" w:lineRule="auto"/>
        <w:rPr>
          <w:sz w:val="20"/>
          <w:szCs w:val="20"/>
          <w:color w:val="auto"/>
        </w:rPr>
      </w:pPr>
      <w:r>
        <w:rPr>
          <w:rFonts w:ascii="Arial" w:cs="Arial" w:eastAsia="Arial" w:hAnsi="Arial"/>
          <w:sz w:val="16"/>
          <w:szCs w:val="16"/>
          <w:color w:val="auto"/>
        </w:rPr>
        <w:t>We are heavily dependent on our technology infrastructure and maintain and rely upon certain critical information systems for the effective operation of our business. These information technology systems include telecommunications, the Internet, our corporate intranet, various computer hardware and software applications, network communications and e-mail. These information technology systems are subject to damage or interruption from a number of potential sources including natural disasters, viruses, destructive or inadequate code, malware, power failures, cyber attacks, and other events. To the extent that these information systems are under our control, we have implemented security procedures, such as virus protection software and emergency recovery processes, to address the outlined risks. We may incur significant costs in order to implement, maintain and/or update security systems that we feel are necessary to protect our information systems. A material breach in the security of our information systems could include the theft of our intellectual property or trade secrets, negatively impact our operations, or result in the compromise of personal and confidential information of our employees, customers or suppliers. While we believe that our information technology systems are appropriately controlled and that we have processes in place to adequately mitigate these risks, security procedures for information systems cannot be guaranteed to be failsafe. To the extent that any system failure, accident or security breach results in disruptions or interruptions to our operations or the theft, loss or disclosure of, or damage to our data or confidential information, our reputation, business, results of operations and/or financial condition could be materially adversely affected. In addition, a miscalculation of the level of investment needed to ensure our technology solutions are current and up-to-date as technology advances and evolves could result in disruptions in our business should the software, hardware or maintenance of such items become out-of-date or obsolete. Furthermore, when we implement new systems and/or upgrade existing systems, there is a risk that our business may be temporarily disrupted during the period of implementation.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1480" w:hanging="446"/>
        <w:spacing w:after="0"/>
        <w:tabs>
          <w:tab w:leader="none" w:pos="14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1480" w:right="180" w:hanging="446"/>
        <w:spacing w:after="0" w:line="268" w:lineRule="auto"/>
        <w:tabs>
          <w:tab w:leader="none" w:pos="14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480" w:hanging="446"/>
        <w:spacing w:after="0"/>
        <w:tabs>
          <w:tab w:leader="none" w:pos="1480" w:val="left"/>
        </w:tabs>
        <w:numPr>
          <w:ilvl w:val="0"/>
          <w:numId w:val="13"/>
        </w:numPr>
        <w:rPr>
          <w:rFonts w:ascii="Arial" w:cs="Arial" w:eastAsia="Arial" w:hAnsi="Arial"/>
          <w:sz w:val="16"/>
          <w:szCs w:val="16"/>
          <w:color w:val="auto"/>
        </w:rPr>
      </w:pPr>
      <w:r>
        <w:rPr>
          <w:rFonts w:ascii="Arial" w:cs="Arial" w:eastAsia="Arial" w:hAnsi="Arial"/>
          <w:sz w:val="16"/>
          <w:szCs w:val="16"/>
          <w:color w:val="auto"/>
        </w:rPr>
        <w:t>the possible need for structural improvements in order to comply with zoning, seismic and other legal or regulatory requirements;</w:t>
      </w:r>
    </w:p>
    <w:p>
      <w:pPr>
        <w:spacing w:after="0" w:line="113" w:lineRule="exact"/>
        <w:rPr>
          <w:rFonts w:ascii="Arial" w:cs="Arial" w:eastAsia="Arial" w:hAnsi="Arial"/>
          <w:sz w:val="16"/>
          <w:szCs w:val="16"/>
          <w:color w:val="auto"/>
        </w:rPr>
      </w:pPr>
    </w:p>
    <w:p>
      <w:pPr>
        <w:ind w:left="1480" w:right="560" w:hanging="446"/>
        <w:spacing w:after="0" w:line="268" w:lineRule="auto"/>
        <w:tabs>
          <w:tab w:leader="none" w:pos="14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potential disruption of our business and operations arising from or connected with a relocation due to moving to or renovating the facility;</w:t>
      </w:r>
    </w:p>
    <w:p>
      <w:pPr>
        <w:spacing w:after="0" w:line="50" w:lineRule="exact"/>
        <w:rPr>
          <w:rFonts w:ascii="Arial" w:cs="Arial" w:eastAsia="Arial" w:hAnsi="Arial"/>
          <w:sz w:val="18"/>
          <w:szCs w:val="18"/>
          <w:color w:val="auto"/>
        </w:rPr>
      </w:pPr>
    </w:p>
    <w:p>
      <w:pPr>
        <w:ind w:left="1480" w:hanging="446"/>
        <w:spacing w:after="0"/>
        <w:tabs>
          <w:tab w:leader="none" w:pos="14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1480" w:hanging="446"/>
        <w:spacing w:after="0"/>
        <w:tabs>
          <w:tab w:leader="none" w:pos="14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1480" w:hanging="446"/>
        <w:spacing w:after="0" w:line="268" w:lineRule="auto"/>
        <w:tabs>
          <w:tab w:leader="none" w:pos="14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 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1" w:lineRule="exact"/>
        <w:rPr>
          <w:sz w:val="20"/>
          <w:szCs w:val="20"/>
          <w:color w:val="auto"/>
        </w:rPr>
      </w:pPr>
    </w:p>
    <w:p>
      <w:pPr>
        <w:ind w:right="14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right="18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United States courts judgments based on the civil liability provisions of the securities laws of the United States.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18"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securities laws. This waiver will limit the rights of our shareholders to assert claims against our officers and directors unless the act complained of involves fraud or dishonesty. Therefore, so long as acts of business judgment do not involve fraud or dishonesty, they will not be subject to shareholder claims under Bermuda law. For example, shareholders will not have claims against officers and directors for a breach of trust, unless the breach rises to the level of fraud or dishonesty.</w:t>
      </w:r>
    </w:p>
    <w:p>
      <w:pPr>
        <w:spacing w:after="0" w:line="228" w:lineRule="exact"/>
        <w:rPr>
          <w:sz w:val="20"/>
          <w:szCs w:val="20"/>
          <w:color w:val="auto"/>
        </w:rPr>
      </w:pPr>
    </w:p>
    <w:p>
      <w:pPr>
        <w:ind w:right="58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1480" w:hanging="446"/>
        <w:spacing w:after="0"/>
        <w:tabs>
          <w:tab w:leader="none" w:pos="14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 and</w:t>
      </w:r>
    </w:p>
    <w:p>
      <w:pPr>
        <w:spacing w:after="0" w:line="90" w:lineRule="exact"/>
        <w:rPr>
          <w:rFonts w:ascii="Arial" w:cs="Arial" w:eastAsia="Arial" w:hAnsi="Arial"/>
          <w:sz w:val="18"/>
          <w:szCs w:val="18"/>
          <w:color w:val="auto"/>
        </w:rPr>
      </w:pPr>
    </w:p>
    <w:p>
      <w:pPr>
        <w:ind w:left="1480" w:right="280" w:hanging="446"/>
        <w:spacing w:after="0" w:line="332" w:lineRule="auto"/>
        <w:tabs>
          <w:tab w:leader="none" w:pos="1480" w:val="left"/>
        </w:tabs>
        <w:numPr>
          <w:ilvl w:val="0"/>
          <w:numId w:val="14"/>
        </w:numPr>
        <w:rPr>
          <w:rFonts w:ascii="Arial" w:cs="Arial" w:eastAsia="Arial" w:hAnsi="Arial"/>
          <w:sz w:val="16"/>
          <w:szCs w:val="16"/>
          <w:color w:val="auto"/>
        </w:rPr>
      </w:pPr>
      <w:r>
        <w:rPr>
          <w:rFonts w:ascii="Arial" w:cs="Arial" w:eastAsia="Arial" w:hAnsi="Arial"/>
          <w:sz w:val="16"/>
          <w:szCs w:val="16"/>
          <w:color w:val="auto"/>
        </w:rPr>
        <w:t xml:space="preserve">requiring a vote of two-thirds of votes cast in person or by proxy to approve any change of corporate control in the event the action is not approved by at least 66 </w:t>
      </w:r>
      <w:r>
        <w:rPr>
          <w:rFonts w:ascii="Arial" w:cs="Arial" w:eastAsia="Arial" w:hAnsi="Arial"/>
          <w:sz w:val="10"/>
          <w:szCs w:val="10"/>
          <w:color w:val="auto"/>
        </w:rPr>
        <w:t>2</w:t>
      </w:r>
      <w:r>
        <w:rPr>
          <w:rFonts w:ascii="Arial" w:cs="Arial" w:eastAsia="Arial" w:hAnsi="Arial"/>
          <w:sz w:val="16"/>
          <w:szCs w:val="16"/>
          <w:color w:val="auto"/>
        </w:rPr>
        <w:t>/</w:t>
      </w:r>
      <w:r>
        <w:rPr>
          <w:rFonts w:ascii="Arial" w:cs="Arial" w:eastAsia="Arial" w:hAnsi="Arial"/>
          <w:sz w:val="10"/>
          <w:szCs w:val="10"/>
          <w:color w:val="auto"/>
        </w:rPr>
        <w:t>3</w:t>
      </w:r>
      <w:r>
        <w:rPr>
          <w:rFonts w:ascii="Arial" w:cs="Arial" w:eastAsia="Arial" w:hAnsi="Arial"/>
          <w:sz w:val="16"/>
          <w:szCs w:val="16"/>
          <w:color w:val="auto"/>
        </w:rPr>
        <w:t>% of the directors holding office at the date of the Board meeting to approve the action.</w:t>
      </w:r>
    </w:p>
    <w:p>
      <w:pPr>
        <w:spacing w:after="0" w:line="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00"/>
          </w:cols>
          <w:pgMar w:left="240" w:top="459" w:right="25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 party to acquire us, even if doing so would be a benefit to our shareholders.</w:t>
      </w:r>
    </w:p>
    <w:p>
      <w:pPr>
        <w:spacing w:after="0" w:line="11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0740"/>
          </w:cols>
          <w:pgMar w:left="240" w:top="459" w:right="91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sales of unregistered securities during the three months ended July 28, 2012.</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our repurchases during the three months ended July 28, 2012 (in thousands, except per share data):</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1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7"/>
              </w:rPr>
              <w:t>Total Number of Shares</w:t>
            </w:r>
          </w:p>
        </w:tc>
        <w:tc>
          <w:tcPr>
            <w:tcW w:w="380" w:type="dxa"/>
            <w:vAlign w:val="bottom"/>
          </w:tcPr>
          <w:p>
            <w:pPr>
              <w:spacing w:after="0"/>
              <w:rPr>
                <w:sz w:val="14"/>
                <w:szCs w:val="14"/>
                <w:color w:val="auto"/>
              </w:rPr>
            </w:pPr>
          </w:p>
        </w:tc>
        <w:tc>
          <w:tcPr>
            <w:tcW w:w="1840" w:type="dxa"/>
            <w:vAlign w:val="bottom"/>
            <w:gridSpan w:val="3"/>
          </w:tcPr>
          <w:p>
            <w:pPr>
              <w:spacing w:after="0"/>
              <w:rPr>
                <w:sz w:val="20"/>
                <w:szCs w:val="20"/>
                <w:color w:val="auto"/>
              </w:rPr>
            </w:pPr>
            <w:r>
              <w:rPr>
                <w:rFonts w:ascii="Arial" w:cs="Arial" w:eastAsia="Arial" w:hAnsi="Arial"/>
                <w:sz w:val="14"/>
                <w:szCs w:val="14"/>
                <w:b w:val="1"/>
                <w:bCs w:val="1"/>
                <w:color w:val="auto"/>
                <w:w w:val="92"/>
              </w:rPr>
              <w:t>Approximated Dollar Value of</w:t>
            </w: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10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6"/>
              </w:rPr>
              <w:t>Purchased as Part of Publicly</w:t>
            </w:r>
          </w:p>
        </w:tc>
        <w:tc>
          <w:tcPr>
            <w:tcW w:w="3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Shares that May Yet Be</w:t>
            </w:r>
          </w:p>
        </w:tc>
        <w:tc>
          <w:tcPr>
            <w:tcW w:w="0" w:type="dxa"/>
            <w:vAlign w:val="bottom"/>
          </w:tcPr>
          <w:p>
            <w:pPr>
              <w:spacing w:after="0"/>
              <w:rPr>
                <w:sz w:val="1"/>
                <w:szCs w:val="1"/>
                <w:color w:val="auto"/>
              </w:rPr>
            </w:pPr>
          </w:p>
        </w:tc>
      </w:tr>
      <w:tr>
        <w:trPr>
          <w:trHeight w:val="149"/>
        </w:trPr>
        <w:tc>
          <w:tcPr>
            <w:tcW w:w="400" w:type="dxa"/>
            <w:vAlign w:val="bottom"/>
            <w:vMerge w:val="restart"/>
          </w:tcPr>
          <w:p>
            <w:pPr>
              <w:spacing w:after="0"/>
              <w:rPr>
                <w:sz w:val="20"/>
                <w:szCs w:val="20"/>
                <w:color w:val="auto"/>
              </w:rPr>
            </w:pPr>
            <w:r>
              <w:rPr>
                <w:rFonts w:ascii="Arial" w:cs="Arial" w:eastAsia="Arial" w:hAnsi="Arial"/>
                <w:sz w:val="14"/>
                <w:szCs w:val="14"/>
                <w:b w:val="1"/>
                <w:bCs w:val="1"/>
                <w:color w:val="auto"/>
                <w:w w:val="87"/>
              </w:rPr>
              <w:t>Period</w:t>
            </w:r>
          </w:p>
        </w:tc>
        <w:tc>
          <w:tcPr>
            <w:tcW w:w="180" w:type="dxa"/>
            <w:vAlign w:val="bottom"/>
            <w:vMerge w:val="restart"/>
          </w:tcPr>
          <w:p>
            <w:pPr>
              <w:spacing w:after="0"/>
              <w:rPr>
                <w:sz w:val="12"/>
                <w:szCs w:val="12"/>
                <w:color w:val="auto"/>
              </w:rPr>
            </w:pPr>
          </w:p>
        </w:tc>
        <w:tc>
          <w:tcPr>
            <w:tcW w:w="58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060" w:type="dxa"/>
            <w:vAlign w:val="bottom"/>
            <w:gridSpan w:val="2"/>
          </w:tcPr>
          <w:p>
            <w:pPr>
              <w:jc w:val="right"/>
              <w:ind w:right="60"/>
              <w:spacing w:after="0" w:line="149" w:lineRule="exact"/>
              <w:rPr>
                <w:sz w:val="20"/>
                <w:szCs w:val="20"/>
                <w:color w:val="auto"/>
              </w:rPr>
            </w:pPr>
            <w:r>
              <w:rPr>
                <w:rFonts w:ascii="Arial" w:cs="Arial" w:eastAsia="Arial" w:hAnsi="Arial"/>
                <w:sz w:val="14"/>
                <w:szCs w:val="14"/>
                <w:b w:val="1"/>
                <w:bCs w:val="1"/>
                <w:color w:val="auto"/>
                <w:w w:val="91"/>
              </w:rPr>
              <w:t>Total Number of</w:t>
            </w:r>
          </w:p>
        </w:tc>
        <w:tc>
          <w:tcPr>
            <w:tcW w:w="780" w:type="dxa"/>
            <w:vAlign w:val="bottom"/>
          </w:tcPr>
          <w:p>
            <w:pPr>
              <w:spacing w:after="0"/>
              <w:rPr>
                <w:sz w:val="12"/>
                <w:szCs w:val="12"/>
                <w:color w:val="auto"/>
              </w:rPr>
            </w:pPr>
          </w:p>
        </w:tc>
        <w:tc>
          <w:tcPr>
            <w:tcW w:w="164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Average Price</w:t>
            </w:r>
          </w:p>
        </w:tc>
        <w:tc>
          <w:tcPr>
            <w:tcW w:w="210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6"/>
              </w:rPr>
              <w:t>Announced Plans or</w:t>
            </w:r>
          </w:p>
        </w:tc>
        <w:tc>
          <w:tcPr>
            <w:tcW w:w="380" w:type="dxa"/>
            <w:vAlign w:val="bottom"/>
          </w:tcPr>
          <w:p>
            <w:pPr>
              <w:spacing w:after="0"/>
              <w:rPr>
                <w:sz w:val="12"/>
                <w:szCs w:val="12"/>
                <w:color w:val="auto"/>
              </w:rPr>
            </w:pPr>
          </w:p>
        </w:tc>
        <w:tc>
          <w:tcPr>
            <w:tcW w:w="18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1"/>
              </w:rPr>
              <w:t>Purchased Under the Plans or</w:t>
            </w:r>
          </w:p>
        </w:tc>
        <w:tc>
          <w:tcPr>
            <w:tcW w:w="0" w:type="dxa"/>
            <w:vAlign w:val="bottom"/>
          </w:tcPr>
          <w:p>
            <w:pPr>
              <w:spacing w:after="0"/>
              <w:rPr>
                <w:sz w:val="1"/>
                <w:szCs w:val="1"/>
                <w:color w:val="auto"/>
              </w:rPr>
            </w:pPr>
          </w:p>
        </w:tc>
      </w:tr>
      <w:tr>
        <w:trPr>
          <w:trHeight w:val="168"/>
        </w:trPr>
        <w:tc>
          <w:tcPr>
            <w:tcW w:w="400" w:type="dxa"/>
            <w:vAlign w:val="bottom"/>
            <w:tcBorders>
              <w:bottom w:val="single" w:sz="8" w:color="auto"/>
            </w:tcBorders>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58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1060" w:type="dxa"/>
            <w:vAlign w:val="bottom"/>
            <w:gridSpan w:val="2"/>
          </w:tcPr>
          <w:p>
            <w:pPr>
              <w:jc w:val="right"/>
              <w:ind w:right="20"/>
              <w:spacing w:after="0" w:line="148" w:lineRule="exact"/>
              <w:rPr>
                <w:sz w:val="20"/>
                <w:szCs w:val="20"/>
                <w:color w:val="auto"/>
              </w:rPr>
            </w:pPr>
            <w:r>
              <w:rPr>
                <w:rFonts w:ascii="Arial" w:cs="Arial" w:eastAsia="Arial" w:hAnsi="Arial"/>
                <w:sz w:val="14"/>
                <w:szCs w:val="14"/>
                <w:b w:val="1"/>
                <w:bCs w:val="1"/>
                <w:color w:val="auto"/>
                <w:w w:val="83"/>
              </w:rPr>
              <w:t>Shares Purchased</w:t>
            </w:r>
          </w:p>
        </w:tc>
        <w:tc>
          <w:tcPr>
            <w:tcW w:w="780" w:type="dxa"/>
            <w:vAlign w:val="bottom"/>
          </w:tcPr>
          <w:p>
            <w:pPr>
              <w:spacing w:after="0"/>
              <w:rPr>
                <w:sz w:val="14"/>
                <w:szCs w:val="14"/>
                <w:color w:val="auto"/>
              </w:rPr>
            </w:pPr>
          </w:p>
        </w:tc>
        <w:tc>
          <w:tcPr>
            <w:tcW w:w="1640" w:type="dxa"/>
            <w:vAlign w:val="bottom"/>
            <w:gridSpan w:val="3"/>
          </w:tcPr>
          <w:p>
            <w:pPr>
              <w:jc w:val="right"/>
              <w:ind w:right="780"/>
              <w:spacing w:after="0" w:line="148" w:lineRule="exact"/>
              <w:rPr>
                <w:sz w:val="20"/>
                <w:szCs w:val="20"/>
                <w:color w:val="auto"/>
              </w:rPr>
            </w:pPr>
            <w:r>
              <w:rPr>
                <w:rFonts w:ascii="Arial" w:cs="Arial" w:eastAsia="Arial" w:hAnsi="Arial"/>
                <w:sz w:val="14"/>
                <w:szCs w:val="14"/>
                <w:b w:val="1"/>
                <w:bCs w:val="1"/>
                <w:color w:val="auto"/>
                <w:w w:val="85"/>
              </w:rPr>
              <w:t>Paid per Share</w:t>
            </w:r>
          </w:p>
        </w:tc>
        <w:tc>
          <w:tcPr>
            <w:tcW w:w="2100" w:type="dxa"/>
            <w:vAlign w:val="bottom"/>
            <w:gridSpan w:val="2"/>
          </w:tcPr>
          <w:p>
            <w:pPr>
              <w:jc w:val="center"/>
              <w:ind w:right="400"/>
              <w:spacing w:after="0" w:line="148" w:lineRule="exact"/>
              <w:rPr>
                <w:sz w:val="20"/>
                <w:szCs w:val="20"/>
                <w:color w:val="auto"/>
              </w:rPr>
            </w:pPr>
            <w:r>
              <w:rPr>
                <w:rFonts w:ascii="Arial" w:cs="Arial" w:eastAsia="Arial" w:hAnsi="Arial"/>
                <w:sz w:val="14"/>
                <w:szCs w:val="14"/>
                <w:b w:val="1"/>
                <w:bCs w:val="1"/>
                <w:color w:val="auto"/>
                <w:w w:val="88"/>
              </w:rPr>
              <w:t>Programs</w:t>
            </w:r>
          </w:p>
        </w:tc>
        <w:tc>
          <w:tcPr>
            <w:tcW w:w="3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0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87"/>
              </w:rPr>
              <w:t>Programs (1)</w:t>
            </w:r>
          </w:p>
        </w:tc>
        <w:tc>
          <w:tcPr>
            <w:tcW w:w="0" w:type="dxa"/>
            <w:vAlign w:val="bottom"/>
          </w:tcPr>
          <w:p>
            <w:pPr>
              <w:spacing w:after="0"/>
              <w:rPr>
                <w:sz w:val="1"/>
                <w:szCs w:val="1"/>
                <w:color w:val="auto"/>
              </w:rPr>
            </w:pPr>
          </w:p>
        </w:tc>
      </w:tr>
      <w:tr>
        <w:trPr>
          <w:trHeight w:val="203"/>
        </w:trPr>
        <w:tc>
          <w:tcPr>
            <w:tcW w:w="3620" w:type="dxa"/>
            <w:vAlign w:val="bottom"/>
            <w:tcBorders>
              <w:top w:val="single" w:sz="8" w:color="CCEEFF"/>
            </w:tcBorders>
            <w:gridSpan w:val="4"/>
            <w:shd w:val="clear" w:color="auto" w:fill="CCEEFF"/>
          </w:tcPr>
          <w:p>
            <w:pPr>
              <w:spacing w:after="0" w:line="202" w:lineRule="exact"/>
              <w:rPr>
                <w:sz w:val="20"/>
                <w:szCs w:val="20"/>
                <w:color w:val="auto"/>
              </w:rPr>
            </w:pPr>
            <w:r>
              <w:rPr>
                <w:rFonts w:ascii="Arial" w:cs="Arial" w:eastAsia="Arial" w:hAnsi="Arial"/>
                <w:sz w:val="18"/>
                <w:szCs w:val="18"/>
                <w:color w:val="auto"/>
              </w:rPr>
              <w:t>April 29 – May 26, 2012</w:t>
            </w:r>
          </w:p>
        </w:tc>
        <w:tc>
          <w:tcPr>
            <w:tcW w:w="10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10,002</w:t>
            </w:r>
          </w:p>
        </w:tc>
        <w:tc>
          <w:tcPr>
            <w:tcW w:w="20" w:type="dxa"/>
            <w:vAlign w:val="bottom"/>
            <w:tcBorders>
              <w:top w:val="single" w:sz="8" w:color="CCEEFF"/>
            </w:tcBorders>
            <w:shd w:val="clear" w:color="auto" w:fill="CCEEFF"/>
          </w:tcPr>
          <w:p>
            <w:pPr>
              <w:spacing w:after="0"/>
              <w:rPr>
                <w:sz w:val="17"/>
                <w:szCs w:val="17"/>
                <w:color w:val="auto"/>
              </w:rPr>
            </w:pPr>
          </w:p>
        </w:tc>
        <w:tc>
          <w:tcPr>
            <w:tcW w:w="7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jc w:val="right"/>
              <w:ind w:right="109"/>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13.00</w:t>
            </w:r>
          </w:p>
        </w:tc>
        <w:tc>
          <w:tcPr>
            <w:tcW w:w="780" w:type="dxa"/>
            <w:vAlign w:val="bottom"/>
            <w:tcBorders>
              <w:top w:val="single" w:sz="8" w:color="CCEEFF"/>
            </w:tcBorders>
            <w:shd w:val="clear" w:color="auto" w:fill="CCEEFF"/>
          </w:tcPr>
          <w:p>
            <w:pPr>
              <w:spacing w:after="0"/>
              <w:rPr>
                <w:sz w:val="17"/>
                <w:szCs w:val="17"/>
                <w:color w:val="auto"/>
              </w:rPr>
            </w:pPr>
          </w:p>
        </w:tc>
        <w:tc>
          <w:tcPr>
            <w:tcW w:w="17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10,002</w:t>
            </w:r>
          </w:p>
        </w:tc>
        <w:tc>
          <w:tcPr>
            <w:tcW w:w="40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1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718,419</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80" w:type="dxa"/>
            <w:vAlign w:val="bottom"/>
            <w:gridSpan w:val="2"/>
          </w:tcPr>
          <w:p>
            <w:pPr>
              <w:spacing w:after="0"/>
              <w:rPr>
                <w:sz w:val="20"/>
                <w:szCs w:val="20"/>
                <w:color w:val="auto"/>
              </w:rPr>
            </w:pPr>
            <w:r>
              <w:rPr>
                <w:rFonts w:ascii="Arial" w:cs="Arial" w:eastAsia="Arial" w:hAnsi="Arial"/>
                <w:sz w:val="18"/>
                <w:szCs w:val="18"/>
                <w:color w:val="auto"/>
                <w:w w:val="94"/>
              </w:rPr>
              <w:t>May 27</w:t>
            </w:r>
          </w:p>
        </w:tc>
        <w:tc>
          <w:tcPr>
            <w:tcW w:w="3040" w:type="dxa"/>
            <w:vAlign w:val="bottom"/>
            <w:gridSpan w:val="2"/>
          </w:tcPr>
          <w:p>
            <w:pPr>
              <w:ind w:left="20"/>
              <w:spacing w:after="0"/>
              <w:rPr>
                <w:sz w:val="20"/>
                <w:szCs w:val="20"/>
                <w:color w:val="auto"/>
              </w:rPr>
            </w:pPr>
            <w:r>
              <w:rPr>
                <w:rFonts w:ascii="Arial" w:cs="Arial" w:eastAsia="Arial" w:hAnsi="Arial"/>
                <w:sz w:val="18"/>
                <w:szCs w:val="18"/>
                <w:color w:val="auto"/>
              </w:rPr>
              <w:t>– June 23, 2012</w:t>
            </w: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8,000</w:t>
            </w:r>
          </w:p>
        </w:tc>
        <w:tc>
          <w:tcPr>
            <w:tcW w:w="1040" w:type="dxa"/>
            <w:vAlign w:val="bottom"/>
            <w:gridSpan w:val="2"/>
          </w:tcPr>
          <w:p>
            <w:pPr>
              <w:jc w:val="right"/>
              <w:ind w:right="109"/>
              <w:spacing w:after="0"/>
              <w:rPr>
                <w:sz w:val="20"/>
                <w:szCs w:val="20"/>
                <w:color w:val="auto"/>
              </w:rPr>
            </w:pPr>
            <w:r>
              <w:rPr>
                <w:rFonts w:ascii="Arial" w:cs="Arial" w:eastAsia="Arial" w:hAnsi="Arial"/>
                <w:sz w:val="18"/>
                <w:szCs w:val="18"/>
                <w:color w:val="auto"/>
              </w:rPr>
              <w:t>$</w:t>
            </w:r>
          </w:p>
        </w:tc>
        <w:tc>
          <w:tcPr>
            <w:tcW w:w="1380" w:type="dxa"/>
            <w:vAlign w:val="bottom"/>
            <w:gridSpan w:val="2"/>
          </w:tcPr>
          <w:p>
            <w:pPr>
              <w:jc w:val="right"/>
              <w:ind w:right="780"/>
              <w:spacing w:after="0"/>
              <w:rPr>
                <w:sz w:val="20"/>
                <w:szCs w:val="20"/>
                <w:color w:val="auto"/>
              </w:rPr>
            </w:pPr>
            <w:r>
              <w:rPr>
                <w:rFonts w:ascii="Arial" w:cs="Arial" w:eastAsia="Arial" w:hAnsi="Arial"/>
                <w:sz w:val="18"/>
                <w:szCs w:val="18"/>
                <w:color w:val="auto"/>
              </w:rPr>
              <w:t>12.51</w:t>
            </w:r>
          </w:p>
        </w:tc>
        <w:tc>
          <w:tcPr>
            <w:tcW w:w="2100" w:type="dxa"/>
            <w:vAlign w:val="bottom"/>
            <w:gridSpan w:val="2"/>
          </w:tcPr>
          <w:p>
            <w:pPr>
              <w:jc w:val="right"/>
              <w:ind w:right="400"/>
              <w:spacing w:after="0"/>
              <w:rPr>
                <w:sz w:val="20"/>
                <w:szCs w:val="20"/>
                <w:color w:val="auto"/>
              </w:rPr>
            </w:pPr>
            <w:r>
              <w:rPr>
                <w:rFonts w:ascii="Arial" w:cs="Arial" w:eastAsia="Arial" w:hAnsi="Arial"/>
                <w:sz w:val="18"/>
                <w:szCs w:val="18"/>
                <w:color w:val="auto"/>
              </w:rPr>
              <w:t>8,000</w:t>
            </w:r>
          </w:p>
        </w:tc>
        <w:tc>
          <w:tcPr>
            <w:tcW w:w="52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1600" w:type="dxa"/>
            <w:vAlign w:val="bottom"/>
          </w:tcPr>
          <w:p>
            <w:pPr>
              <w:jc w:val="right"/>
              <w:spacing w:after="0"/>
              <w:rPr>
                <w:sz w:val="20"/>
                <w:szCs w:val="20"/>
                <w:color w:val="auto"/>
              </w:rPr>
            </w:pPr>
            <w:r>
              <w:rPr>
                <w:rFonts w:ascii="Arial" w:cs="Arial" w:eastAsia="Arial" w:hAnsi="Arial"/>
                <w:sz w:val="18"/>
                <w:szCs w:val="18"/>
                <w:color w:val="auto"/>
              </w:rPr>
              <w:t>618,352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87"/>
              </w:rPr>
              <w:t>June 24</w:t>
            </w:r>
          </w:p>
        </w:tc>
        <w:tc>
          <w:tcPr>
            <w:tcW w:w="304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 July 28, 2012</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1,845</w:t>
            </w:r>
          </w:p>
        </w:tc>
        <w:tc>
          <w:tcPr>
            <w:tcW w:w="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09"/>
              <w:spacing w:after="0"/>
              <w:rPr>
                <w:sz w:val="20"/>
                <w:szCs w:val="20"/>
                <w:color w:val="auto"/>
              </w:rPr>
            </w:pPr>
            <w:r>
              <w:rPr>
                <w:rFonts w:ascii="Arial" w:cs="Arial" w:eastAsia="Arial" w:hAnsi="Arial"/>
                <w:sz w:val="18"/>
                <w:szCs w:val="18"/>
                <w:color w:val="auto"/>
              </w:rPr>
              <w:t>$</w:t>
            </w:r>
          </w:p>
        </w:tc>
        <w:tc>
          <w:tcPr>
            <w:tcW w:w="138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10.95</w:t>
            </w:r>
          </w:p>
        </w:tc>
        <w:tc>
          <w:tcPr>
            <w:tcW w:w="1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1,845</w:t>
            </w:r>
          </w:p>
        </w:tc>
        <w:tc>
          <w:tcPr>
            <w:tcW w:w="400" w:type="dxa"/>
            <w:vAlign w:val="bottom"/>
            <w:shd w:val="clear" w:color="auto" w:fill="CCEEFF"/>
          </w:tcPr>
          <w:p>
            <w:pPr>
              <w:spacing w:after="0"/>
              <w:rPr>
                <w:sz w:val="18"/>
                <w:szCs w:val="18"/>
                <w:color w:val="auto"/>
              </w:rPr>
            </w:pPr>
          </w:p>
        </w:tc>
        <w:tc>
          <w:tcPr>
            <w:tcW w:w="52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598,154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80" w:type="dxa"/>
            <w:vAlign w:val="bottom"/>
            <w:gridSpan w:val="2"/>
          </w:tcPr>
          <w:p>
            <w:pPr>
              <w:spacing w:after="0"/>
              <w:rPr>
                <w:sz w:val="20"/>
                <w:szCs w:val="20"/>
                <w:color w:val="auto"/>
              </w:rPr>
            </w:pPr>
            <w:r>
              <w:rPr>
                <w:rFonts w:ascii="Arial" w:cs="Arial" w:eastAsia="Arial" w:hAnsi="Arial"/>
                <w:sz w:val="18"/>
                <w:szCs w:val="18"/>
                <w:color w:val="auto"/>
              </w:rPr>
              <w:t>Total</w:t>
            </w:r>
          </w:p>
        </w:tc>
        <w:tc>
          <w:tcPr>
            <w:tcW w:w="580" w:type="dxa"/>
            <w:vAlign w:val="bottom"/>
          </w:tcPr>
          <w:p>
            <w:pPr>
              <w:spacing w:after="0"/>
              <w:rPr>
                <w:sz w:val="19"/>
                <w:szCs w:val="19"/>
                <w:color w:val="auto"/>
              </w:rPr>
            </w:pPr>
          </w:p>
        </w:tc>
        <w:tc>
          <w:tcPr>
            <w:tcW w:w="2460" w:type="dxa"/>
            <w:vAlign w:val="bottom"/>
          </w:tcPr>
          <w:p>
            <w:pPr>
              <w:spacing w:after="0"/>
              <w:rPr>
                <w:sz w:val="19"/>
                <w:szCs w:val="19"/>
                <w:color w:val="auto"/>
              </w:rPr>
            </w:pP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19,847</w:t>
            </w:r>
          </w:p>
        </w:tc>
        <w:tc>
          <w:tcPr>
            <w:tcW w:w="1040" w:type="dxa"/>
            <w:vAlign w:val="bottom"/>
            <w:gridSpan w:val="2"/>
          </w:tcPr>
          <w:p>
            <w:pPr>
              <w:jc w:val="right"/>
              <w:ind w:right="109"/>
              <w:spacing w:after="0"/>
              <w:rPr>
                <w:sz w:val="20"/>
                <w:szCs w:val="20"/>
                <w:color w:val="auto"/>
              </w:rPr>
            </w:pPr>
            <w:r>
              <w:rPr>
                <w:rFonts w:ascii="Arial" w:cs="Arial" w:eastAsia="Arial" w:hAnsi="Arial"/>
                <w:sz w:val="18"/>
                <w:szCs w:val="18"/>
                <w:color w:val="auto"/>
              </w:rPr>
              <w:t>$</w:t>
            </w:r>
          </w:p>
        </w:tc>
        <w:tc>
          <w:tcPr>
            <w:tcW w:w="1380" w:type="dxa"/>
            <w:vAlign w:val="bottom"/>
            <w:gridSpan w:val="2"/>
          </w:tcPr>
          <w:p>
            <w:pPr>
              <w:jc w:val="right"/>
              <w:ind w:right="780"/>
              <w:spacing w:after="0"/>
              <w:rPr>
                <w:sz w:val="20"/>
                <w:szCs w:val="20"/>
                <w:color w:val="auto"/>
              </w:rPr>
            </w:pPr>
            <w:r>
              <w:rPr>
                <w:rFonts w:ascii="Arial" w:cs="Arial" w:eastAsia="Arial" w:hAnsi="Arial"/>
                <w:sz w:val="18"/>
                <w:szCs w:val="18"/>
                <w:color w:val="auto"/>
              </w:rPr>
              <w:t>12.61</w:t>
            </w:r>
          </w:p>
        </w:tc>
        <w:tc>
          <w:tcPr>
            <w:tcW w:w="2100" w:type="dxa"/>
            <w:vAlign w:val="bottom"/>
            <w:gridSpan w:val="2"/>
          </w:tcPr>
          <w:p>
            <w:pPr>
              <w:jc w:val="right"/>
              <w:ind w:right="400"/>
              <w:spacing w:after="0"/>
              <w:rPr>
                <w:sz w:val="20"/>
                <w:szCs w:val="20"/>
                <w:color w:val="auto"/>
              </w:rPr>
            </w:pPr>
            <w:r>
              <w:rPr>
                <w:rFonts w:ascii="Arial" w:cs="Arial" w:eastAsia="Arial" w:hAnsi="Arial"/>
                <w:sz w:val="18"/>
                <w:szCs w:val="18"/>
                <w:color w:val="auto"/>
              </w:rPr>
              <w:t>19,847</w:t>
            </w:r>
          </w:p>
        </w:tc>
        <w:tc>
          <w:tcPr>
            <w:tcW w:w="520" w:type="dxa"/>
            <w:vAlign w:val="bottom"/>
            <w:gridSpan w:val="2"/>
          </w:tcPr>
          <w:p>
            <w:pPr>
              <w:ind w:left="380"/>
              <w:spacing w:after="0"/>
              <w:rPr>
                <w:sz w:val="20"/>
                <w:szCs w:val="20"/>
                <w:color w:val="auto"/>
              </w:rPr>
            </w:pPr>
            <w:r>
              <w:rPr>
                <w:rFonts w:ascii="Arial" w:cs="Arial" w:eastAsia="Arial" w:hAnsi="Arial"/>
                <w:sz w:val="18"/>
                <w:szCs w:val="18"/>
                <w:color w:val="auto"/>
              </w:rPr>
              <w:t>$</w:t>
            </w:r>
          </w:p>
        </w:tc>
        <w:tc>
          <w:tcPr>
            <w:tcW w:w="1600" w:type="dxa"/>
            <w:vAlign w:val="bottom"/>
          </w:tcPr>
          <w:p>
            <w:pPr>
              <w:jc w:val="right"/>
              <w:spacing w:after="0"/>
              <w:rPr>
                <w:sz w:val="20"/>
                <w:szCs w:val="20"/>
                <w:color w:val="auto"/>
              </w:rPr>
            </w:pPr>
            <w:r>
              <w:rPr>
                <w:rFonts w:ascii="Arial" w:cs="Arial" w:eastAsia="Arial" w:hAnsi="Arial"/>
                <w:sz w:val="18"/>
                <w:szCs w:val="18"/>
                <w:color w:val="auto"/>
              </w:rPr>
              <w:t>598,154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460" w:type="dxa"/>
            <w:vAlign w:val="bottom"/>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400" w:type="dxa"/>
            <w:vAlign w:val="bottom"/>
            <w:tcBorders>
              <w:bottom w:val="single" w:sz="8" w:color="auto"/>
            </w:tcBorders>
          </w:tcPr>
          <w:p>
            <w:pPr>
              <w:spacing w:after="0"/>
              <w:rPr>
                <w:sz w:val="8"/>
                <w:szCs w:val="8"/>
                <w:color w:val="auto"/>
              </w:rPr>
            </w:pPr>
          </w:p>
        </w:tc>
        <w:tc>
          <w:tcPr>
            <w:tcW w:w="180" w:type="dxa"/>
            <w:vAlign w:val="bottom"/>
            <w:tcBorders>
              <w:bottom w:val="single" w:sz="8" w:color="auto"/>
            </w:tcBorders>
          </w:tcPr>
          <w:p>
            <w:pPr>
              <w:spacing w:after="0"/>
              <w:rPr>
                <w:sz w:val="8"/>
                <w:szCs w:val="8"/>
                <w:color w:val="auto"/>
              </w:rPr>
            </w:pPr>
          </w:p>
        </w:tc>
        <w:tc>
          <w:tcPr>
            <w:tcW w:w="580" w:type="dxa"/>
            <w:vAlign w:val="bottom"/>
            <w:tcBorders>
              <w:bottom w:val="single" w:sz="8" w:color="auto"/>
            </w:tcBorders>
          </w:tcPr>
          <w:p>
            <w:pPr>
              <w:spacing w:after="0"/>
              <w:rPr>
                <w:sz w:val="8"/>
                <w:szCs w:val="8"/>
                <w:color w:val="auto"/>
              </w:rPr>
            </w:pPr>
          </w:p>
        </w:tc>
        <w:tc>
          <w:tcPr>
            <w:tcW w:w="2460" w:type="dxa"/>
            <w:vAlign w:val="bottom"/>
          </w:tcPr>
          <w:p>
            <w:pPr>
              <w:spacing w:after="0"/>
              <w:rPr>
                <w:sz w:val="8"/>
                <w:szCs w:val="8"/>
                <w:color w:val="auto"/>
              </w:rPr>
            </w:pPr>
          </w:p>
        </w:tc>
        <w:tc>
          <w:tcPr>
            <w:tcW w:w="1040" w:type="dxa"/>
            <w:vAlign w:val="bottom"/>
          </w:tcPr>
          <w:p>
            <w:pPr>
              <w:spacing w:after="0"/>
              <w:rPr>
                <w:sz w:val="8"/>
                <w:szCs w:val="8"/>
                <w:color w:val="auto"/>
              </w:rPr>
            </w:pPr>
          </w:p>
        </w:tc>
        <w:tc>
          <w:tcPr>
            <w:tcW w:w="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60" w:type="dxa"/>
            <w:vAlign w:val="bottom"/>
          </w:tcPr>
          <w:p>
            <w:pPr>
              <w:spacing w:after="0"/>
              <w:rPr>
                <w:sz w:val="8"/>
                <w:szCs w:val="8"/>
                <w:color w:val="auto"/>
              </w:rPr>
            </w:pPr>
          </w:p>
        </w:tc>
        <w:tc>
          <w:tcPr>
            <w:tcW w:w="600" w:type="dxa"/>
            <w:vAlign w:val="bottom"/>
          </w:tcPr>
          <w:p>
            <w:pPr>
              <w:spacing w:after="0"/>
              <w:rPr>
                <w:sz w:val="8"/>
                <w:szCs w:val="8"/>
                <w:color w:val="auto"/>
              </w:rPr>
            </w:pPr>
          </w:p>
        </w:tc>
        <w:tc>
          <w:tcPr>
            <w:tcW w:w="780" w:type="dxa"/>
            <w:vAlign w:val="bottom"/>
          </w:tcPr>
          <w:p>
            <w:pPr>
              <w:spacing w:after="0"/>
              <w:rPr>
                <w:sz w:val="8"/>
                <w:szCs w:val="8"/>
                <w:color w:val="auto"/>
              </w:rPr>
            </w:pPr>
          </w:p>
        </w:tc>
        <w:tc>
          <w:tcPr>
            <w:tcW w:w="1700" w:type="dxa"/>
            <w:vAlign w:val="bottom"/>
          </w:tcPr>
          <w:p>
            <w:pPr>
              <w:spacing w:after="0"/>
              <w:rPr>
                <w:sz w:val="8"/>
                <w:szCs w:val="8"/>
                <w:color w:val="auto"/>
              </w:rPr>
            </w:pPr>
          </w:p>
        </w:tc>
        <w:tc>
          <w:tcPr>
            <w:tcW w:w="400" w:type="dxa"/>
            <w:vAlign w:val="bottom"/>
          </w:tcPr>
          <w:p>
            <w:pPr>
              <w:spacing w:after="0"/>
              <w:rPr>
                <w:sz w:val="8"/>
                <w:szCs w:val="8"/>
                <w:color w:val="auto"/>
              </w:rPr>
            </w:pPr>
          </w:p>
        </w:tc>
        <w:tc>
          <w:tcPr>
            <w:tcW w:w="3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right="80" w:hanging="452"/>
        <w:spacing w:after="0" w:line="290" w:lineRule="auto"/>
        <w:tabs>
          <w:tab w:leader="none" w:pos="460" w:val="left"/>
        </w:tabs>
        <w:numPr>
          <w:ilvl w:val="0"/>
          <w:numId w:val="15"/>
        </w:numPr>
        <w:rPr>
          <w:rFonts w:ascii="Arial" w:cs="Arial" w:eastAsia="Arial" w:hAnsi="Arial"/>
          <w:sz w:val="16"/>
          <w:szCs w:val="16"/>
          <w:color w:val="auto"/>
        </w:rPr>
      </w:pPr>
      <w:r>
        <w:rPr>
          <w:rFonts w:ascii="Arial" w:cs="Arial" w:eastAsia="Arial" w:hAnsi="Arial"/>
          <w:sz w:val="16"/>
          <w:szCs w:val="16"/>
          <w:color w:val="auto"/>
        </w:rPr>
        <w:t>In August 2010, our board of directors initially authorized our current share repurchase program to repurchase up to $500 million of our outstanding common shares. During fiscal 2012, our board of directors authorized an additional $1.5 billion to be used to repurchase our common shares under the share repurchase program. In May 2012, we announced an additional increase of $500 million to the share repurchase program. This increases the total available under the repurchase program to $2.5 billion. We intend to effect the repurchase program in accordance with the conditions of Rule 10b-18 under the Exchange Act. The repurchase program will be subject to market conditions and other factors and does not obligate us to repurchase any dollar amount or number of our common shares. The repurchase program may be extended, modified, suspended or discontinued at any time. We may make repurchases in open market or privately negotiated transactions in order to effect our repurchases.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(a)The following exhibits are filed as part of this report:</w:t>
      </w:r>
    </w:p>
    <w:p>
      <w:pPr>
        <w:spacing w:after="0" w:line="320"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920" w:type="dxa"/>
            <w:vAlign w:val="bottom"/>
          </w:tcPr>
          <w:p>
            <w:pPr>
              <w:ind w:left="100"/>
              <w:spacing w:after="0"/>
              <w:rPr>
                <w:sz w:val="20"/>
                <w:szCs w:val="20"/>
                <w:color w:val="auto"/>
              </w:rPr>
            </w:pPr>
            <w:r>
              <w:rPr>
                <w:rFonts w:ascii="Arial" w:cs="Arial" w:eastAsia="Arial" w:hAnsi="Arial"/>
                <w:sz w:val="18"/>
                <w:szCs w:val="18"/>
                <w:color w:val="auto"/>
              </w:rPr>
              <w:t>31.1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806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jc w:val="both"/>
        <w:ind w:left="220" w:right="660" w:hanging="212"/>
        <w:spacing w:after="0" w:line="306" w:lineRule="auto"/>
        <w:tabs>
          <w:tab w:leader="none" w:pos="220"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3480" w:type="dxa"/>
            <w:vAlign w:val="bottom"/>
          </w:tcPr>
          <w:p>
            <w:pPr>
              <w:spacing w:after="0"/>
              <w:rPr>
                <w:sz w:val="19"/>
                <w:szCs w:val="19"/>
                <w:color w:val="auto"/>
              </w:rPr>
            </w:pPr>
          </w:p>
        </w:tc>
        <w:tc>
          <w:tcPr>
            <w:tcW w:w="7940" w:type="dxa"/>
            <w:vAlign w:val="bottom"/>
            <w:gridSpan w:val="2"/>
          </w:tcPr>
          <w:p>
            <w:pPr>
              <w:ind w:left="2440"/>
              <w:spacing w:after="0"/>
              <w:rPr>
                <w:sz w:val="20"/>
                <w:szCs w:val="20"/>
                <w:color w:val="auto"/>
              </w:rPr>
            </w:pPr>
            <w:r>
              <w:rPr>
                <w:rFonts w:ascii="Arial" w:cs="Arial" w:eastAsia="Arial" w:hAnsi="Arial"/>
                <w:sz w:val="18"/>
                <w:szCs w:val="18"/>
                <w:color w:val="auto"/>
              </w:rPr>
              <w:t>MARVELL TECHNOLOGY GROUP LTD.</w:t>
            </w:r>
          </w:p>
        </w:tc>
      </w:tr>
      <w:tr>
        <w:trPr>
          <w:trHeight w:val="432"/>
        </w:trPr>
        <w:tc>
          <w:tcPr>
            <w:tcW w:w="3480" w:type="dxa"/>
            <w:vAlign w:val="bottom"/>
          </w:tcPr>
          <w:p>
            <w:pPr>
              <w:spacing w:after="0"/>
              <w:rPr>
                <w:sz w:val="20"/>
                <w:szCs w:val="20"/>
                <w:color w:val="auto"/>
              </w:rPr>
            </w:pPr>
            <w:r>
              <w:rPr>
                <w:rFonts w:ascii="Arial" w:cs="Arial" w:eastAsia="Arial" w:hAnsi="Arial"/>
                <w:sz w:val="18"/>
                <w:szCs w:val="18"/>
                <w:color w:val="auto"/>
              </w:rPr>
              <w:t>September 4, 2012</w:t>
            </w:r>
          </w:p>
        </w:tc>
        <w:tc>
          <w:tcPr>
            <w:tcW w:w="7940" w:type="dxa"/>
            <w:vAlign w:val="bottom"/>
            <w:gridSpan w:val="2"/>
          </w:tcPr>
          <w:p>
            <w:pPr>
              <w:ind w:left="2440"/>
              <w:spacing w:after="0"/>
              <w:rPr>
                <w:sz w:val="20"/>
                <w:szCs w:val="20"/>
                <w:color w:val="auto"/>
              </w:rPr>
            </w:pPr>
            <w:r>
              <w:rPr>
                <w:rFonts w:ascii="Arial" w:cs="Arial" w:eastAsia="Arial" w:hAnsi="Arial"/>
                <w:sz w:val="18"/>
                <w:szCs w:val="18"/>
                <w:color w:val="auto"/>
              </w:rPr>
              <w:t>By:  /s/ Clyde R. Hosein</w:t>
            </w:r>
          </w:p>
        </w:tc>
      </w:tr>
      <w:tr>
        <w:trPr>
          <w:trHeight w:val="217"/>
        </w:trPr>
        <w:tc>
          <w:tcPr>
            <w:tcW w:w="3480" w:type="dxa"/>
            <w:vAlign w:val="bottom"/>
          </w:tcPr>
          <w:p>
            <w:pPr>
              <w:spacing w:after="0"/>
              <w:rPr>
                <w:sz w:val="20"/>
                <w:szCs w:val="20"/>
                <w:color w:val="auto"/>
              </w:rPr>
            </w:pPr>
            <w:r>
              <w:rPr>
                <w:rFonts w:ascii="Arial" w:cs="Arial" w:eastAsia="Arial" w:hAnsi="Arial"/>
                <w:sz w:val="18"/>
                <w:szCs w:val="18"/>
                <w:color w:val="auto"/>
              </w:rPr>
              <w:t>Date</w:t>
            </w:r>
          </w:p>
        </w:tc>
        <w:tc>
          <w:tcPr>
            <w:tcW w:w="2800" w:type="dxa"/>
            <w:vAlign w:val="bottom"/>
          </w:tcPr>
          <w:p>
            <w:pPr>
              <w:spacing w:after="0"/>
              <w:rPr>
                <w:sz w:val="18"/>
                <w:szCs w:val="18"/>
                <w:color w:val="auto"/>
              </w:rPr>
            </w:pPr>
          </w:p>
        </w:tc>
        <w:tc>
          <w:tcPr>
            <w:tcW w:w="514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Clyde R. Hosein</w:t>
            </w:r>
          </w:p>
        </w:tc>
      </w:tr>
      <w:tr>
        <w:trPr>
          <w:trHeight w:val="222"/>
        </w:trPr>
        <w:tc>
          <w:tcPr>
            <w:tcW w:w="3480" w:type="dxa"/>
            <w:vAlign w:val="bottom"/>
          </w:tcPr>
          <w:p>
            <w:pPr>
              <w:spacing w:after="0"/>
              <w:rPr>
                <w:sz w:val="19"/>
                <w:szCs w:val="19"/>
                <w:color w:val="auto"/>
              </w:rPr>
            </w:pPr>
          </w:p>
        </w:tc>
        <w:tc>
          <w:tcPr>
            <w:tcW w:w="2800" w:type="dxa"/>
            <w:vAlign w:val="bottom"/>
          </w:tcPr>
          <w:p>
            <w:pPr>
              <w:spacing w:after="0"/>
              <w:rPr>
                <w:sz w:val="19"/>
                <w:szCs w:val="19"/>
                <w:color w:val="auto"/>
              </w:rPr>
            </w:pPr>
          </w:p>
        </w:tc>
        <w:tc>
          <w:tcPr>
            <w:tcW w:w="5140" w:type="dxa"/>
            <w:vAlign w:val="bottom"/>
          </w:tcPr>
          <w:p>
            <w:pPr>
              <w:spacing w:after="0"/>
              <w:rPr>
                <w:sz w:val="20"/>
                <w:szCs w:val="20"/>
                <w:color w:val="auto"/>
              </w:rPr>
            </w:pPr>
            <w:r>
              <w:rPr>
                <w:rFonts w:ascii="Arial" w:cs="Arial" w:eastAsia="Arial" w:hAnsi="Arial"/>
                <w:sz w:val="18"/>
                <w:szCs w:val="18"/>
                <w:i w:val="1"/>
                <w:iCs w:val="1"/>
                <w:color w:val="auto"/>
              </w:rPr>
              <w:t>Chief Financial Officer and Secretary</w:t>
            </w:r>
          </w:p>
        </w:tc>
      </w:tr>
      <w:tr>
        <w:trPr>
          <w:trHeight w:val="365"/>
        </w:trPr>
        <w:tc>
          <w:tcPr>
            <w:tcW w:w="3480" w:type="dxa"/>
            <w:vAlign w:val="bottom"/>
          </w:tcPr>
          <w:p>
            <w:pPr>
              <w:spacing w:after="0"/>
              <w:rPr>
                <w:sz w:val="24"/>
                <w:szCs w:val="24"/>
                <w:color w:val="auto"/>
              </w:rPr>
            </w:pPr>
          </w:p>
        </w:tc>
        <w:tc>
          <w:tcPr>
            <w:tcW w:w="2800" w:type="dxa"/>
            <w:vAlign w:val="bottom"/>
          </w:tcPr>
          <w:p>
            <w:pPr>
              <w:jc w:val="right"/>
              <w:ind w:right="392"/>
              <w:spacing w:after="0"/>
              <w:rPr>
                <w:sz w:val="20"/>
                <w:szCs w:val="20"/>
                <w:color w:val="auto"/>
              </w:rPr>
            </w:pPr>
            <w:r>
              <w:rPr>
                <w:rFonts w:ascii="Arial" w:cs="Arial" w:eastAsia="Arial" w:hAnsi="Arial"/>
                <w:sz w:val="18"/>
                <w:szCs w:val="18"/>
                <w:color w:val="auto"/>
              </w:rPr>
              <w:t>45</w:t>
            </w:r>
          </w:p>
        </w:tc>
        <w:tc>
          <w:tcPr>
            <w:tcW w:w="514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920" w:type="dxa"/>
            <w:vAlign w:val="bottom"/>
          </w:tcPr>
          <w:p>
            <w:pPr>
              <w:spacing w:after="0"/>
              <w:rPr>
                <w:sz w:val="19"/>
                <w:szCs w:val="19"/>
                <w:color w:val="auto"/>
              </w:rPr>
            </w:pPr>
          </w:p>
        </w:tc>
        <w:tc>
          <w:tcPr>
            <w:tcW w:w="8060" w:type="dxa"/>
            <w:vAlign w:val="bottom"/>
          </w:tcPr>
          <w:p>
            <w:pPr>
              <w:ind w:left="4120"/>
              <w:spacing w:after="0"/>
              <w:rPr>
                <w:sz w:val="20"/>
                <w:szCs w:val="20"/>
                <w:color w:val="auto"/>
              </w:rPr>
            </w:pPr>
            <w:r>
              <w:rPr>
                <w:rFonts w:ascii="Arial" w:cs="Arial" w:eastAsia="Arial" w:hAnsi="Arial"/>
                <w:sz w:val="18"/>
                <w:szCs w:val="18"/>
                <w:b w:val="1"/>
                <w:bCs w:val="1"/>
                <w:color w:val="auto"/>
              </w:rPr>
              <w:t>EXHIBIT INDEX</w:t>
            </w:r>
          </w:p>
        </w:tc>
      </w:tr>
      <w:tr>
        <w:trPr>
          <w:trHeight w:val="527"/>
        </w:trPr>
        <w:tc>
          <w:tcPr>
            <w:tcW w:w="920" w:type="dxa"/>
            <w:vAlign w:val="bottom"/>
          </w:tcPr>
          <w:p>
            <w:pPr>
              <w:ind w:left="100"/>
              <w:spacing w:after="0"/>
              <w:rPr>
                <w:sz w:val="20"/>
                <w:szCs w:val="20"/>
                <w:color w:val="auto"/>
              </w:rPr>
            </w:pPr>
            <w:r>
              <w:rPr>
                <w:rFonts w:ascii="Arial" w:cs="Arial" w:eastAsia="Arial" w:hAnsi="Arial"/>
                <w:sz w:val="18"/>
                <w:szCs w:val="18"/>
                <w:color w:val="auto"/>
              </w:rPr>
              <w:t>31.1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806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jc w:val="both"/>
        <w:ind w:left="220" w:hanging="212"/>
        <w:spacing w:after="0" w:line="306" w:lineRule="auto"/>
        <w:tabs>
          <w:tab w:leader="none" w:pos="220" w:val="left"/>
        </w:tabs>
        <w:numPr>
          <w:ilvl w:val="0"/>
          <w:numId w:val="17"/>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0760"/>
          </w:cols>
          <w:pgMar w:left="240" w:top="459" w:right="899" w:bottom="1440" w:gutter="0" w:footer="0" w:header="0"/>
        </w:sectPr>
      </w:pPr>
    </w:p>
    <w:bookmarkStart w:id="47" w:name="page48"/>
    <w:bookmarkEnd w:id="47"/>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90" w:lineRule="exact"/>
        <w:rPr>
          <w:sz w:val="20"/>
          <w:szCs w:val="20"/>
          <w:color w:val="auto"/>
        </w:rPr>
      </w:pPr>
    </w:p>
    <w:p>
      <w:pPr>
        <w:ind w:left="460" w:hanging="452"/>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18"/>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1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560" w:val="left"/>
        </w:tabs>
        <w:rPr>
          <w:sz w:val="20"/>
          <w:szCs w:val="20"/>
          <w:color w:val="auto"/>
        </w:rPr>
      </w:pPr>
      <w:r>
        <w:rPr>
          <w:rFonts w:ascii="Arial" w:cs="Arial" w:eastAsia="Arial" w:hAnsi="Arial"/>
          <w:sz w:val="18"/>
          <w:szCs w:val="18"/>
          <w:color w:val="auto"/>
        </w:rPr>
        <w:t>Date: September 4, 2012</w:t>
      </w:r>
      <w:r>
        <w:rPr>
          <w:sz w:val="20"/>
          <w:szCs w:val="20"/>
          <w:color w:val="auto"/>
        </w:rPr>
        <w:tab/>
      </w:r>
      <w:r>
        <w:rPr>
          <w:rFonts w:ascii="Arial" w:cs="Arial" w:eastAsia="Arial" w:hAnsi="Arial"/>
          <w:sz w:val="16"/>
          <w:szCs w:val="16"/>
          <w:color w:val="auto"/>
        </w:rPr>
        <w:t>By:  /s/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10795</wp:posOffset>
            </wp:positionV>
            <wp:extent cx="347345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16" w:lineRule="exact"/>
        <w:rPr>
          <w:sz w:val="20"/>
          <w:szCs w:val="20"/>
          <w:color w:val="auto"/>
        </w:rPr>
      </w:pPr>
    </w:p>
    <w:p>
      <w:pPr>
        <w:ind w:left="5960"/>
        <w:spacing w:after="0"/>
        <w:rPr>
          <w:sz w:val="20"/>
          <w:szCs w:val="20"/>
          <w:color w:val="auto"/>
        </w:rPr>
      </w:pPr>
      <w:r>
        <w:rPr>
          <w:rFonts w:ascii="Arial" w:cs="Arial" w:eastAsia="Arial" w:hAnsi="Arial"/>
          <w:sz w:val="18"/>
          <w:szCs w:val="18"/>
          <w:color w:val="auto"/>
        </w:rPr>
        <w:t>Sehat Sutardja, Ph.D.</w:t>
      </w:r>
    </w:p>
    <w:p>
      <w:pPr>
        <w:spacing w:after="0" w:line="15" w:lineRule="exact"/>
        <w:rPr>
          <w:sz w:val="20"/>
          <w:szCs w:val="20"/>
          <w:color w:val="auto"/>
        </w:rPr>
      </w:pPr>
    </w:p>
    <w:p>
      <w:pPr>
        <w:ind w:left="5960"/>
        <w:spacing w:after="0"/>
        <w:rPr>
          <w:sz w:val="20"/>
          <w:szCs w:val="20"/>
          <w:color w:val="auto"/>
        </w:rPr>
      </w:pPr>
      <w:r>
        <w:rPr>
          <w:rFonts w:ascii="Arial" w:cs="Arial" w:eastAsia="Arial" w:hAnsi="Arial"/>
          <w:sz w:val="18"/>
          <w:szCs w:val="18"/>
          <w:color w:val="auto"/>
        </w:rPr>
        <w:t>President and Chief Executive Officer</w:t>
      </w:r>
    </w:p>
    <w:p>
      <w:pPr>
        <w:sectPr>
          <w:pgSz w:w="11900" w:h="16838" w:orient="portrait"/>
          <w:cols w:equalWidth="0" w:num="1">
            <w:col w:w="11420"/>
          </w:cols>
          <w:pgMar w:left="240" w:top="125" w:right="239" w:bottom="1440" w:gutter="0" w:footer="0" w:header="0"/>
        </w:sectPr>
      </w:pPr>
    </w:p>
    <w:bookmarkStart w:id="48" w:name="page49"/>
    <w:bookmarkEnd w:id="48"/>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I, Clyde R. Hosein, certify that:</w:t>
      </w:r>
    </w:p>
    <w:p>
      <w:pPr>
        <w:spacing w:after="0" w:line="90" w:lineRule="exact"/>
        <w:rPr>
          <w:sz w:val="20"/>
          <w:szCs w:val="20"/>
          <w:color w:val="auto"/>
        </w:rPr>
      </w:pPr>
    </w:p>
    <w:p>
      <w:pPr>
        <w:ind w:left="460" w:hanging="452"/>
        <w:spacing w:after="0"/>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19"/>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19"/>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19"/>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560" w:val="left"/>
        </w:tabs>
        <w:rPr>
          <w:sz w:val="20"/>
          <w:szCs w:val="20"/>
          <w:color w:val="auto"/>
        </w:rPr>
      </w:pPr>
      <w:r>
        <w:rPr>
          <w:rFonts w:ascii="Arial" w:cs="Arial" w:eastAsia="Arial" w:hAnsi="Arial"/>
          <w:sz w:val="18"/>
          <w:szCs w:val="18"/>
          <w:color w:val="auto"/>
        </w:rPr>
        <w:t>Date: September 4, 2012</w:t>
      </w:r>
      <w:r>
        <w:rPr>
          <w:sz w:val="20"/>
          <w:szCs w:val="20"/>
          <w:color w:val="auto"/>
        </w:rPr>
        <w:tab/>
      </w:r>
      <w:r>
        <w:rPr>
          <w:rFonts w:ascii="Arial" w:cs="Arial" w:eastAsia="Arial" w:hAnsi="Arial"/>
          <w:sz w:val="16"/>
          <w:szCs w:val="16"/>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10795</wp:posOffset>
            </wp:positionV>
            <wp:extent cx="347345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22" w:lineRule="exact"/>
        <w:rPr>
          <w:sz w:val="20"/>
          <w:szCs w:val="20"/>
          <w:color w:val="auto"/>
        </w:rPr>
      </w:pPr>
    </w:p>
    <w:p>
      <w:pPr>
        <w:ind w:left="5960"/>
        <w:spacing w:after="0"/>
        <w:rPr>
          <w:sz w:val="20"/>
          <w:szCs w:val="20"/>
          <w:color w:val="auto"/>
        </w:rPr>
      </w:pPr>
      <w:r>
        <w:rPr>
          <w:rFonts w:ascii="Arial" w:cs="Arial" w:eastAsia="Arial" w:hAnsi="Arial"/>
          <w:sz w:val="18"/>
          <w:szCs w:val="18"/>
          <w:color w:val="auto"/>
        </w:rPr>
        <w:t>Clyde R. Hosein</w:t>
      </w:r>
    </w:p>
    <w:p>
      <w:pPr>
        <w:spacing w:after="0" w:line="9" w:lineRule="exact"/>
        <w:rPr>
          <w:sz w:val="20"/>
          <w:szCs w:val="20"/>
          <w:color w:val="auto"/>
        </w:rPr>
      </w:pPr>
    </w:p>
    <w:p>
      <w:pPr>
        <w:ind w:left="5960"/>
        <w:spacing w:after="0"/>
        <w:rPr>
          <w:sz w:val="20"/>
          <w:szCs w:val="20"/>
          <w:color w:val="auto"/>
        </w:rPr>
      </w:pPr>
      <w:r>
        <w:rPr>
          <w:rFonts w:ascii="Arial" w:cs="Arial" w:eastAsia="Arial" w:hAnsi="Arial"/>
          <w:sz w:val="18"/>
          <w:szCs w:val="18"/>
          <w:color w:val="auto"/>
        </w:rPr>
        <w:t>Chief Financial Officer and Secretary</w:t>
      </w:r>
    </w:p>
    <w:p>
      <w:pPr>
        <w:sectPr>
          <w:pgSz w:w="11900" w:h="16838" w:orient="portrait"/>
          <w:cols w:equalWidth="0" w:num="1">
            <w:col w:w="11420"/>
          </w:cols>
          <w:pgMar w:left="240" w:top="125" w:right="239" w:bottom="1440" w:gutter="0" w:footer="0" w:header="0"/>
        </w:sectPr>
      </w:pPr>
    </w:p>
    <w:bookmarkStart w:id="49" w:name="page50"/>
    <w:bookmarkEnd w:id="49"/>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ind w:right="380"/>
        <w:spacing w:after="0" w:line="332" w:lineRule="auto"/>
        <w:rPr>
          <w:sz w:val="20"/>
          <w:szCs w:val="20"/>
          <w:color w:val="auto"/>
        </w:rPr>
      </w:pPr>
      <w:r>
        <w:rPr>
          <w:rFonts w:ascii="Arial" w:cs="Arial" w:eastAsia="Arial" w:hAnsi="Arial"/>
          <w:sz w:val="16"/>
          <w:szCs w:val="16"/>
          <w:color w:val="auto"/>
        </w:rPr>
        <w:t>I, Sehat Sutardja Ph.D., the President and Chief Executive Officer of Marvell Technology Group Ltd. (the “Company”), certify for the purposes of 18 U.S.C. Section 1350, as adopted pursuant to Section 906 of the Sarbanes-Oxley Act of 2002, that, to the best of my knowledge,</w:t>
      </w:r>
    </w:p>
    <w:p>
      <w:pPr>
        <w:spacing w:after="0" w:line="4" w:lineRule="exact"/>
        <w:rPr>
          <w:sz w:val="20"/>
          <w:szCs w:val="20"/>
          <w:color w:val="auto"/>
        </w:rPr>
      </w:pPr>
    </w:p>
    <w:p>
      <w:pPr>
        <w:ind w:left="900" w:right="180" w:hanging="446"/>
        <w:spacing w:after="0" w:line="268" w:lineRule="auto"/>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July 28, 2012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Sehat Sutardja, Ph.D.</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President and Chief Executive Officer</w:t>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September 4, 2012</w:t>
      </w:r>
    </w:p>
    <w:p>
      <w:pPr>
        <w:sectPr>
          <w:pgSz w:w="11900" w:h="16838" w:orient="portrait"/>
          <w:cols w:equalWidth="0" w:num="1">
            <w:col w:w="11420"/>
          </w:cols>
          <w:pgMar w:left="240" w:top="125" w:right="239" w:bottom="1440" w:gutter="0" w:footer="0" w:header="0"/>
        </w:sectPr>
      </w:pPr>
    </w:p>
    <w:bookmarkStart w:id="50" w:name="page51"/>
    <w:bookmarkEnd w:id="50"/>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ind w:right="720"/>
        <w:spacing w:after="0" w:line="332" w:lineRule="auto"/>
        <w:rPr>
          <w:sz w:val="20"/>
          <w:szCs w:val="20"/>
          <w:color w:val="auto"/>
        </w:rPr>
      </w:pPr>
      <w:r>
        <w:rPr>
          <w:rFonts w:ascii="Arial" w:cs="Arial" w:eastAsia="Arial" w:hAnsi="Arial"/>
          <w:sz w:val="16"/>
          <w:szCs w:val="16"/>
          <w:color w:val="auto"/>
        </w:rPr>
        <w:t>I, Clyde R. Hosein, the Chief Financial Officer and Secretary of Marvell Technology Group Ltd. (the “Company”), certify for the purposes of 18 U.S.C. Section 1350, as adopted pursuant to Section 906 of the Sarbanes-Oxley Act of 2002, that, to the best of my knowledge,</w:t>
      </w:r>
    </w:p>
    <w:p>
      <w:pPr>
        <w:spacing w:after="0" w:line="4" w:lineRule="exact"/>
        <w:rPr>
          <w:sz w:val="20"/>
          <w:szCs w:val="20"/>
          <w:color w:val="auto"/>
        </w:rPr>
      </w:pPr>
    </w:p>
    <w:p>
      <w:pPr>
        <w:ind w:left="900" w:right="180" w:hanging="446"/>
        <w:spacing w:after="0" w:line="268" w:lineRule="auto"/>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July 28, 2012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21"/>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Chief Financial Officer and Secretary</w:t>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September 4, 2012</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F16E9E8"/>
    <w:multiLevelType w:val="hybridMultilevel"/>
    <w:lvl w:ilvl="0">
      <w:lvlJc w:val="left"/>
      <w:lvlText w:val="☒"/>
      <w:numFmt w:val="bullet"/>
      <w:start w:val="1"/>
    </w:lvl>
  </w:abstractNum>
  <w:abstractNum w:abstractNumId="1">
    <w:nsid w:val="1190CDE7"/>
    <w:multiLevelType w:val="hybridMultilevel"/>
    <w:lvl w:ilvl="0">
      <w:lvlJc w:val="left"/>
      <w:lvlText w:val="☐"/>
      <w:numFmt w:val="bullet"/>
      <w:start w:val="1"/>
    </w:lvl>
  </w:abstractNum>
  <w:abstractNum w:abstractNumId="2">
    <w:nsid w:val="66EF438D"/>
    <w:multiLevelType w:val="hybridMultilevel"/>
    <w:lvl w:ilvl="0">
      <w:lvlJc w:val="left"/>
      <w:lvlText w:val="*"/>
      <w:numFmt w:val="bullet"/>
      <w:start w:val="1"/>
    </w:lvl>
  </w:abstractNum>
  <w:abstractNum w:abstractNumId="3">
    <w:nsid w:val="140E0F76"/>
    <w:multiLevelType w:val="hybridMultilevel"/>
    <w:lvl w:ilvl="0">
      <w:lvlJc w:val="left"/>
      <w:lvlText w:val="•"/>
      <w:numFmt w:val="bullet"/>
      <w:start w:val="1"/>
    </w:lvl>
  </w:abstractNum>
  <w:abstractNum w:abstractNumId="4">
    <w:nsid w:val="3352255A"/>
    <w:multiLevelType w:val="hybridMultilevel"/>
    <w:lvl w:ilvl="0">
      <w:lvlJc w:val="left"/>
      <w:lvlText w:val="•"/>
      <w:numFmt w:val="bullet"/>
      <w:start w:val="1"/>
    </w:lvl>
  </w:abstractNum>
  <w:abstractNum w:abstractNumId="5">
    <w:nsid w:val="109CF92E"/>
    <w:multiLevelType w:val="hybridMultilevel"/>
    <w:lvl w:ilvl="0">
      <w:lvlJc w:val="left"/>
      <w:lvlText w:val="•"/>
      <w:numFmt w:val="bullet"/>
      <w:start w:val="1"/>
    </w:lvl>
  </w:abstractNum>
  <w:abstractNum w:abstractNumId="6">
    <w:nsid w:val="DED7263"/>
    <w:multiLevelType w:val="hybridMultilevel"/>
    <w:lvl w:ilvl="0">
      <w:lvlJc w:val="left"/>
      <w:lvlText w:val="•"/>
      <w:numFmt w:val="bullet"/>
      <w:start w:val="1"/>
    </w:lvl>
  </w:abstractNum>
  <w:abstractNum w:abstractNumId="7">
    <w:nsid w:val="7FDCC233"/>
    <w:multiLevelType w:val="hybridMultilevel"/>
    <w:lvl w:ilvl="0">
      <w:lvlJc w:val="left"/>
      <w:lvlText w:val="•"/>
      <w:numFmt w:val="bullet"/>
      <w:start w:val="1"/>
    </w:lvl>
  </w:abstractNum>
  <w:abstractNum w:abstractNumId="8">
    <w:nsid w:val="1BEFD79F"/>
    <w:multiLevelType w:val="hybridMultilevel"/>
    <w:lvl w:ilvl="0">
      <w:lvlJc w:val="left"/>
      <w:lvlText w:val="•"/>
      <w:numFmt w:val="bullet"/>
      <w:start w:val="1"/>
    </w:lvl>
  </w:abstractNum>
  <w:abstractNum w:abstractNumId="9">
    <w:nsid w:val="41A7C4C9"/>
    <w:multiLevelType w:val="hybridMultilevel"/>
    <w:lvl w:ilvl="0">
      <w:lvlJc w:val="left"/>
      <w:lvlText w:val="•"/>
      <w:numFmt w:val="bullet"/>
      <w:start w:val="1"/>
    </w:lvl>
  </w:abstractNum>
  <w:abstractNum w:abstractNumId="10">
    <w:nsid w:val="6B68079A"/>
    <w:multiLevelType w:val="hybridMultilevel"/>
    <w:lvl w:ilvl="0">
      <w:lvlJc w:val="left"/>
      <w:lvlText w:val="•"/>
      <w:numFmt w:val="bullet"/>
      <w:start w:val="1"/>
    </w:lvl>
  </w:abstractNum>
  <w:abstractNum w:abstractNumId="11">
    <w:nsid w:val="4E6AFB66"/>
    <w:multiLevelType w:val="hybridMultilevel"/>
    <w:lvl w:ilvl="0">
      <w:lvlJc w:val="left"/>
      <w:lvlText w:val="•"/>
      <w:numFmt w:val="bullet"/>
      <w:start w:val="1"/>
    </w:lvl>
  </w:abstractNum>
  <w:abstractNum w:abstractNumId="12">
    <w:nsid w:val="25E45D32"/>
    <w:multiLevelType w:val="hybridMultilevel"/>
    <w:lvl w:ilvl="0">
      <w:lvlJc w:val="left"/>
      <w:lvlText w:val="•"/>
      <w:numFmt w:val="bullet"/>
      <w:start w:val="1"/>
    </w:lvl>
  </w:abstractNum>
  <w:abstractNum w:abstractNumId="13">
    <w:nsid w:val="519B500D"/>
    <w:multiLevelType w:val="hybridMultilevel"/>
    <w:lvl w:ilvl="0">
      <w:lvlJc w:val="left"/>
      <w:lvlText w:val="•"/>
      <w:numFmt w:val="bullet"/>
      <w:start w:val="1"/>
    </w:lvl>
  </w:abstractNum>
  <w:abstractNum w:abstractNumId="14">
    <w:nsid w:val="431BD7B7"/>
    <w:multiLevelType w:val="hybridMultilevel"/>
    <w:lvl w:ilvl="0">
      <w:lvlJc w:val="left"/>
      <w:lvlText w:val="(%1)"/>
      <w:numFmt w:val="decimal"/>
      <w:start w:val="1"/>
    </w:lvl>
  </w:abstractNum>
  <w:abstractNum w:abstractNumId="15">
    <w:nsid w:val="3F2DBA31"/>
    <w:multiLevelType w:val="hybridMultilevel"/>
    <w:lvl w:ilvl="0">
      <w:lvlJc w:val="left"/>
      <w:lvlText w:val="*"/>
      <w:numFmt w:val="bullet"/>
      <w:start w:val="1"/>
    </w:lvl>
  </w:abstractNum>
  <w:abstractNum w:abstractNumId="16">
    <w:nsid w:val="7C83E458"/>
    <w:multiLevelType w:val="hybridMultilevel"/>
    <w:lvl w:ilvl="0">
      <w:lvlJc w:val="left"/>
      <w:lvlText w:val="*"/>
      <w:numFmt w:val="bullet"/>
      <w:start w:val="1"/>
    </w:lvl>
  </w:abstractNum>
  <w:abstractNum w:abstractNumId="17">
    <w:nsid w:val="257130A3"/>
    <w:multiLevelType w:val="hybridMultilevel"/>
    <w:lvl w:ilvl="0">
      <w:lvlJc w:val="left"/>
      <w:lvlText w:val="%1."/>
      <w:numFmt w:val="decimal"/>
      <w:start w:val="1"/>
    </w:lvl>
    <w:lvl w:ilvl="1">
      <w:lvlJc w:val="left"/>
      <w:lvlText w:val="%2)"/>
      <w:numFmt w:val="lowerLetter"/>
      <w:start w:val="1"/>
    </w:lvl>
  </w:abstractNum>
  <w:abstractNum w:abstractNumId="18">
    <w:nsid w:val="62BBD95A"/>
    <w:multiLevelType w:val="hybridMultilevel"/>
    <w:lvl w:ilvl="0">
      <w:lvlJc w:val="left"/>
      <w:lvlText w:val="%1."/>
      <w:numFmt w:val="decimal"/>
      <w:start w:val="1"/>
    </w:lvl>
    <w:lvl w:ilvl="1">
      <w:lvlJc w:val="left"/>
      <w:lvlText w:val="%2)"/>
      <w:numFmt w:val="lowerLetter"/>
      <w:start w:val="1"/>
    </w:lvl>
  </w:abstractNum>
  <w:abstractNum w:abstractNumId="19">
    <w:nsid w:val="436C6125"/>
    <w:multiLevelType w:val="hybridMultilevel"/>
    <w:lvl w:ilvl="0">
      <w:lvlJc w:val="left"/>
      <w:lvlText w:val="(%1)"/>
      <w:numFmt w:val="lowerRoman"/>
      <w:start w:val="1"/>
    </w:lvl>
  </w:abstractNum>
  <w:abstractNum w:abstractNumId="20">
    <w:nsid w:val="628C895D"/>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2019-12-09T13:39:04Z</dcterms:created>
  <dcterms:modified xsi:type="dcterms:W3CDTF">2019-12-09T13:39:04Z</dcterms:modified>
</cp:coreProperties>
</file>