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-232410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11" w:lineRule="exact"/>
        <w:rPr>
          <w:sz w:val="24"/>
          <w:szCs w:val="24"/>
          <w:color w:val="auto"/>
        </w:rPr>
      </w:pPr>
    </w:p>
    <w:p>
      <w:pPr>
        <w:jc w:val="center"/>
        <w:ind w:right="-39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3" w:lineRule="exact"/>
        <w:rPr>
          <w:sz w:val="24"/>
          <w:szCs w:val="24"/>
          <w:color w:val="auto"/>
        </w:rPr>
      </w:pPr>
    </w:p>
    <w:p>
      <w:pPr>
        <w:jc w:val="center"/>
        <w:ind w:right="-39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127000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46" w:lineRule="exact"/>
        <w:rPr>
          <w:sz w:val="24"/>
          <w:szCs w:val="24"/>
          <w:color w:val="auto"/>
        </w:rPr>
      </w:pPr>
    </w:p>
    <w:p>
      <w:pPr>
        <w:jc w:val="center"/>
        <w:ind w:right="-399"/>
        <w:spacing w:after="0"/>
        <w:rPr>
          <w:sz w:val="20"/>
          <w:szCs w:val="20"/>
          <w:color w:val="auto"/>
        </w:rPr>
      </w:pPr>
      <w:r>
        <w:rPr>
          <w:rFonts w:ascii="Arial" w:cs="Arial" w:eastAsia="Arial" w:hAnsi="Arial"/>
          <w:sz w:val="24"/>
          <w:szCs w:val="24"/>
          <w:b w:val="1"/>
          <w:bCs w:val="1"/>
          <w:color w:val="auto"/>
        </w:rPr>
        <w:t>CURRENT REPORT</w:t>
      </w:r>
    </w:p>
    <w:p>
      <w:pPr>
        <w:spacing w:after="0" w:line="171" w:lineRule="exact"/>
        <w:rPr>
          <w:sz w:val="24"/>
          <w:szCs w:val="24"/>
          <w:color w:val="auto"/>
        </w:rPr>
      </w:pPr>
    </w:p>
    <w:p>
      <w:pPr>
        <w:jc w:val="center"/>
        <w:ind w:right="-399"/>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399"/>
        <w:spacing w:after="0"/>
        <w:rPr>
          <w:sz w:val="20"/>
          <w:szCs w:val="20"/>
          <w:color w:val="auto"/>
        </w:rPr>
      </w:pPr>
      <w:r>
        <w:rPr>
          <w:rFonts w:ascii="Arial" w:cs="Arial" w:eastAsia="Arial" w:hAnsi="Arial"/>
          <w:sz w:val="22"/>
          <w:szCs w:val="22"/>
          <w:b w:val="1"/>
          <w:bCs w:val="1"/>
          <w:color w:val="auto"/>
        </w:rPr>
        <w:t>Securities Exchange Act of 1934</w:t>
      </w:r>
    </w:p>
    <w:p>
      <w:pPr>
        <w:spacing w:after="0" w:line="128" w:lineRule="exact"/>
        <w:rPr>
          <w:sz w:val="24"/>
          <w:szCs w:val="24"/>
          <w:color w:val="auto"/>
        </w:rPr>
      </w:pPr>
    </w:p>
    <w:p>
      <w:pPr>
        <w:jc w:val="center"/>
        <w:ind w:right="-399"/>
        <w:spacing w:after="0"/>
        <w:rPr>
          <w:sz w:val="20"/>
          <w:szCs w:val="20"/>
          <w:color w:val="auto"/>
        </w:rPr>
      </w:pPr>
      <w:r>
        <w:rPr>
          <w:rFonts w:ascii="Arial" w:cs="Arial" w:eastAsia="Arial" w:hAnsi="Arial"/>
          <w:sz w:val="22"/>
          <w:szCs w:val="22"/>
          <w:b w:val="1"/>
          <w:bCs w:val="1"/>
          <w:color w:val="auto"/>
        </w:rPr>
        <w:t>Date of Report (Date of earliest event reported): June 28, 2012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114300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1" w:lineRule="exact"/>
        <w:rPr>
          <w:sz w:val="24"/>
          <w:szCs w:val="24"/>
          <w:color w:val="auto"/>
        </w:rPr>
      </w:pPr>
    </w:p>
    <w:p>
      <w:pPr>
        <w:jc w:val="center"/>
        <w:ind w:right="-39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ind w:left="378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113665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020"/>
          </w:cols>
          <w:pgMar w:left="240" w:top="287" w:right="639" w:bottom="1440" w:gutter="0" w:footer="0" w:header="0"/>
        </w:sectPr>
      </w:pPr>
    </w:p>
    <w:p>
      <w:pPr>
        <w:spacing w:after="0" w:line="286" w:lineRule="exact"/>
        <w:rPr>
          <w:sz w:val="24"/>
          <w:szCs w:val="24"/>
          <w:color w:val="auto"/>
        </w:rPr>
      </w:pPr>
    </w:p>
    <w:p>
      <w:pPr>
        <w:ind w:left="16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jc w:val="center"/>
        <w:ind w:right="232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3">
            <w:col w:w="4820" w:space="720"/>
            <w:col w:w="2920" w:space="720"/>
            <w:col w:w="1840"/>
          </w:cols>
          <w:pgMar w:left="240" w:top="287" w:right="639" w:bottom="1440" w:gutter="0" w:footer="0" w:header="0"/>
          <w:type w:val="continuous"/>
        </w:sectPr>
      </w:pPr>
    </w:p>
    <w:p>
      <w:pPr>
        <w:jc w:val="center"/>
        <w:ind w:right="840"/>
        <w:spacing w:after="0"/>
        <w:rPr>
          <w:sz w:val="20"/>
          <w:szCs w:val="20"/>
          <w:color w:val="auto"/>
        </w:rPr>
      </w:pPr>
      <w:r>
        <w:rPr>
          <w:rFonts w:ascii="Arial" w:cs="Arial" w:eastAsia="Arial" w:hAnsi="Arial"/>
          <w:sz w:val="12"/>
          <w:szCs w:val="12"/>
          <w:b w:val="1"/>
          <w:bCs w:val="1"/>
          <w:color w:val="auto"/>
        </w:rPr>
        <w:t>(State or other jurisdiction of</w:t>
      </w:r>
    </w:p>
    <w:p>
      <w:pPr>
        <w:spacing w:after="0" w:line="13" w:lineRule="exact"/>
        <w:rPr>
          <w:sz w:val="24"/>
          <w:szCs w:val="24"/>
          <w:color w:val="auto"/>
        </w:rPr>
      </w:pPr>
    </w:p>
    <w:p>
      <w:pPr>
        <w:jc w:val="center"/>
        <w:ind w:right="840"/>
        <w:spacing w:after="0"/>
        <w:rPr>
          <w:sz w:val="20"/>
          <w:szCs w:val="20"/>
          <w:color w:val="auto"/>
        </w:rPr>
      </w:pPr>
      <w:r>
        <w:rPr>
          <w:rFonts w:ascii="Arial" w:cs="Arial" w:eastAsia="Arial" w:hAnsi="Arial"/>
          <w:sz w:val="14"/>
          <w:szCs w:val="14"/>
          <w:b w:val="1"/>
          <w:bCs w:val="1"/>
          <w:color w:val="auto"/>
        </w:rPr>
        <w:t>incorporation)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2"/>
          <w:szCs w:val="12"/>
          <w:b w:val="1"/>
          <w:bCs w:val="1"/>
          <w:color w:val="auto"/>
        </w:rPr>
        <w:t>(Commission</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0" w:lineRule="exact"/>
        <w:rPr>
          <w:sz w:val="24"/>
          <w:szCs w:val="24"/>
          <w:color w:val="auto"/>
        </w:rPr>
      </w:pPr>
    </w:p>
    <w:p>
      <w:pPr>
        <w:sectPr>
          <w:pgSz w:w="11900" w:h="16838" w:orient="portrait"/>
          <w:cols w:equalWidth="0" w:num="3">
            <w:col w:w="4740" w:space="720"/>
            <w:col w:w="2880" w:space="720"/>
            <w:col w:w="1960"/>
          </w:cols>
          <w:pgMar w:left="240" w:top="287" w:right="639" w:bottom="1440" w:gutter="0" w:footer="0" w:header="0"/>
          <w:type w:val="continuous"/>
        </w:sectPr>
      </w:pPr>
    </w:p>
    <w:p>
      <w:pPr>
        <w:jc w:val="center"/>
        <w:ind w:right="-41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4"/>
          <w:szCs w:val="24"/>
          <w:color w:val="auto"/>
        </w:rPr>
      </w:pPr>
    </w:p>
    <w:p>
      <w:pPr>
        <w:jc w:val="center"/>
        <w:ind w:right="-4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4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41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41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37" w:lineRule="exact"/>
        <w:rPr>
          <w:sz w:val="24"/>
          <w:szCs w:val="24"/>
          <w:color w:val="auto"/>
        </w:rPr>
      </w:pPr>
    </w:p>
    <w:p>
      <w:pPr>
        <w:jc w:val="center"/>
        <w:ind w:right="-41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41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37" w:lineRule="exact"/>
        <w:rPr>
          <w:sz w:val="24"/>
          <w:szCs w:val="24"/>
          <w:color w:val="auto"/>
        </w:rPr>
      </w:pPr>
    </w:p>
    <w:p>
      <w:pPr>
        <w:jc w:val="center"/>
        <w:ind w:right="-41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ind w:left="3920"/>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111125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020"/>
          </w:cols>
          <w:pgMar w:left="240" w:top="287" w:right="639" w:bottom="1440" w:gutter="0" w:footer="0" w:header="0"/>
          <w:type w:val="continuous"/>
        </w:sectPr>
      </w:pPr>
    </w:p>
    <w:p>
      <w:pPr>
        <w:spacing w:after="0" w:line="261" w:lineRule="exact"/>
        <w:rPr>
          <w:sz w:val="24"/>
          <w:szCs w:val="24"/>
          <w:color w:val="auto"/>
        </w:rPr>
      </w:pPr>
    </w:p>
    <w:p>
      <w:pPr>
        <w:spacing w:after="0" w:line="26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 (</w:t>
      </w:r>
      <w:r>
        <w:rPr>
          <w:rFonts w:ascii="Arial" w:cs="Arial" w:eastAsia="Arial" w:hAnsi="Arial"/>
          <w:sz w:val="18"/>
          <w:szCs w:val="18"/>
          <w:i w:val="1"/>
          <w:iCs w:val="1"/>
          <w:color w:val="auto"/>
        </w:rPr>
        <w:t>see</w:t>
      </w:r>
      <w:r>
        <w:rPr>
          <w:rFonts w:ascii="Arial" w:cs="Arial" w:eastAsia="Arial" w:hAnsi="Arial"/>
          <w:sz w:val="18"/>
          <w:szCs w:val="18"/>
          <w:color w:val="auto"/>
        </w:rPr>
        <w:t xml:space="preserve"> General Instruction A.2. below):</w:t>
      </w:r>
    </w:p>
    <w:p>
      <w:pPr>
        <w:spacing w:after="0" w:line="51"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88265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114300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020"/>
          </w:cols>
          <w:pgMar w:left="240" w:top="287" w:right="639" w:bottom="1440" w:gutter="0" w:footer="0" w:header="0"/>
          <w:type w:val="continuous"/>
        </w:sectPr>
      </w:pPr>
    </w:p>
    <w:bookmarkStart w:id="1" w:name="page2"/>
    <w:bookmarkEnd w:id="1"/>
    <w:p>
      <w:pPr>
        <w:spacing w:after="0"/>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5.07</w:t>
      </w:r>
      <w:r>
        <w:rPr>
          <w:sz w:val="20"/>
          <w:szCs w:val="20"/>
          <w:color w:val="auto"/>
        </w:rPr>
        <w:tab/>
      </w:r>
      <w:r>
        <w:rPr>
          <w:rFonts w:ascii="Arial" w:cs="Arial" w:eastAsia="Arial" w:hAnsi="Arial"/>
          <w:sz w:val="15"/>
          <w:szCs w:val="15"/>
          <w:b w:val="1"/>
          <w:bCs w:val="1"/>
          <w:color w:val="auto"/>
        </w:rPr>
        <w:t>Submission of Matters to a Vote of Security Holders.</w:t>
      </w:r>
    </w:p>
    <w:p>
      <w:pPr>
        <w:spacing w:after="0" w:line="96" w:lineRule="exact"/>
        <w:rPr>
          <w:sz w:val="20"/>
          <w:szCs w:val="20"/>
          <w:color w:val="auto"/>
        </w:rPr>
      </w:pPr>
    </w:p>
    <w:p>
      <w:pPr>
        <w:ind w:right="860"/>
        <w:spacing w:after="0" w:line="332" w:lineRule="auto"/>
        <w:rPr>
          <w:sz w:val="20"/>
          <w:szCs w:val="20"/>
          <w:color w:val="auto"/>
        </w:rPr>
      </w:pPr>
      <w:r>
        <w:rPr>
          <w:rFonts w:ascii="Arial" w:cs="Arial" w:eastAsia="Arial" w:hAnsi="Arial"/>
          <w:sz w:val="16"/>
          <w:szCs w:val="16"/>
          <w:color w:val="auto"/>
        </w:rPr>
        <w:t>At the Annual General Meeting of Shareholders held on June 28, 2012 (the “Annual Meeting”) for Marvell Technology Group Ltd. (the “Company”), shareholders voted on the matters as set forth below. Each issued common share was entitled to one vote on the proposals voted on at the meeting.</w:t>
      </w:r>
    </w:p>
    <w:p>
      <w:pPr>
        <w:spacing w:after="0" w:line="201" w:lineRule="exact"/>
        <w:rPr>
          <w:sz w:val="20"/>
          <w:szCs w:val="20"/>
          <w:color w:val="auto"/>
        </w:rPr>
      </w:pPr>
    </w:p>
    <w:p>
      <w:pPr>
        <w:ind w:left="460" w:right="140" w:hanging="452"/>
        <w:spacing w:after="0" w:line="275" w:lineRule="auto"/>
        <w:tabs>
          <w:tab w:leader="none" w:pos="460" w:val="left"/>
        </w:tabs>
        <w:numPr>
          <w:ilvl w:val="0"/>
          <w:numId w:val="2"/>
        </w:numPr>
        <w:rPr>
          <w:rFonts w:ascii="Arial" w:cs="Arial" w:eastAsia="Arial" w:hAnsi="Arial"/>
          <w:sz w:val="18"/>
          <w:szCs w:val="18"/>
          <w:color w:val="auto"/>
        </w:rPr>
      </w:pPr>
      <w:r>
        <w:rPr>
          <w:rFonts w:ascii="Arial" w:cs="Arial" w:eastAsia="Arial" w:hAnsi="Arial"/>
          <w:sz w:val="18"/>
          <w:szCs w:val="18"/>
          <w:b w:val="1"/>
          <w:bCs w:val="1"/>
          <w:color w:val="auto"/>
        </w:rPr>
        <w:t>The nominees for election to the Board were elected, each for a one-year term until the 2013 annual general meeting of shareholders, based upon the following votes:</w:t>
      </w:r>
    </w:p>
    <w:p>
      <w:pPr>
        <w:spacing w:after="0" w:line="152"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0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980" w:type="dxa"/>
            <w:vAlign w:val="bottom"/>
            <w:gridSpan w:val="2"/>
          </w:tcPr>
          <w:p>
            <w:pPr>
              <w:jc w:val="center"/>
              <w:ind w:right="100"/>
              <w:spacing w:after="0"/>
              <w:rPr>
                <w:sz w:val="20"/>
                <w:szCs w:val="20"/>
                <w:color w:val="auto"/>
              </w:rPr>
            </w:pPr>
            <w:r>
              <w:rPr>
                <w:rFonts w:ascii="Arial" w:cs="Arial" w:eastAsia="Arial" w:hAnsi="Arial"/>
                <w:sz w:val="14"/>
                <w:szCs w:val="14"/>
                <w:color w:val="auto"/>
                <w:w w:val="87"/>
              </w:rPr>
              <w:t>Broker</w:t>
            </w:r>
          </w:p>
        </w:tc>
      </w:tr>
      <w:tr>
        <w:trPr>
          <w:trHeight w:val="159"/>
        </w:trPr>
        <w:tc>
          <w:tcPr>
            <w:tcW w:w="6080" w:type="dxa"/>
            <w:vAlign w:val="bottom"/>
          </w:tcPr>
          <w:p>
            <w:pPr>
              <w:spacing w:after="0"/>
              <w:rPr>
                <w:sz w:val="13"/>
                <w:szCs w:val="13"/>
                <w:color w:val="auto"/>
              </w:rPr>
            </w:pPr>
          </w:p>
        </w:tc>
        <w:tc>
          <w:tcPr>
            <w:tcW w:w="1240" w:type="dxa"/>
            <w:vAlign w:val="bottom"/>
            <w:gridSpan w:val="2"/>
          </w:tcPr>
          <w:p>
            <w:pPr>
              <w:ind w:left="380"/>
              <w:spacing w:after="0" w:line="159" w:lineRule="exact"/>
              <w:rPr>
                <w:sz w:val="20"/>
                <w:szCs w:val="20"/>
                <w:color w:val="auto"/>
              </w:rPr>
            </w:pPr>
            <w:r>
              <w:rPr>
                <w:rFonts w:ascii="Arial" w:cs="Arial" w:eastAsia="Arial" w:hAnsi="Arial"/>
                <w:sz w:val="14"/>
                <w:szCs w:val="14"/>
                <w:color w:val="auto"/>
              </w:rPr>
              <w:t>For</w:t>
            </w:r>
          </w:p>
        </w:tc>
        <w:tc>
          <w:tcPr>
            <w:tcW w:w="1140" w:type="dxa"/>
            <w:vAlign w:val="bottom"/>
            <w:gridSpan w:val="2"/>
          </w:tcPr>
          <w:p>
            <w:pPr>
              <w:jc w:val="right"/>
              <w:ind w:right="520"/>
              <w:spacing w:after="0" w:line="159" w:lineRule="exact"/>
              <w:rPr>
                <w:sz w:val="20"/>
                <w:szCs w:val="20"/>
                <w:color w:val="auto"/>
              </w:rPr>
            </w:pPr>
            <w:r>
              <w:rPr>
                <w:rFonts w:ascii="Arial" w:cs="Arial" w:eastAsia="Arial" w:hAnsi="Arial"/>
                <w:sz w:val="14"/>
                <w:szCs w:val="14"/>
                <w:color w:val="auto"/>
              </w:rPr>
              <w:t>Against</w:t>
            </w:r>
          </w:p>
        </w:tc>
        <w:tc>
          <w:tcPr>
            <w:tcW w:w="1060" w:type="dxa"/>
            <w:vAlign w:val="bottom"/>
            <w:gridSpan w:val="2"/>
          </w:tcPr>
          <w:p>
            <w:pPr>
              <w:ind w:left="180"/>
              <w:spacing w:after="0" w:line="159" w:lineRule="exact"/>
              <w:rPr>
                <w:sz w:val="20"/>
                <w:szCs w:val="20"/>
                <w:color w:val="auto"/>
              </w:rPr>
            </w:pPr>
            <w:r>
              <w:rPr>
                <w:rFonts w:ascii="Arial" w:cs="Arial" w:eastAsia="Arial" w:hAnsi="Arial"/>
                <w:sz w:val="14"/>
                <w:szCs w:val="14"/>
                <w:color w:val="auto"/>
              </w:rPr>
              <w:t>Abstain</w:t>
            </w:r>
          </w:p>
        </w:tc>
        <w:tc>
          <w:tcPr>
            <w:tcW w:w="980" w:type="dxa"/>
            <w:vAlign w:val="bottom"/>
            <w:gridSpan w:val="2"/>
          </w:tcPr>
          <w:p>
            <w:pPr>
              <w:jc w:val="center"/>
              <w:ind w:right="100"/>
              <w:spacing w:after="0" w:line="159" w:lineRule="exact"/>
              <w:rPr>
                <w:sz w:val="20"/>
                <w:szCs w:val="20"/>
                <w:color w:val="auto"/>
              </w:rPr>
            </w:pPr>
            <w:r>
              <w:rPr>
                <w:rFonts w:ascii="Arial" w:cs="Arial" w:eastAsia="Arial" w:hAnsi="Arial"/>
                <w:sz w:val="14"/>
                <w:szCs w:val="14"/>
                <w:color w:val="auto"/>
                <w:w w:val="84"/>
              </w:rPr>
              <w:t>Non-Votes</w:t>
            </w:r>
          </w:p>
        </w:tc>
      </w:tr>
      <w:tr>
        <w:trPr>
          <w:trHeight w:val="210"/>
        </w:trPr>
        <w:tc>
          <w:tcPr>
            <w:tcW w:w="608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Dr. Sehat Sutardja</w:t>
            </w:r>
          </w:p>
        </w:tc>
        <w:tc>
          <w:tcPr>
            <w:tcW w:w="9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1"/>
              </w:rPr>
              <w:t>425,878,595</w:t>
            </w:r>
          </w:p>
        </w:tc>
        <w:tc>
          <w:tcPr>
            <w:tcW w:w="300" w:type="dxa"/>
            <w:vAlign w:val="bottom"/>
            <w:tcBorders>
              <w:top w:val="single" w:sz="8" w:color="CCEEFF"/>
            </w:tcBorders>
            <w:shd w:val="clear" w:color="auto" w:fill="CCEEFF"/>
          </w:tcPr>
          <w:p>
            <w:pPr>
              <w:spacing w:after="0"/>
              <w:rPr>
                <w:sz w:val="18"/>
                <w:szCs w:val="18"/>
                <w:color w:val="auto"/>
              </w:rPr>
            </w:pPr>
          </w:p>
        </w:tc>
        <w:tc>
          <w:tcPr>
            <w:tcW w:w="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0"/>
              </w:rPr>
              <w:t>10,904,652</w:t>
            </w:r>
          </w:p>
        </w:tc>
        <w:tc>
          <w:tcPr>
            <w:tcW w:w="300" w:type="dxa"/>
            <w:vAlign w:val="bottom"/>
            <w:tcBorders>
              <w:top w:val="single" w:sz="8" w:color="CCEEFF"/>
            </w:tcBorders>
            <w:shd w:val="clear" w:color="auto" w:fill="CCEEFF"/>
          </w:tcPr>
          <w:p>
            <w:pPr>
              <w:spacing w:after="0"/>
              <w:rPr>
                <w:sz w:val="18"/>
                <w:szCs w:val="18"/>
                <w:color w:val="auto"/>
              </w:rPr>
            </w:pP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9,924,268</w:t>
            </w:r>
          </w:p>
        </w:tc>
        <w:tc>
          <w:tcPr>
            <w:tcW w:w="280" w:type="dxa"/>
            <w:vAlign w:val="bottom"/>
            <w:tcBorders>
              <w:top w:val="single" w:sz="8" w:color="CCEEFF"/>
            </w:tcBorders>
            <w:shd w:val="clear" w:color="auto" w:fill="CCEEFF"/>
          </w:tcPr>
          <w:p>
            <w:pPr>
              <w:spacing w:after="0"/>
              <w:rPr>
                <w:sz w:val="18"/>
                <w:szCs w:val="18"/>
                <w:color w:val="auto"/>
              </w:rPr>
            </w:pPr>
          </w:p>
        </w:tc>
        <w:tc>
          <w:tcPr>
            <w:tcW w:w="8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56,936,596</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6080" w:type="dxa"/>
            <w:vAlign w:val="bottom"/>
          </w:tcPr>
          <w:p>
            <w:pPr>
              <w:spacing w:after="0"/>
              <w:rPr>
                <w:sz w:val="20"/>
                <w:szCs w:val="20"/>
                <w:color w:val="auto"/>
              </w:rPr>
            </w:pPr>
            <w:r>
              <w:rPr>
                <w:rFonts w:ascii="Arial" w:cs="Arial" w:eastAsia="Arial" w:hAnsi="Arial"/>
                <w:sz w:val="18"/>
                <w:szCs w:val="18"/>
                <w:color w:val="auto"/>
              </w:rPr>
              <w:t>Dr. Pantas Sutardja</w:t>
            </w:r>
          </w:p>
        </w:tc>
        <w:tc>
          <w:tcPr>
            <w:tcW w:w="940" w:type="dxa"/>
            <w:vAlign w:val="bottom"/>
          </w:tcPr>
          <w:p>
            <w:pPr>
              <w:jc w:val="right"/>
              <w:spacing w:after="0"/>
              <w:rPr>
                <w:sz w:val="20"/>
                <w:szCs w:val="20"/>
                <w:color w:val="auto"/>
              </w:rPr>
            </w:pPr>
            <w:r>
              <w:rPr>
                <w:rFonts w:ascii="Arial" w:cs="Arial" w:eastAsia="Arial" w:hAnsi="Arial"/>
                <w:sz w:val="18"/>
                <w:szCs w:val="18"/>
                <w:color w:val="auto"/>
                <w:w w:val="91"/>
              </w:rPr>
              <w:t>427,962,336</w:t>
            </w:r>
          </w:p>
        </w:tc>
        <w:tc>
          <w:tcPr>
            <w:tcW w:w="300" w:type="dxa"/>
            <w:vAlign w:val="bottom"/>
          </w:tcPr>
          <w:p>
            <w:pPr>
              <w:spacing w:after="0"/>
              <w:rPr>
                <w:sz w:val="18"/>
                <w:szCs w:val="18"/>
                <w:color w:val="auto"/>
              </w:rPr>
            </w:pPr>
          </w:p>
        </w:tc>
        <w:tc>
          <w:tcPr>
            <w:tcW w:w="1140" w:type="dxa"/>
            <w:vAlign w:val="bottom"/>
            <w:gridSpan w:val="2"/>
          </w:tcPr>
          <w:p>
            <w:pPr>
              <w:jc w:val="right"/>
              <w:ind w:right="300"/>
              <w:spacing w:after="0"/>
              <w:rPr>
                <w:sz w:val="20"/>
                <w:szCs w:val="20"/>
                <w:color w:val="auto"/>
              </w:rPr>
            </w:pPr>
            <w:r>
              <w:rPr>
                <w:rFonts w:ascii="Arial" w:cs="Arial" w:eastAsia="Arial" w:hAnsi="Arial"/>
                <w:sz w:val="18"/>
                <w:szCs w:val="18"/>
                <w:color w:val="auto"/>
              </w:rPr>
              <w:t>8,865,473</w:t>
            </w:r>
          </w:p>
        </w:tc>
        <w:tc>
          <w:tcPr>
            <w:tcW w:w="780" w:type="dxa"/>
            <w:vAlign w:val="bottom"/>
          </w:tcPr>
          <w:p>
            <w:pPr>
              <w:jc w:val="right"/>
              <w:spacing w:after="0"/>
              <w:rPr>
                <w:sz w:val="20"/>
                <w:szCs w:val="20"/>
                <w:color w:val="auto"/>
              </w:rPr>
            </w:pPr>
            <w:r>
              <w:rPr>
                <w:rFonts w:ascii="Arial" w:cs="Arial" w:eastAsia="Arial" w:hAnsi="Arial"/>
                <w:sz w:val="18"/>
                <w:szCs w:val="18"/>
                <w:color w:val="auto"/>
                <w:w w:val="94"/>
              </w:rPr>
              <w:t>9,879,706</w:t>
            </w:r>
          </w:p>
        </w:tc>
        <w:tc>
          <w:tcPr>
            <w:tcW w:w="280" w:type="dxa"/>
            <w:vAlign w:val="bottom"/>
          </w:tcPr>
          <w:p>
            <w:pPr>
              <w:spacing w:after="0"/>
              <w:rPr>
                <w:sz w:val="18"/>
                <w:szCs w:val="18"/>
                <w:color w:val="auto"/>
              </w:rPr>
            </w:pP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w w:val="95"/>
              </w:rPr>
              <w:t>56,936,596</w:t>
            </w:r>
          </w:p>
        </w:tc>
      </w:tr>
      <w:tr>
        <w:trPr>
          <w:trHeight w:val="216"/>
        </w:trPr>
        <w:tc>
          <w:tcPr>
            <w:tcW w:w="6080" w:type="dxa"/>
            <w:vAlign w:val="bottom"/>
            <w:shd w:val="clear" w:color="auto" w:fill="CCEEFF"/>
          </w:tcPr>
          <w:p>
            <w:pPr>
              <w:spacing w:after="0"/>
              <w:rPr>
                <w:sz w:val="20"/>
                <w:szCs w:val="20"/>
                <w:color w:val="auto"/>
              </w:rPr>
            </w:pPr>
            <w:r>
              <w:rPr>
                <w:rFonts w:ascii="Arial" w:cs="Arial" w:eastAsia="Arial" w:hAnsi="Arial"/>
                <w:sz w:val="18"/>
                <w:szCs w:val="18"/>
                <w:color w:val="auto"/>
              </w:rPr>
              <w:t>Dr. Juergen Gromer</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1"/>
              </w:rPr>
              <w:t>427,083,775</w:t>
            </w:r>
          </w:p>
        </w:tc>
        <w:tc>
          <w:tcPr>
            <w:tcW w:w="30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9,742,835</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9,880,905</w:t>
            </w:r>
          </w:p>
        </w:tc>
        <w:tc>
          <w:tcPr>
            <w:tcW w:w="2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5"/>
              </w:rPr>
              <w:t>56,936,596</w:t>
            </w:r>
          </w:p>
        </w:tc>
      </w:tr>
      <w:tr>
        <w:trPr>
          <w:trHeight w:val="216"/>
        </w:trPr>
        <w:tc>
          <w:tcPr>
            <w:tcW w:w="6080" w:type="dxa"/>
            <w:vAlign w:val="bottom"/>
          </w:tcPr>
          <w:p>
            <w:pPr>
              <w:spacing w:after="0"/>
              <w:rPr>
                <w:sz w:val="20"/>
                <w:szCs w:val="20"/>
                <w:color w:val="auto"/>
              </w:rPr>
            </w:pPr>
            <w:r>
              <w:rPr>
                <w:rFonts w:ascii="Arial" w:cs="Arial" w:eastAsia="Arial" w:hAnsi="Arial"/>
                <w:sz w:val="18"/>
                <w:szCs w:val="18"/>
                <w:color w:val="auto"/>
              </w:rPr>
              <w:t>Arturo Krueger</w:t>
            </w:r>
          </w:p>
        </w:tc>
        <w:tc>
          <w:tcPr>
            <w:tcW w:w="940" w:type="dxa"/>
            <w:vAlign w:val="bottom"/>
          </w:tcPr>
          <w:p>
            <w:pPr>
              <w:jc w:val="right"/>
              <w:spacing w:after="0"/>
              <w:rPr>
                <w:sz w:val="20"/>
                <w:szCs w:val="20"/>
                <w:color w:val="auto"/>
              </w:rPr>
            </w:pPr>
            <w:r>
              <w:rPr>
                <w:rFonts w:ascii="Arial" w:cs="Arial" w:eastAsia="Arial" w:hAnsi="Arial"/>
                <w:sz w:val="18"/>
                <w:szCs w:val="18"/>
                <w:color w:val="auto"/>
                <w:w w:val="91"/>
              </w:rPr>
              <w:t>426,937,830</w:t>
            </w:r>
          </w:p>
        </w:tc>
        <w:tc>
          <w:tcPr>
            <w:tcW w:w="300" w:type="dxa"/>
            <w:vAlign w:val="bottom"/>
          </w:tcPr>
          <w:p>
            <w:pPr>
              <w:spacing w:after="0"/>
              <w:rPr>
                <w:sz w:val="18"/>
                <w:szCs w:val="18"/>
                <w:color w:val="auto"/>
              </w:rPr>
            </w:pPr>
          </w:p>
        </w:tc>
        <w:tc>
          <w:tcPr>
            <w:tcW w:w="1140" w:type="dxa"/>
            <w:vAlign w:val="bottom"/>
            <w:gridSpan w:val="2"/>
          </w:tcPr>
          <w:p>
            <w:pPr>
              <w:jc w:val="right"/>
              <w:ind w:right="300"/>
              <w:spacing w:after="0"/>
              <w:rPr>
                <w:sz w:val="20"/>
                <w:szCs w:val="20"/>
                <w:color w:val="auto"/>
              </w:rPr>
            </w:pPr>
            <w:r>
              <w:rPr>
                <w:rFonts w:ascii="Arial" w:cs="Arial" w:eastAsia="Arial" w:hAnsi="Arial"/>
                <w:sz w:val="18"/>
                <w:szCs w:val="18"/>
                <w:color w:val="auto"/>
              </w:rPr>
              <w:t>9,884,488</w:t>
            </w:r>
          </w:p>
        </w:tc>
        <w:tc>
          <w:tcPr>
            <w:tcW w:w="780" w:type="dxa"/>
            <w:vAlign w:val="bottom"/>
          </w:tcPr>
          <w:p>
            <w:pPr>
              <w:jc w:val="right"/>
              <w:spacing w:after="0"/>
              <w:rPr>
                <w:sz w:val="20"/>
                <w:szCs w:val="20"/>
                <w:color w:val="auto"/>
              </w:rPr>
            </w:pPr>
            <w:r>
              <w:rPr>
                <w:rFonts w:ascii="Arial" w:cs="Arial" w:eastAsia="Arial" w:hAnsi="Arial"/>
                <w:sz w:val="18"/>
                <w:szCs w:val="18"/>
                <w:color w:val="auto"/>
                <w:w w:val="94"/>
              </w:rPr>
              <w:t>9,885,197</w:t>
            </w:r>
          </w:p>
        </w:tc>
        <w:tc>
          <w:tcPr>
            <w:tcW w:w="280" w:type="dxa"/>
            <w:vAlign w:val="bottom"/>
          </w:tcPr>
          <w:p>
            <w:pPr>
              <w:spacing w:after="0"/>
              <w:rPr>
                <w:sz w:val="18"/>
                <w:szCs w:val="18"/>
                <w:color w:val="auto"/>
              </w:rPr>
            </w:pPr>
          </w:p>
        </w:tc>
        <w:tc>
          <w:tcPr>
            <w:tcW w:w="980" w:type="dxa"/>
            <w:vAlign w:val="bottom"/>
            <w:gridSpan w:val="2"/>
          </w:tcPr>
          <w:p>
            <w:pPr>
              <w:jc w:val="right"/>
              <w:ind w:right="100"/>
              <w:spacing w:after="0"/>
              <w:rPr>
                <w:sz w:val="20"/>
                <w:szCs w:val="20"/>
                <w:color w:val="auto"/>
              </w:rPr>
            </w:pPr>
            <w:r>
              <w:rPr>
                <w:rFonts w:ascii="Arial" w:cs="Arial" w:eastAsia="Arial" w:hAnsi="Arial"/>
                <w:sz w:val="18"/>
                <w:szCs w:val="18"/>
                <w:color w:val="auto"/>
                <w:w w:val="95"/>
              </w:rPr>
              <w:t>56,936,596</w:t>
            </w:r>
          </w:p>
        </w:tc>
      </w:tr>
      <w:tr>
        <w:trPr>
          <w:trHeight w:val="216"/>
        </w:trPr>
        <w:tc>
          <w:tcPr>
            <w:tcW w:w="6080" w:type="dxa"/>
            <w:vAlign w:val="bottom"/>
            <w:shd w:val="clear" w:color="auto" w:fill="CCEEFF"/>
          </w:tcPr>
          <w:p>
            <w:pPr>
              <w:spacing w:after="0"/>
              <w:rPr>
                <w:sz w:val="20"/>
                <w:szCs w:val="20"/>
                <w:color w:val="auto"/>
              </w:rPr>
            </w:pPr>
            <w:r>
              <w:rPr>
                <w:rFonts w:ascii="Arial" w:cs="Arial" w:eastAsia="Arial" w:hAnsi="Arial"/>
                <w:sz w:val="18"/>
                <w:szCs w:val="18"/>
                <w:color w:val="auto"/>
              </w:rPr>
              <w:t>Dr. Randhir Thakur</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1"/>
              </w:rPr>
              <w:t>434,930,112</w:t>
            </w:r>
          </w:p>
        </w:tc>
        <w:tc>
          <w:tcPr>
            <w:tcW w:w="30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1,880,932</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9,896,471</w:t>
            </w:r>
          </w:p>
        </w:tc>
        <w:tc>
          <w:tcPr>
            <w:tcW w:w="2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5"/>
              </w:rPr>
              <w:t>56,936,596</w:t>
            </w:r>
          </w:p>
        </w:tc>
      </w:tr>
    </w:tbl>
    <w:p>
      <w:pPr>
        <w:spacing w:after="0" w:line="154" w:lineRule="exact"/>
        <w:rPr>
          <w:sz w:val="20"/>
          <w:szCs w:val="20"/>
          <w:color w:val="auto"/>
        </w:rPr>
      </w:pPr>
    </w:p>
    <w:p>
      <w:pPr>
        <w:ind w:right="300"/>
        <w:spacing w:after="0" w:line="268" w:lineRule="auto"/>
        <w:rPr>
          <w:sz w:val="20"/>
          <w:szCs w:val="20"/>
          <w:color w:val="auto"/>
        </w:rPr>
      </w:pPr>
      <w:r>
        <w:rPr>
          <w:rFonts w:ascii="Arial" w:cs="Arial" w:eastAsia="Arial" w:hAnsi="Arial"/>
          <w:sz w:val="18"/>
          <w:szCs w:val="18"/>
          <w:color w:val="auto"/>
        </w:rPr>
        <w:t>The term of office for Dr. John G. Kassakian continued after the Annual Meeting. With respect to the election of each director in the table above, an “abstain” vote had the same effect as an “against” vote.</w:t>
      </w:r>
    </w:p>
    <w:p>
      <w:pPr>
        <w:spacing w:after="0" w:line="248" w:lineRule="exact"/>
        <w:rPr>
          <w:sz w:val="20"/>
          <w:szCs w:val="20"/>
          <w:color w:val="auto"/>
        </w:rPr>
      </w:pPr>
    </w:p>
    <w:p>
      <w:pPr>
        <w:ind w:left="460" w:right="440" w:hanging="452"/>
        <w:spacing w:after="0" w:line="275" w:lineRule="auto"/>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b w:val="1"/>
          <w:bCs w:val="1"/>
          <w:color w:val="auto"/>
        </w:rPr>
        <w:t>The proposal to approve, on an advisory and non-binding basis, the compensation of the Company’s named executive officers, was approved based upon the following votes:</w:t>
      </w:r>
    </w:p>
    <w:p>
      <w:pPr>
        <w:spacing w:after="0" w:line="175" w:lineRule="exact"/>
        <w:rPr>
          <w:sz w:val="20"/>
          <w:szCs w:val="20"/>
          <w:color w:val="auto"/>
        </w:rPr>
      </w:pPr>
    </w:p>
    <w:tbl>
      <w:tblPr>
        <w:tblLayout w:type="fixed"/>
        <w:tblInd w:w="1840" w:type="dxa"/>
        <w:tblCellMar>
          <w:top w:w="0" w:type="dxa"/>
          <w:left w:w="0" w:type="dxa"/>
          <w:bottom w:w="0" w:type="dxa"/>
          <w:right w:w="0" w:type="dxa"/>
        </w:tblCellMar>
      </w:tblPr>
      <w:tr>
        <w:trPr>
          <w:trHeight w:val="216"/>
        </w:trPr>
        <w:tc>
          <w:tcPr>
            <w:tcW w:w="4020" w:type="dxa"/>
            <w:vAlign w:val="bottom"/>
            <w:shd w:val="clear" w:color="auto" w:fill="CCEEFF"/>
          </w:tcPr>
          <w:p>
            <w:pPr>
              <w:spacing w:after="0"/>
              <w:rPr>
                <w:sz w:val="20"/>
                <w:szCs w:val="20"/>
                <w:color w:val="auto"/>
              </w:rPr>
            </w:pPr>
            <w:r>
              <w:rPr>
                <w:rFonts w:ascii="Arial" w:cs="Arial" w:eastAsia="Arial" w:hAnsi="Arial"/>
                <w:sz w:val="18"/>
                <w:szCs w:val="18"/>
                <w:color w:val="auto"/>
              </w:rPr>
              <w:t>For</w:t>
            </w:r>
          </w:p>
        </w:tc>
        <w:tc>
          <w:tcPr>
            <w:tcW w:w="374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321,436,920</w:t>
            </w:r>
          </w:p>
        </w:tc>
      </w:tr>
      <w:tr>
        <w:trPr>
          <w:trHeight w:val="216"/>
        </w:trPr>
        <w:tc>
          <w:tcPr>
            <w:tcW w:w="4020" w:type="dxa"/>
            <w:vAlign w:val="bottom"/>
          </w:tcPr>
          <w:p>
            <w:pPr>
              <w:spacing w:after="0"/>
              <w:rPr>
                <w:sz w:val="20"/>
                <w:szCs w:val="20"/>
                <w:color w:val="auto"/>
              </w:rPr>
            </w:pPr>
            <w:r>
              <w:rPr>
                <w:rFonts w:ascii="Arial" w:cs="Arial" w:eastAsia="Arial" w:hAnsi="Arial"/>
                <w:sz w:val="18"/>
                <w:szCs w:val="18"/>
                <w:color w:val="auto"/>
              </w:rPr>
              <w:t>Against</w:t>
            </w:r>
          </w:p>
        </w:tc>
        <w:tc>
          <w:tcPr>
            <w:tcW w:w="3740" w:type="dxa"/>
            <w:vAlign w:val="bottom"/>
          </w:tcPr>
          <w:p>
            <w:pPr>
              <w:jc w:val="right"/>
              <w:ind w:right="12"/>
              <w:spacing w:after="0"/>
              <w:rPr>
                <w:sz w:val="20"/>
                <w:szCs w:val="20"/>
                <w:color w:val="auto"/>
              </w:rPr>
            </w:pPr>
            <w:r>
              <w:rPr>
                <w:rFonts w:ascii="Arial" w:cs="Arial" w:eastAsia="Arial" w:hAnsi="Arial"/>
                <w:sz w:val="18"/>
                <w:szCs w:val="18"/>
                <w:color w:val="auto"/>
              </w:rPr>
              <w:t>115,373,815</w:t>
            </w:r>
          </w:p>
        </w:tc>
      </w:tr>
      <w:tr>
        <w:trPr>
          <w:trHeight w:val="216"/>
        </w:trPr>
        <w:tc>
          <w:tcPr>
            <w:tcW w:w="4020" w:type="dxa"/>
            <w:vAlign w:val="bottom"/>
            <w:shd w:val="clear" w:color="auto" w:fill="CCEEFF"/>
          </w:tcPr>
          <w:p>
            <w:pPr>
              <w:spacing w:after="0"/>
              <w:rPr>
                <w:sz w:val="20"/>
                <w:szCs w:val="20"/>
                <w:color w:val="auto"/>
              </w:rPr>
            </w:pPr>
            <w:r>
              <w:rPr>
                <w:rFonts w:ascii="Arial" w:cs="Arial" w:eastAsia="Arial" w:hAnsi="Arial"/>
                <w:sz w:val="18"/>
                <w:szCs w:val="18"/>
                <w:color w:val="auto"/>
              </w:rPr>
              <w:t>Abstain</w:t>
            </w:r>
          </w:p>
        </w:tc>
        <w:tc>
          <w:tcPr>
            <w:tcW w:w="374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9,896,780</w:t>
            </w:r>
          </w:p>
        </w:tc>
      </w:tr>
      <w:tr>
        <w:trPr>
          <w:trHeight w:val="222"/>
        </w:trPr>
        <w:tc>
          <w:tcPr>
            <w:tcW w:w="4020" w:type="dxa"/>
            <w:vAlign w:val="bottom"/>
          </w:tcPr>
          <w:p>
            <w:pPr>
              <w:spacing w:after="0"/>
              <w:rPr>
                <w:sz w:val="20"/>
                <w:szCs w:val="20"/>
                <w:color w:val="auto"/>
              </w:rPr>
            </w:pPr>
            <w:r>
              <w:rPr>
                <w:rFonts w:ascii="Arial" w:cs="Arial" w:eastAsia="Arial" w:hAnsi="Arial"/>
                <w:sz w:val="18"/>
                <w:szCs w:val="18"/>
                <w:color w:val="auto"/>
              </w:rPr>
              <w:t>Broker Non-Votes</w:t>
            </w:r>
          </w:p>
        </w:tc>
        <w:tc>
          <w:tcPr>
            <w:tcW w:w="3740" w:type="dxa"/>
            <w:vAlign w:val="bottom"/>
          </w:tcPr>
          <w:p>
            <w:pPr>
              <w:jc w:val="right"/>
              <w:ind w:right="12"/>
              <w:spacing w:after="0"/>
              <w:rPr>
                <w:sz w:val="20"/>
                <w:szCs w:val="20"/>
                <w:color w:val="auto"/>
              </w:rPr>
            </w:pPr>
            <w:r>
              <w:rPr>
                <w:rFonts w:ascii="Arial" w:cs="Arial" w:eastAsia="Arial" w:hAnsi="Arial"/>
                <w:sz w:val="18"/>
                <w:szCs w:val="18"/>
                <w:color w:val="auto"/>
              </w:rPr>
              <w:t>56,936,596</w:t>
            </w:r>
          </w:p>
        </w:tc>
      </w:tr>
    </w:tbl>
    <w:p>
      <w:pPr>
        <w:spacing w:after="0" w:line="263" w:lineRule="exact"/>
        <w:rPr>
          <w:sz w:val="20"/>
          <w:szCs w:val="20"/>
          <w:color w:val="auto"/>
        </w:rPr>
      </w:pPr>
    </w:p>
    <w:p>
      <w:pPr>
        <w:ind w:left="460" w:hanging="452"/>
        <w:spacing w:after="0" w:line="310" w:lineRule="auto"/>
        <w:tabs>
          <w:tab w:leader="none" w:pos="460" w:val="left"/>
        </w:tabs>
        <w:numPr>
          <w:ilvl w:val="0"/>
          <w:numId w:val="4"/>
        </w:numPr>
        <w:rPr>
          <w:rFonts w:ascii="Arial" w:cs="Arial" w:eastAsia="Arial" w:hAnsi="Arial"/>
          <w:sz w:val="16"/>
          <w:szCs w:val="16"/>
          <w:color w:val="auto"/>
        </w:rPr>
      </w:pPr>
      <w:r>
        <w:rPr>
          <w:rFonts w:ascii="Arial" w:cs="Arial" w:eastAsia="Arial" w:hAnsi="Arial"/>
          <w:sz w:val="16"/>
          <w:szCs w:val="16"/>
          <w:b w:val="1"/>
          <w:bCs w:val="1"/>
          <w:color w:val="auto"/>
        </w:rPr>
        <w:t>The proposal to re-appoint PricewaterhouseCoopers LLP as the Company’s auditors and independent registered public accounting firm, and authorize the audit committee, acting on behalf of the Board, to fix the remuneration of the auditors and independent registered public accounting firm, in both cases for the Company’s fiscal year ending February 2, 2013, was approved based upon the following votes:</w:t>
      </w:r>
    </w:p>
    <w:p>
      <w:pPr>
        <w:spacing w:after="0" w:line="152" w:lineRule="exact"/>
        <w:rPr>
          <w:sz w:val="20"/>
          <w:szCs w:val="20"/>
          <w:color w:val="auto"/>
        </w:rPr>
      </w:pPr>
    </w:p>
    <w:tbl>
      <w:tblPr>
        <w:tblLayout w:type="fixed"/>
        <w:tblInd w:w="1840" w:type="dxa"/>
        <w:tblCellMar>
          <w:top w:w="0" w:type="dxa"/>
          <w:left w:w="0" w:type="dxa"/>
          <w:bottom w:w="0" w:type="dxa"/>
          <w:right w:w="0" w:type="dxa"/>
        </w:tblCellMar>
      </w:tblPr>
      <w:tr>
        <w:trPr>
          <w:trHeight w:val="216"/>
        </w:trPr>
        <w:tc>
          <w:tcPr>
            <w:tcW w:w="2180" w:type="dxa"/>
            <w:vAlign w:val="bottom"/>
            <w:shd w:val="clear" w:color="auto" w:fill="CCEEFF"/>
          </w:tcPr>
          <w:p>
            <w:pPr>
              <w:spacing w:after="0"/>
              <w:rPr>
                <w:sz w:val="20"/>
                <w:szCs w:val="20"/>
                <w:color w:val="auto"/>
              </w:rPr>
            </w:pPr>
            <w:r>
              <w:rPr>
                <w:rFonts w:ascii="Arial" w:cs="Arial" w:eastAsia="Arial" w:hAnsi="Arial"/>
                <w:sz w:val="18"/>
                <w:szCs w:val="18"/>
                <w:color w:val="auto"/>
              </w:rPr>
              <w:t>For</w:t>
            </w:r>
          </w:p>
        </w:tc>
        <w:tc>
          <w:tcPr>
            <w:tcW w:w="558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491,117,972</w:t>
            </w:r>
          </w:p>
        </w:tc>
      </w:tr>
      <w:tr>
        <w:trPr>
          <w:trHeight w:val="216"/>
        </w:trPr>
        <w:tc>
          <w:tcPr>
            <w:tcW w:w="2180" w:type="dxa"/>
            <w:vAlign w:val="bottom"/>
          </w:tcPr>
          <w:p>
            <w:pPr>
              <w:spacing w:after="0"/>
              <w:rPr>
                <w:sz w:val="20"/>
                <w:szCs w:val="20"/>
                <w:color w:val="auto"/>
              </w:rPr>
            </w:pPr>
            <w:r>
              <w:rPr>
                <w:rFonts w:ascii="Arial" w:cs="Arial" w:eastAsia="Arial" w:hAnsi="Arial"/>
                <w:sz w:val="18"/>
                <w:szCs w:val="18"/>
                <w:color w:val="auto"/>
              </w:rPr>
              <w:t>Against</w:t>
            </w:r>
          </w:p>
        </w:tc>
        <w:tc>
          <w:tcPr>
            <w:tcW w:w="5580" w:type="dxa"/>
            <w:vAlign w:val="bottom"/>
          </w:tcPr>
          <w:p>
            <w:pPr>
              <w:jc w:val="right"/>
              <w:ind w:right="12"/>
              <w:spacing w:after="0"/>
              <w:rPr>
                <w:sz w:val="20"/>
                <w:szCs w:val="20"/>
                <w:color w:val="auto"/>
              </w:rPr>
            </w:pPr>
            <w:r>
              <w:rPr>
                <w:rFonts w:ascii="Arial" w:cs="Arial" w:eastAsia="Arial" w:hAnsi="Arial"/>
                <w:sz w:val="18"/>
                <w:szCs w:val="18"/>
                <w:color w:val="auto"/>
              </w:rPr>
              <w:t>2,624,037</w:t>
            </w:r>
          </w:p>
        </w:tc>
      </w:tr>
      <w:tr>
        <w:trPr>
          <w:trHeight w:val="216"/>
        </w:trPr>
        <w:tc>
          <w:tcPr>
            <w:tcW w:w="2180" w:type="dxa"/>
            <w:vAlign w:val="bottom"/>
            <w:shd w:val="clear" w:color="auto" w:fill="CCEEFF"/>
          </w:tcPr>
          <w:p>
            <w:pPr>
              <w:spacing w:after="0"/>
              <w:rPr>
                <w:sz w:val="20"/>
                <w:szCs w:val="20"/>
                <w:color w:val="auto"/>
              </w:rPr>
            </w:pPr>
            <w:r>
              <w:rPr>
                <w:rFonts w:ascii="Arial" w:cs="Arial" w:eastAsia="Arial" w:hAnsi="Arial"/>
                <w:sz w:val="18"/>
                <w:szCs w:val="18"/>
                <w:color w:val="auto"/>
              </w:rPr>
              <w:t>Abstain</w:t>
            </w:r>
          </w:p>
        </w:tc>
        <w:tc>
          <w:tcPr>
            <w:tcW w:w="558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9,902,102</w:t>
            </w:r>
          </w:p>
        </w:tc>
      </w:tr>
      <w:tr>
        <w:trPr>
          <w:trHeight w:val="363"/>
        </w:trPr>
        <w:tc>
          <w:tcPr>
            <w:tcW w:w="2180" w:type="dxa"/>
            <w:vAlign w:val="bottom"/>
          </w:tcPr>
          <w:p>
            <w:pPr>
              <w:spacing w:after="0"/>
              <w:rPr>
                <w:sz w:val="24"/>
                <w:szCs w:val="24"/>
                <w:color w:val="auto"/>
              </w:rPr>
            </w:pPr>
          </w:p>
        </w:tc>
        <w:tc>
          <w:tcPr>
            <w:tcW w:w="5580" w:type="dxa"/>
            <w:vAlign w:val="bottom"/>
          </w:tcPr>
          <w:p>
            <w:pPr>
              <w:jc w:val="right"/>
              <w:ind w:right="3752"/>
              <w:spacing w:after="0"/>
              <w:rPr>
                <w:sz w:val="20"/>
                <w:szCs w:val="20"/>
                <w:color w:val="auto"/>
              </w:rPr>
            </w:pPr>
            <w:r>
              <w:rPr>
                <w:rFonts w:ascii="Arial" w:cs="Arial" w:eastAsia="Arial" w:hAnsi="Arial"/>
                <w:sz w:val="18"/>
                <w:szCs w:val="18"/>
                <w:color w:val="auto"/>
              </w:rPr>
              <w:t>2</w:t>
            </w:r>
          </w:p>
        </w:tc>
      </w:tr>
    </w:tbl>
    <w:p>
      <w:pPr>
        <w:sectPr>
          <w:pgSz w:w="11900" w:h="16838" w:orient="portrait"/>
          <w:cols w:equalWidth="0" w:num="1">
            <w:col w:w="11400"/>
          </w:cols>
          <w:pgMar w:left="240" w:top="274" w:right="25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July 2, 2012</w:t>
      </w:r>
    </w:p>
    <w:p>
      <w:pPr>
        <w:spacing w:after="0" w:line="21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tabs>
          <w:tab w:leader="none" w:pos="722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Clyde R. Hosein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10795</wp:posOffset>
            </wp:positionV>
            <wp:extent cx="265874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Clyde R. Hosein</w:t>
      </w:r>
    </w:p>
    <w:p>
      <w:pPr>
        <w:spacing w:after="0" w:line="15"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Chief Financial Officer and Secretary</w:t>
      </w:r>
    </w:p>
    <w:p>
      <w:pPr>
        <w:spacing w:after="0" w:line="16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sectPr>
      <w:pgSz w:w="11900" w:h="16838" w:orient="portrait"/>
      <w:cols w:equalWidth="0" w:num="1">
        <w:col w:w="11400"/>
      </w:cols>
      <w:pgMar w:left="240" w:top="274" w:right="2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4B0DC51"/>
    <w:multiLevelType w:val="hybridMultilevel"/>
    <w:lvl w:ilvl="0">
      <w:lvlJc w:val="left"/>
      <w:lvlText w:val="☐"/>
      <w:numFmt w:val="bullet"/>
      <w:start w:val="1"/>
    </w:lvl>
  </w:abstractNum>
  <w:abstractNum w:abstractNumId="1">
    <w:nsid w:val="19495CFF"/>
    <w:multiLevelType w:val="hybridMultilevel"/>
    <w:lvl w:ilvl="0">
      <w:lvlJc w:val="left"/>
      <w:lvlText w:val="%1."/>
      <w:numFmt w:val="decimal"/>
      <w:start w:val="1"/>
    </w:lvl>
  </w:abstractNum>
  <w:abstractNum w:abstractNumId="2">
    <w:nsid w:val="2AE8944A"/>
    <w:multiLevelType w:val="hybridMultilevel"/>
    <w:lvl w:ilvl="0">
      <w:lvlJc w:val="left"/>
      <w:lvlText w:val="%1."/>
      <w:numFmt w:val="decimal"/>
      <w:start w:val="2"/>
    </w:lvl>
  </w:abstractNum>
  <w:abstractNum w:abstractNumId="3">
    <w:nsid w:val="625558EC"/>
    <w:multiLevelType w:val="hybridMultilevel"/>
    <w:lvl w:ilvl="0">
      <w:lvlJc w:val="left"/>
      <w:lvlText w:val="%1."/>
      <w:numFmt w:val="decimal"/>
      <w:start w:val="3"/>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2019-12-09T13:02:32Z</dcterms:created>
  <dcterms:modified xsi:type="dcterms:W3CDTF">2019-12-09T13:02:32Z</dcterms:modified>
</cp:coreProperties>
</file>