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Date of Report (Date of earliest event reported): May 17, 2012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300"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69" w:lineRule="exact"/>
        <w:rPr>
          <w:sz w:val="24"/>
          <w:szCs w:val="24"/>
          <w:color w:val="auto"/>
        </w:rPr>
      </w:pPr>
    </w:p>
    <w:p>
      <w:pPr>
        <w:sectPr>
          <w:pgSz w:w="11900" w:h="16838" w:orient="portrait"/>
          <w:cols w:equalWidth="0" w:num="3">
            <w:col w:w="4740" w:space="720"/>
            <w:col w:w="300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5"/>
          <w:szCs w:val="15"/>
          <w:b w:val="1"/>
          <w:bCs w:val="1"/>
          <w:color w:val="auto"/>
        </w:rPr>
        <w:t>Results of Operations and Financial Condition.</w:t>
      </w:r>
    </w:p>
    <w:p>
      <w:pPr>
        <w:spacing w:after="0" w:line="9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620" w:firstLine="456"/>
        <w:spacing w:after="0" w:line="268" w:lineRule="auto"/>
        <w:rPr>
          <w:sz w:val="20"/>
          <w:szCs w:val="20"/>
          <w:color w:val="auto"/>
        </w:rPr>
      </w:pPr>
      <w:r>
        <w:rPr>
          <w:rFonts w:ascii="Arial" w:cs="Arial" w:eastAsia="Arial" w:hAnsi="Arial"/>
          <w:sz w:val="18"/>
          <w:szCs w:val="18"/>
          <w:color w:val="auto"/>
        </w:rPr>
        <w:t>On May 17, 2012, Marvell Technology Group Ltd. (“Marvell”) issued a press release regarding its financial results for its first fiscal quarter ended April 28, 2012. A copy of the press release is furnished herewith as Exhibit 99.1 and is incorporated by reference herein.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of acquired intangible assets, acquisition-related costs, restructuring costs, and certain one-time expenses and benefits.</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its financial condition and results of operations.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56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4" w:lineRule="exact"/>
        <w:rPr>
          <w:sz w:val="20"/>
          <w:szCs w:val="20"/>
          <w:color w:val="auto"/>
        </w:rPr>
      </w:pPr>
    </w:p>
    <w:p>
      <w:pPr>
        <w:ind w:left="900" w:right="40" w:hanging="325"/>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pro forma EPS utilized to measure the achievement of stock-based awards (adjustments may vary from award to award) for certain Marvell executive officers;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900" w:right="160" w:hanging="325"/>
        <w:spacing w:after="0" w:line="256"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4" w:right="279" w:bottom="1440" w:gutter="0" w:footer="0" w:header="0"/>
        </w:sectPr>
      </w:pPr>
    </w:p>
    <w:bookmarkStart w:id="2" w:name="page3"/>
    <w:bookmarkEnd w:id="2"/>
    <w:p>
      <w:pPr>
        <w:ind w:left="900" w:hanging="325"/>
        <w:spacing w:after="0" w:line="357" w:lineRule="auto"/>
        <w:tabs>
          <w:tab w:leader="none" w:pos="900" w:val="left"/>
        </w:tabs>
        <w:numPr>
          <w:ilvl w:val="0"/>
          <w:numId w:val="4"/>
        </w:numPr>
        <w:rPr>
          <w:rFonts w:ascii="Arial" w:cs="Arial" w:eastAsia="Arial" w:hAnsi="Arial"/>
          <w:sz w:val="15"/>
          <w:szCs w:val="15"/>
          <w:color w:val="auto"/>
        </w:rPr>
      </w:pPr>
      <w:r>
        <w:rPr>
          <w:rFonts w:ascii="Arial" w:cs="Arial" w:eastAsia="Arial" w:hAnsi="Arial"/>
          <w:sz w:val="15"/>
          <w:szCs w:val="15"/>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and write-off of acquired intangible assets</w:t>
      </w:r>
      <w:r>
        <w:rPr>
          <w:rFonts w:ascii="Arial" w:cs="Arial" w:eastAsia="Arial" w:hAnsi="Arial"/>
          <w:sz w:val="15"/>
          <w:szCs w:val="15"/>
          <w:color w:val="auto"/>
        </w:rPr>
        <w:t>. Purchased intangible assets relate primarily to existing and core technology, and customer</w:t>
      </w:r>
      <w:r>
        <w:rPr>
          <w:rFonts w:ascii="Arial" w:cs="Arial" w:eastAsia="Arial" w:hAnsi="Arial"/>
          <w:sz w:val="15"/>
          <w:szCs w:val="15"/>
          <w:i w:val="1"/>
          <w:iCs w:val="1"/>
          <w:color w:val="auto"/>
        </w:rPr>
        <w:t xml:space="preserve"> </w:t>
      </w:r>
      <w:r>
        <w:rPr>
          <w:rFonts w:ascii="Arial" w:cs="Arial" w:eastAsia="Arial" w:hAnsi="Arial"/>
          <w:sz w:val="15"/>
          <w:szCs w:val="15"/>
          <w:color w:val="auto"/>
        </w:rPr>
        <w:t>relationships of acquired businesses. Management considers these charges non-cash in nature and unrelated to Marvell’s core operating performance.</w:t>
      </w:r>
    </w:p>
    <w:p>
      <w:pPr>
        <w:ind w:left="900" w:right="2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Acquisition-related costs</w:t>
      </w:r>
      <w:r>
        <w:rPr>
          <w:rFonts w:ascii="Arial" w:cs="Arial" w:eastAsia="Arial" w:hAnsi="Arial"/>
          <w:sz w:val="16"/>
          <w:szCs w:val="16"/>
          <w:color w:val="auto"/>
        </w:rPr>
        <w:t>. Acquisition-related costs primarily include the step-up in fair value of acquired inventory that was sold during the period,</w:t>
      </w:r>
      <w:r>
        <w:rPr>
          <w:rFonts w:ascii="Arial" w:cs="Arial" w:eastAsia="Arial" w:hAnsi="Arial"/>
          <w:sz w:val="16"/>
          <w:szCs w:val="16"/>
          <w:i w:val="1"/>
          <w:iCs w:val="1"/>
          <w:color w:val="auto"/>
        </w:rPr>
        <w:t xml:space="preserve"> </w:t>
      </w:r>
      <w:r>
        <w:rPr>
          <w:rFonts w:ascii="Arial" w:cs="Arial" w:eastAsia="Arial" w:hAnsi="Arial"/>
          <w:sz w:val="16"/>
          <w:szCs w:val="16"/>
          <w:color w:val="auto"/>
        </w:rPr>
        <w:t>and the amortization of retention bonuses required by the terms of the acquisition. Management believes these charges are unrelated to the core operating activities for Marvell, and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right="12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Restructuring</w:t>
      </w:r>
      <w:r>
        <w:rPr>
          <w:rFonts w:ascii="Arial" w:cs="Arial" w:eastAsia="Arial" w:hAnsi="Arial"/>
          <w:sz w:val="16"/>
          <w:szCs w:val="16"/>
          <w:color w:val="auto"/>
        </w:rPr>
        <w:t>. Restructuring represents charges that are not directly related to Marvell’s ongoing or core business results. Management regularly</w:t>
      </w:r>
      <w:r>
        <w:rPr>
          <w:rFonts w:ascii="Arial" w:cs="Arial" w:eastAsia="Arial" w:hAnsi="Arial"/>
          <w:sz w:val="16"/>
          <w:szCs w:val="16"/>
          <w:i w:val="1"/>
          <w:iCs w:val="1"/>
          <w:color w:val="auto"/>
        </w:rPr>
        <w:t xml:space="preserve"> </w:t>
      </w:r>
      <w:r>
        <w:rPr>
          <w:rFonts w:ascii="Arial" w:cs="Arial" w:eastAsia="Arial" w:hAnsi="Arial"/>
          <w:sz w:val="16"/>
          <w:szCs w:val="16"/>
          <w:color w:val="auto"/>
        </w:rPr>
        <w:t>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right="140" w:hanging="325"/>
        <w:spacing w:after="0" w:line="332"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Other</w:t>
      </w:r>
      <w:r>
        <w:rPr>
          <w:rFonts w:ascii="Arial" w:cs="Arial" w:eastAsia="Arial" w:hAnsi="Arial"/>
          <w:sz w:val="16"/>
          <w:szCs w:val="16"/>
          <w:color w:val="auto"/>
        </w:rPr>
        <w:t>. From time to time, Marvell has other costs/benefits that are not directly related to Marvell’s ongoing or core business results. Excluding this</w:t>
      </w:r>
      <w:r>
        <w:rPr>
          <w:rFonts w:ascii="Arial" w:cs="Arial" w:eastAsia="Arial" w:hAnsi="Arial"/>
          <w:sz w:val="16"/>
          <w:szCs w:val="16"/>
          <w:i w:val="1"/>
          <w:iCs w:val="1"/>
          <w:color w:val="auto"/>
        </w:rPr>
        <w:t xml:space="preserve"> </w:t>
      </w:r>
      <w:r>
        <w:rPr>
          <w:rFonts w:ascii="Arial" w:cs="Arial" w:eastAsia="Arial" w:hAnsi="Arial"/>
          <w:sz w:val="16"/>
          <w:szCs w:val="16"/>
          <w:color w:val="auto"/>
        </w:rPr>
        <w:t>data provides investors with a basis to compare Marvell’s performance against the performance of other companies without this variability.</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900" w:hanging="325"/>
        <w:spacing w:after="0" w:line="291"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stock-based compensation costs expected to be incurred in future periods but not yet recognized in the financial statements. The expected compensation costs are treated as proceeds assumed to be used to repurchase shares under the GAAP treasury stock method. Since Marvell’s non-GAAP net income does not reflect the effects of these compensation costs, management believes these amounts should not be applied to the repurchase of shares in calculating non-GAAP net income per share.</w:t>
      </w:r>
    </w:p>
    <w:p>
      <w:pPr>
        <w:spacing w:after="0" w:line="120" w:lineRule="exact"/>
        <w:rPr>
          <w:sz w:val="20"/>
          <w:szCs w:val="20"/>
          <w:color w:val="auto"/>
        </w:rPr>
      </w:pPr>
    </w:p>
    <w:p>
      <w:pPr>
        <w:ind w:right="320" w:firstLine="456"/>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5"/>
          <w:szCs w:val="15"/>
          <w:b w:val="1"/>
          <w:bCs w:val="1"/>
          <w:color w:val="auto"/>
        </w:rPr>
        <w:t>Other Events.</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Marvell today announced that it had declared the payment of its first quarterly dividend of $0.06 per share to be paid on July 11, 2012 to all shareholders of record as of June 21, 2012. Marvell intends to pay a regular quarterly cash dividend on its common shares subject to, among other things, the best interests of its shareholders, Marvell’s results of operations, cash balances and future cash requirements, financial condition, statutory requirements of Bermuda law, and other factors that the board of directors may deem relevant.</w:t>
      </w:r>
    </w:p>
    <w:p>
      <w:pPr>
        <w:spacing w:after="0" w:line="143"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In addition, Marvell also announced today that it has authorized an increase of up to an additional $500 million under the existing share repurchase program. The cumulative total authorized for share repurchases by Marvell now amounts to $2.5 billion. Marvell has repurchased approximately $1.7 billion of its authorized $2 billion program leaving about $348 million remaining in the current repurchase program. With the new $500 million authorization the total repurchase program increases to $2.5 billion and the amount remaining to $848 million. Marvell has repurchased and retired over 107 million, or about 16 percent, of the outstanding shares since the initial announcement of the share repurchase program in August 2010.</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80" w:right="279" w:bottom="1440" w:gutter="0" w:footer="0" w:header="0"/>
        </w:sectPr>
      </w:pPr>
    </w:p>
    <w:bookmarkStart w:id="3" w:name="page4"/>
    <w:bookmarkEnd w:id="3"/>
    <w:p>
      <w:pPr>
        <w:ind w:firstLine="456"/>
        <w:spacing w:after="0" w:line="256"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intends to effect its repurchase program in accordance with the conditions of Rule 10b-18 under the Exchange Act. The repurchase program will be subject to market conditions and other factors and does not obligate Marvell to repurchase any dollar amount or number of its common shares. The program may be extended, modified, suspended or discontinued at any time. The repurchases are expected to be funded from Marvell’s current cash and short-term investments position.</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 copy of the press release is attached herewith as Exhibit 99.2 and is incorporated by reference herein.</w:t>
      </w:r>
    </w:p>
    <w:p>
      <w:pPr>
        <w:spacing w:after="0" w:line="287"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212" w:lineRule="exact"/>
        <w:rPr>
          <w:sz w:val="20"/>
          <w:szCs w:val="20"/>
          <w:color w:val="auto"/>
        </w:rPr>
      </w:pPr>
    </w:p>
    <w:p>
      <w:pPr>
        <w:ind w:left="920"/>
        <w:spacing w:after="0"/>
        <w:tabs>
          <w:tab w:leader="none" w:pos="14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May 17, 2012</w:t>
      </w:r>
    </w:p>
    <w:p>
      <w:pPr>
        <w:spacing w:after="0" w:line="117" w:lineRule="exact"/>
        <w:rPr>
          <w:sz w:val="20"/>
          <w:szCs w:val="20"/>
          <w:color w:val="auto"/>
        </w:rPr>
      </w:pPr>
    </w:p>
    <w:p>
      <w:pPr>
        <w:ind w:left="920"/>
        <w:spacing w:after="0"/>
        <w:tabs>
          <w:tab w:leader="none" w:pos="1480" w:val="left"/>
        </w:tabs>
        <w:rPr>
          <w:sz w:val="20"/>
          <w:szCs w:val="20"/>
          <w:color w:val="auto"/>
        </w:rPr>
      </w:pPr>
      <w:r>
        <w:rPr>
          <w:rFonts w:ascii="Arial" w:cs="Arial" w:eastAsia="Arial" w:hAnsi="Arial"/>
          <w:sz w:val="18"/>
          <w:szCs w:val="18"/>
          <w:color w:val="auto"/>
        </w:rPr>
        <w:t>99.2</w:t>
      </w:r>
      <w:r>
        <w:rPr>
          <w:sz w:val="20"/>
          <w:szCs w:val="20"/>
          <w:color w:val="auto"/>
        </w:rPr>
        <w:tab/>
      </w:r>
      <w:r>
        <w:rPr>
          <w:rFonts w:ascii="Arial" w:cs="Arial" w:eastAsia="Arial" w:hAnsi="Arial"/>
          <w:sz w:val="15"/>
          <w:szCs w:val="15"/>
          <w:color w:val="auto"/>
        </w:rPr>
        <w:t>Press Release dated May 17, 2012</w:t>
      </w:r>
    </w:p>
    <w:p>
      <w:pPr>
        <w:spacing w:after="0" w:line="15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220"/>
          </w:cols>
          <w:pgMar w:left="240" w:top="280" w:right="439"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spacing w:after="0"/>
        <w:rPr>
          <w:sz w:val="20"/>
          <w:szCs w:val="20"/>
          <w:color w:val="auto"/>
        </w:rPr>
      </w:pPr>
      <w:r>
        <w:rPr>
          <w:rFonts w:ascii="Arial" w:cs="Arial" w:eastAsia="Arial" w:hAnsi="Arial"/>
          <w:sz w:val="18"/>
          <w:szCs w:val="18"/>
          <w:color w:val="auto"/>
        </w:rPr>
        <w:t>Dated: May 17, 2012</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10795</wp:posOffset>
            </wp:positionV>
            <wp:extent cx="269303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180"/>
        <w:spacing w:after="0"/>
        <w:rPr>
          <w:sz w:val="20"/>
          <w:szCs w:val="20"/>
          <w:color w:val="auto"/>
        </w:rPr>
      </w:pPr>
      <w:r>
        <w:rPr>
          <w:rFonts w:ascii="Arial" w:cs="Arial" w:eastAsia="Arial" w:hAnsi="Arial"/>
          <w:sz w:val="18"/>
          <w:szCs w:val="18"/>
          <w:i w:val="1"/>
          <w:iCs w:val="1"/>
          <w:color w:val="auto"/>
        </w:rPr>
        <w:t>Chief Financial Officer and Secretary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4" w:right="259" w:bottom="1440" w:gutter="0" w:footer="0" w:header="0"/>
        </w:sectPr>
      </w:pPr>
    </w:p>
    <w:bookmarkStart w:id="5" w:name="page6"/>
    <w:bookmarkEnd w:id="5"/>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15"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1020" w:type="dxa"/>
            <w:vAlign w:val="bottom"/>
          </w:tcPr>
          <w:p>
            <w:pPr>
              <w:ind w:left="20"/>
              <w:spacing w:after="0"/>
              <w:rPr>
                <w:sz w:val="20"/>
                <w:szCs w:val="20"/>
                <w:color w:val="auto"/>
              </w:rPr>
            </w:pPr>
            <w:r>
              <w:rPr>
                <w:rFonts w:ascii="Arial" w:cs="Arial" w:eastAsia="Arial" w:hAnsi="Arial"/>
                <w:sz w:val="14"/>
                <w:szCs w:val="14"/>
                <w:color w:val="auto"/>
              </w:rPr>
              <w:t>Exhibit No.</w:t>
            </w:r>
          </w:p>
        </w:tc>
        <w:tc>
          <w:tcPr>
            <w:tcW w:w="2800" w:type="dxa"/>
            <w:vAlign w:val="bottom"/>
          </w:tcPr>
          <w:p>
            <w:pPr>
              <w:ind w:left="400"/>
              <w:spacing w:after="0"/>
              <w:rPr>
                <w:sz w:val="20"/>
                <w:szCs w:val="20"/>
                <w:color w:val="auto"/>
              </w:rPr>
            </w:pPr>
            <w:r>
              <w:rPr>
                <w:rFonts w:ascii="Arial" w:cs="Arial" w:eastAsia="Arial" w:hAnsi="Arial"/>
                <w:sz w:val="14"/>
                <w:szCs w:val="14"/>
                <w:color w:val="auto"/>
              </w:rPr>
              <w:t>Description</w:t>
            </w:r>
          </w:p>
        </w:tc>
      </w:tr>
      <w:tr>
        <w:trPr>
          <w:trHeight w:val="309"/>
        </w:trPr>
        <w:tc>
          <w:tcPr>
            <w:tcW w:w="1020" w:type="dxa"/>
            <w:vAlign w:val="bottom"/>
          </w:tcPr>
          <w:p>
            <w:pPr>
              <w:spacing w:after="0"/>
              <w:rPr>
                <w:sz w:val="20"/>
                <w:szCs w:val="20"/>
                <w:color w:val="auto"/>
              </w:rPr>
            </w:pPr>
            <w:r>
              <w:rPr>
                <w:rFonts w:ascii="Arial" w:cs="Arial" w:eastAsia="Arial" w:hAnsi="Arial"/>
                <w:sz w:val="18"/>
                <w:szCs w:val="18"/>
                <w:color w:val="auto"/>
              </w:rPr>
              <w:t>99.1</w:t>
            </w:r>
          </w:p>
        </w:tc>
        <w:tc>
          <w:tcPr>
            <w:tcW w:w="2800" w:type="dxa"/>
            <w:vAlign w:val="bottom"/>
          </w:tcPr>
          <w:p>
            <w:pPr>
              <w:ind w:left="400"/>
              <w:spacing w:after="0"/>
              <w:rPr>
                <w:sz w:val="20"/>
                <w:szCs w:val="20"/>
                <w:color w:val="auto"/>
              </w:rPr>
            </w:pPr>
            <w:r>
              <w:rPr>
                <w:rFonts w:ascii="Arial" w:cs="Arial" w:eastAsia="Arial" w:hAnsi="Arial"/>
                <w:sz w:val="18"/>
                <w:szCs w:val="18"/>
                <w:color w:val="auto"/>
                <w:w w:val="84"/>
              </w:rPr>
              <w:t>Press Release dated May 17, 2012</w:t>
            </w:r>
          </w:p>
        </w:tc>
      </w:tr>
      <w:tr>
        <w:trPr>
          <w:trHeight w:val="324"/>
        </w:trPr>
        <w:tc>
          <w:tcPr>
            <w:tcW w:w="1020" w:type="dxa"/>
            <w:vAlign w:val="bottom"/>
          </w:tcPr>
          <w:p>
            <w:pPr>
              <w:spacing w:after="0"/>
              <w:rPr>
                <w:sz w:val="20"/>
                <w:szCs w:val="20"/>
                <w:color w:val="auto"/>
              </w:rPr>
            </w:pPr>
            <w:r>
              <w:rPr>
                <w:rFonts w:ascii="Arial" w:cs="Arial" w:eastAsia="Arial" w:hAnsi="Arial"/>
                <w:sz w:val="18"/>
                <w:szCs w:val="18"/>
                <w:color w:val="auto"/>
              </w:rPr>
              <w:t>99.2</w:t>
            </w:r>
          </w:p>
        </w:tc>
        <w:tc>
          <w:tcPr>
            <w:tcW w:w="2800" w:type="dxa"/>
            <w:vAlign w:val="bottom"/>
          </w:tcPr>
          <w:p>
            <w:pPr>
              <w:ind w:left="400"/>
              <w:spacing w:after="0"/>
              <w:rPr>
                <w:sz w:val="20"/>
                <w:szCs w:val="20"/>
                <w:color w:val="auto"/>
              </w:rPr>
            </w:pPr>
            <w:r>
              <w:rPr>
                <w:rFonts w:ascii="Arial" w:cs="Arial" w:eastAsia="Arial" w:hAnsi="Arial"/>
                <w:sz w:val="18"/>
                <w:szCs w:val="18"/>
                <w:color w:val="auto"/>
                <w:w w:val="84"/>
              </w:rPr>
              <w:t>Press Release dated May 17, 2012</w:t>
            </w:r>
          </w:p>
        </w:tc>
      </w:tr>
    </w:tbl>
    <w:p>
      <w:pPr>
        <w:sectPr>
          <w:pgSz w:w="11900" w:h="16838" w:orient="portrait"/>
          <w:cols w:equalWidth="0" w:num="1">
            <w:col w:w="10219"/>
          </w:cols>
          <w:pgMar w:left="240" w:top="274" w:right="1440" w:bottom="1440" w:gutter="0" w:footer="0" w:header="0"/>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5664835</wp:posOffset>
            </wp:positionH>
            <wp:positionV relativeFrom="paragraph">
              <wp:posOffset>143510</wp:posOffset>
            </wp:positionV>
            <wp:extent cx="1243330" cy="2057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43330" cy="20574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570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3220" w:type="dxa"/>
            <w:vAlign w:val="bottom"/>
          </w:tcPr>
          <w:p>
            <w:pPr>
              <w:spacing w:after="0"/>
              <w:rPr>
                <w:sz w:val="19"/>
                <w:szCs w:val="19"/>
                <w:color w:val="auto"/>
              </w:rPr>
            </w:pPr>
          </w:p>
        </w:tc>
        <w:tc>
          <w:tcPr>
            <w:tcW w:w="1300" w:type="dxa"/>
            <w:vAlign w:val="bottom"/>
          </w:tcPr>
          <w:p>
            <w:pPr>
              <w:spacing w:after="0"/>
              <w:rPr>
                <w:sz w:val="19"/>
                <w:szCs w:val="19"/>
                <w:color w:val="auto"/>
              </w:rPr>
            </w:pPr>
          </w:p>
        </w:tc>
      </w:tr>
      <w:tr>
        <w:trPr>
          <w:trHeight w:val="216"/>
        </w:trPr>
        <w:tc>
          <w:tcPr>
            <w:tcW w:w="570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4520" w:type="dxa"/>
            <w:vAlign w:val="bottom"/>
            <w:gridSpan w:val="2"/>
          </w:tcPr>
          <w:p>
            <w:pPr>
              <w:ind w:left="3220"/>
              <w:spacing w:after="0"/>
              <w:rPr>
                <w:sz w:val="20"/>
                <w:szCs w:val="20"/>
                <w:color w:val="auto"/>
              </w:rPr>
            </w:pPr>
            <w:r>
              <w:rPr>
                <w:rFonts w:ascii="Arial" w:cs="Arial" w:eastAsia="Arial" w:hAnsi="Arial"/>
                <w:sz w:val="18"/>
                <w:szCs w:val="18"/>
                <w:color w:val="auto"/>
              </w:rPr>
              <w:t>Daniel Yoo</w:t>
            </w:r>
          </w:p>
        </w:tc>
      </w:tr>
      <w:tr>
        <w:trPr>
          <w:trHeight w:val="216"/>
        </w:trPr>
        <w:tc>
          <w:tcPr>
            <w:tcW w:w="570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520" w:type="dxa"/>
            <w:vAlign w:val="bottom"/>
            <w:gridSpan w:val="2"/>
          </w:tcPr>
          <w:p>
            <w:pPr>
              <w:ind w:left="3220"/>
              <w:spacing w:after="0"/>
              <w:rPr>
                <w:sz w:val="20"/>
                <w:szCs w:val="20"/>
                <w:color w:val="auto"/>
              </w:rPr>
            </w:pPr>
            <w:r>
              <w:rPr>
                <w:rFonts w:ascii="Arial" w:cs="Arial" w:eastAsia="Arial" w:hAnsi="Arial"/>
                <w:sz w:val="18"/>
                <w:szCs w:val="18"/>
                <w:color w:val="auto"/>
                <w:w w:val="99"/>
              </w:rPr>
              <w:t>Media Relations</w:t>
            </w:r>
          </w:p>
        </w:tc>
      </w:tr>
      <w:tr>
        <w:trPr>
          <w:trHeight w:val="216"/>
        </w:trPr>
        <w:tc>
          <w:tcPr>
            <w:tcW w:w="1440" w:type="dxa"/>
            <w:vAlign w:val="bottom"/>
          </w:tcPr>
          <w:p>
            <w:pPr>
              <w:spacing w:after="0"/>
              <w:rPr>
                <w:sz w:val="20"/>
                <w:szCs w:val="20"/>
                <w:color w:val="auto"/>
              </w:rPr>
            </w:pPr>
            <w:r>
              <w:rPr>
                <w:rFonts w:ascii="Arial" w:cs="Arial" w:eastAsia="Arial" w:hAnsi="Arial"/>
                <w:sz w:val="18"/>
                <w:szCs w:val="18"/>
                <w:color w:val="auto"/>
              </w:rPr>
              <w:t>408-222-8373</w:t>
            </w:r>
          </w:p>
        </w:tc>
        <w:tc>
          <w:tcPr>
            <w:tcW w:w="4260" w:type="dxa"/>
            <w:vAlign w:val="bottom"/>
          </w:tcPr>
          <w:p>
            <w:pPr>
              <w:spacing w:after="0"/>
              <w:rPr>
                <w:sz w:val="18"/>
                <w:szCs w:val="18"/>
                <w:color w:val="auto"/>
              </w:rPr>
            </w:pPr>
          </w:p>
        </w:tc>
        <w:tc>
          <w:tcPr>
            <w:tcW w:w="4520" w:type="dxa"/>
            <w:vAlign w:val="bottom"/>
            <w:gridSpan w:val="2"/>
          </w:tcPr>
          <w:p>
            <w:pPr>
              <w:ind w:left="3220"/>
              <w:spacing w:after="0"/>
              <w:rPr>
                <w:sz w:val="20"/>
                <w:szCs w:val="20"/>
                <w:color w:val="auto"/>
              </w:rPr>
            </w:pPr>
            <w:r>
              <w:rPr>
                <w:rFonts w:ascii="Arial" w:cs="Arial" w:eastAsia="Arial" w:hAnsi="Arial"/>
                <w:sz w:val="18"/>
                <w:szCs w:val="18"/>
                <w:color w:val="auto"/>
              </w:rPr>
              <w:t>408-222-2187</w:t>
            </w:r>
          </w:p>
        </w:tc>
      </w:tr>
      <w:tr>
        <w:trPr>
          <w:trHeight w:val="184"/>
        </w:trPr>
        <w:tc>
          <w:tcPr>
            <w:tcW w:w="144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90"/>
              </w:rPr>
              <w:t>sukhi@marvell.com</w:t>
            </w:r>
          </w:p>
        </w:tc>
        <w:tc>
          <w:tcPr>
            <w:tcW w:w="4260" w:type="dxa"/>
            <w:vAlign w:val="bottom"/>
          </w:tcPr>
          <w:p>
            <w:pPr>
              <w:spacing w:after="0"/>
              <w:rPr>
                <w:sz w:val="15"/>
                <w:szCs w:val="15"/>
                <w:color w:val="auto"/>
              </w:rPr>
            </w:pPr>
          </w:p>
        </w:tc>
        <w:tc>
          <w:tcPr>
            <w:tcW w:w="3220" w:type="dxa"/>
            <w:vAlign w:val="bottom"/>
          </w:tcPr>
          <w:p>
            <w:pPr>
              <w:spacing w:after="0"/>
              <w:rPr>
                <w:sz w:val="15"/>
                <w:szCs w:val="15"/>
                <w:color w:val="auto"/>
              </w:rPr>
            </w:pPr>
          </w:p>
        </w:tc>
        <w:tc>
          <w:tcPr>
            <w:tcW w:w="130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88"/>
              </w:rPr>
              <w:t>yoo@marvell.com</w:t>
            </w:r>
          </w:p>
        </w:tc>
      </w:tr>
    </w:tbl>
    <w:p>
      <w:pPr>
        <w:spacing w:after="0" w:line="323" w:lineRule="exact"/>
        <w:rPr>
          <w:sz w:val="20"/>
          <w:szCs w:val="20"/>
          <w:color w:val="auto"/>
        </w:rPr>
      </w:pPr>
    </w:p>
    <w:p>
      <w:pPr>
        <w:ind w:left="2560"/>
        <w:spacing w:after="0"/>
        <w:rPr>
          <w:sz w:val="20"/>
          <w:szCs w:val="20"/>
          <w:color w:val="auto"/>
        </w:rPr>
      </w:pPr>
      <w:r>
        <w:rPr>
          <w:rFonts w:ascii="Arial" w:cs="Arial" w:eastAsia="Arial" w:hAnsi="Arial"/>
          <w:sz w:val="18"/>
          <w:szCs w:val="18"/>
          <w:b w:val="1"/>
          <w:bCs w:val="1"/>
          <w:color w:val="auto"/>
        </w:rPr>
        <w:t>Marvell Technology Group Ltd. Reports First Fiscal Quarter 2013 Financial Results</w:t>
      </w:r>
    </w:p>
    <w:p>
      <w:pPr>
        <w:spacing w:after="0" w:line="177" w:lineRule="exact"/>
        <w:rPr>
          <w:sz w:val="20"/>
          <w:szCs w:val="20"/>
          <w:color w:val="auto"/>
        </w:rPr>
      </w:pPr>
    </w:p>
    <w:p>
      <w:pPr>
        <w:ind w:left="3720"/>
        <w:spacing w:after="0"/>
        <w:rPr>
          <w:sz w:val="20"/>
          <w:szCs w:val="20"/>
          <w:color w:val="auto"/>
        </w:rPr>
      </w:pPr>
      <w:r>
        <w:rPr>
          <w:rFonts w:ascii="Arial" w:cs="Arial" w:eastAsia="Arial" w:hAnsi="Arial"/>
          <w:sz w:val="18"/>
          <w:szCs w:val="18"/>
          <w:b w:val="1"/>
          <w:bCs w:val="1"/>
          <w:i w:val="1"/>
          <w:iCs w:val="1"/>
          <w:color w:val="auto"/>
        </w:rPr>
        <w:t>Revenue: $796 Million, a 7 percent sequential increase</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GAAP Net Income: $95 Million, EPS of $0.16</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Non-GAAP Net Income: $139 Million, EPS of $0.23</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Free Cash Flow: $178 Million, 22 Percent of Revenue</w:t>
      </w:r>
    </w:p>
    <w:p>
      <w:pPr>
        <w:spacing w:after="0" w:line="159" w:lineRule="exact"/>
        <w:rPr>
          <w:sz w:val="20"/>
          <w:szCs w:val="20"/>
          <w:color w:val="auto"/>
        </w:rPr>
      </w:pPr>
    </w:p>
    <w:p>
      <w:pPr>
        <w:ind w:right="520"/>
        <w:spacing w:after="0" w:line="275" w:lineRule="auto"/>
        <w:rPr>
          <w:sz w:val="20"/>
          <w:szCs w:val="20"/>
          <w:color w:val="auto"/>
        </w:rPr>
      </w:pPr>
      <w:r>
        <w:rPr>
          <w:rFonts w:ascii="Arial" w:cs="Arial" w:eastAsia="Arial" w:hAnsi="Arial"/>
          <w:sz w:val="18"/>
          <w:szCs w:val="18"/>
          <w:b w:val="1"/>
          <w:bCs w:val="1"/>
          <w:color w:val="auto"/>
        </w:rPr>
        <w:t xml:space="preserve">Santa Clara, Calif. (May 17, 2012)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first quarter of fiscal 2013, ended April 28, 2012.</w:t>
      </w:r>
    </w:p>
    <w:p>
      <w:pPr>
        <w:spacing w:after="0" w:line="126" w:lineRule="exact"/>
        <w:rPr>
          <w:sz w:val="20"/>
          <w:szCs w:val="20"/>
          <w:color w:val="auto"/>
        </w:rPr>
      </w:pPr>
    </w:p>
    <w:p>
      <w:pPr>
        <w:ind w:right="620"/>
        <w:spacing w:after="0" w:line="268" w:lineRule="auto"/>
        <w:rPr>
          <w:sz w:val="20"/>
          <w:szCs w:val="20"/>
          <w:color w:val="auto"/>
        </w:rPr>
      </w:pPr>
      <w:r>
        <w:rPr>
          <w:rFonts w:ascii="Arial" w:cs="Arial" w:eastAsia="Arial" w:hAnsi="Arial"/>
          <w:sz w:val="18"/>
          <w:szCs w:val="18"/>
          <w:color w:val="auto"/>
        </w:rPr>
        <w:t>Revenue for the first quarter of fiscal 2013 was $796 million, a 7 percent sequential increase from $743 million in the fourth quarter of fiscal 2012, ended January 28, 2012, and down slightly from $802 million in the first quarter of fiscal 2012, ended April 30, 2011.</w:t>
      </w:r>
    </w:p>
    <w:p>
      <w:pPr>
        <w:spacing w:after="0" w:line="132" w:lineRule="exact"/>
        <w:rPr>
          <w:sz w:val="20"/>
          <w:szCs w:val="20"/>
          <w:color w:val="auto"/>
        </w:rPr>
      </w:pPr>
    </w:p>
    <w:p>
      <w:pPr>
        <w:ind w:right="80"/>
        <w:spacing w:after="0" w:line="332" w:lineRule="auto"/>
        <w:rPr>
          <w:sz w:val="20"/>
          <w:szCs w:val="20"/>
          <w:color w:val="auto"/>
        </w:rPr>
      </w:pPr>
      <w:r>
        <w:rPr>
          <w:rFonts w:ascii="Arial" w:cs="Arial" w:eastAsia="Arial" w:hAnsi="Arial"/>
          <w:sz w:val="16"/>
          <w:szCs w:val="16"/>
          <w:color w:val="auto"/>
        </w:rPr>
        <w:t>GAAP net income for the first quarter of fiscal 2013 was $95 million, or $0.16 per share (diluted), compared with GAAP net income of $81 million, or $0.13 per share (diluted), for the fourth quarter of fiscal 2012, and $147 million, or $0.22 per share (diluted), for the first quarter of fiscal 2012.</w:t>
      </w:r>
    </w:p>
    <w:p>
      <w:pPr>
        <w:spacing w:after="0" w:line="85" w:lineRule="exact"/>
        <w:rPr>
          <w:sz w:val="20"/>
          <w:szCs w:val="20"/>
          <w:color w:val="auto"/>
        </w:rPr>
      </w:pPr>
    </w:p>
    <w:p>
      <w:pPr>
        <w:ind w:right="80"/>
        <w:spacing w:after="0" w:line="332" w:lineRule="auto"/>
        <w:rPr>
          <w:sz w:val="20"/>
          <w:szCs w:val="20"/>
          <w:color w:val="auto"/>
        </w:rPr>
      </w:pPr>
      <w:r>
        <w:rPr>
          <w:rFonts w:ascii="Arial" w:cs="Arial" w:eastAsia="Arial" w:hAnsi="Arial"/>
          <w:sz w:val="16"/>
          <w:szCs w:val="16"/>
          <w:color w:val="auto"/>
        </w:rPr>
        <w:t>Non-GAAP net income was $139 million, or $0.23 per share (diluted), for the first quarter of fiscal 2013, compared with non-GAAP net income of $127 million, or $0.21 per share (diluted) for the fourth quarter of fiscal 2012 and $189 million, or $0.29 per share (diluted) for the first quarter of fiscal 2012.</w:t>
      </w:r>
    </w:p>
    <w:p>
      <w:pPr>
        <w:spacing w:after="0" w:line="85" w:lineRule="exact"/>
        <w:rPr>
          <w:sz w:val="20"/>
          <w:szCs w:val="20"/>
          <w:color w:val="auto"/>
        </w:rPr>
      </w:pPr>
    </w:p>
    <w:p>
      <w:pPr>
        <w:jc w:val="both"/>
        <w:ind w:right="180"/>
        <w:spacing w:after="0" w:line="298" w:lineRule="auto"/>
        <w:rPr>
          <w:sz w:val="20"/>
          <w:szCs w:val="20"/>
          <w:color w:val="auto"/>
        </w:rPr>
      </w:pPr>
      <w:r>
        <w:rPr>
          <w:rFonts w:ascii="Arial" w:cs="Arial" w:eastAsia="Arial" w:hAnsi="Arial"/>
          <w:sz w:val="16"/>
          <w:szCs w:val="16"/>
          <w:color w:val="auto"/>
        </w:rPr>
        <w:t>“Our results in the first quarter were better than anticipated driven in part by our TD smartphone products, which grew about 25% sequentially, and increased deployment of our 500 gigabyte per platter mobile storage solutions to all the hard disk drive manufacturers,” said Dr. Sehat Sutardja, Marvell’s Chairman and Chief Executive Officer. “This financial performance gave us the confidence to increase our share repurchase program by $500 million to a total of $2.5 billion, and based on broad institutional shareholder request, to also initiate a quarterly dividend of 6 cents per share.”</w:t>
      </w:r>
    </w:p>
    <w:p>
      <w:pPr>
        <w:sectPr>
          <w:pgSz w:w="11900" w:h="16838" w:orient="portrait"/>
          <w:cols w:equalWidth="0" w:num="1">
            <w:col w:w="11420"/>
          </w:cols>
          <w:pgMar w:left="240" w:top="125" w:right="239" w:bottom="1440" w:gutter="0" w:footer="0" w:header="0"/>
        </w:sectPr>
      </w:pPr>
    </w:p>
    <w:bookmarkStart w:id="7" w:name="page8"/>
    <w:bookmarkEnd w:id="7"/>
    <w:p>
      <w:pPr>
        <w:ind w:right="20"/>
        <w:spacing w:after="0" w:line="29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reports net income, basic and diluted net income per share, in accordance with U.S. generally accepted accounting principles (GAAP) and on a non-GAAP basis as outlined below. Reconciliations of GAAP net income to non-GAAP net income for the three months ended April 28, 2012, January 28, 2012 and April 30, 2011 appear in the financial statements below. Non-GAAP net income, where applicable, excludes the effect of stock-based compensation, amortization of acquired intangible assets, acquisition-related costs, restructuring costs, and certain one-time expenses and benefits.</w:t>
      </w:r>
    </w:p>
    <w:p>
      <w:pPr>
        <w:spacing w:after="0" w:line="113"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GAAP gross margin for the first quarter of fiscal 2013 was 54.0 percent, compared to 54.1 percent for the fourth quarter of fiscal 2012 and 58.3 percent for the first quarter of fiscal 2012.</w:t>
      </w:r>
    </w:p>
    <w:p>
      <w:pPr>
        <w:spacing w:after="0" w:line="132"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Non-GAAP gross margin for the first quarter of fiscal 2013 was 54.5 percent, compared to 54.5 percent for the fourth quarter of fiscal 2012 and 58.5 percent for the first quarter of fiscal 2012.</w:t>
      </w:r>
    </w:p>
    <w:p>
      <w:pPr>
        <w:spacing w:after="0" w:line="132"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Shares used to compute GAAP net income per diluted share for the first quarter of fiscal 2013 were 595 million shares, compared with 599 million shares in the fourth quarter of fiscal 2012 and 657 million shares in the first quarter of fiscal 2012. Shares used to compute non-GAAP net income per diluted share for the first quarter of fiscal 2013 were 606 million shares, compared with 606 million shares for the fourth quarter of fiscal 2012 and 663 million shares for the first quarter of fiscal 2012.</w:t>
      </w:r>
    </w:p>
    <w:p>
      <w:pPr>
        <w:spacing w:after="0" w:line="143" w:lineRule="exact"/>
        <w:rPr>
          <w:sz w:val="20"/>
          <w:szCs w:val="20"/>
          <w:color w:val="auto"/>
        </w:rPr>
      </w:pPr>
    </w:p>
    <w:p>
      <w:pPr>
        <w:ind w:right="100"/>
        <w:spacing w:after="0" w:line="256" w:lineRule="auto"/>
        <w:rPr>
          <w:sz w:val="20"/>
          <w:szCs w:val="20"/>
          <w:color w:val="auto"/>
        </w:rPr>
      </w:pPr>
      <w:r>
        <w:rPr>
          <w:rFonts w:ascii="Arial" w:cs="Arial" w:eastAsia="Arial" w:hAnsi="Arial"/>
          <w:sz w:val="18"/>
          <w:szCs w:val="18"/>
          <w:color w:val="auto"/>
        </w:rPr>
        <w:t>Cash flow from operations for the first quarter of fiscal 2013 was $199 million, up from the $69 million reported in the fourth quarter of fiscal 2012 and up from the $177 million in the first quarter of fiscal 2012. Free cash flow for the first quarter of fiscal 2013 was $178 million, up from the $38 million reported in the fourth quarter of fiscal 2012 and up from the $157 million in first quarter of fiscal 2012. Free cash flow as presented above is defined as cash flow from operations, less capital expenditures and purchases of IP licenses.</w:t>
      </w:r>
    </w:p>
    <w:p>
      <w:pPr>
        <w:spacing w:after="0" w:line="143"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Under the share repurchase program, Marvell repurchased approximately 15 million shares for a total of $223 million in the first quarter of fiscal 2013. Over the past seven quarters, Marvell has repurchased and retired approximately 107 million shares, or about 16 percent, of its outstanding shares demonstrating its commitment to returning shareholder value.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80" w:right="259" w:bottom="1440" w:gutter="0" w:footer="0" w:header="0"/>
        </w:sectPr>
      </w:pPr>
    </w:p>
    <w:bookmarkStart w:id="8" w:name="page9"/>
    <w:bookmarkEnd w:id="8"/>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also announced today that it had declared the payment of its first quarterly dividend of $0.06 per share to be paid on July 11, 2012 to all shareholders of record as of June 21, 2012. In addition, Marvell announced today that it has authorized an increase of up to an additional $500 million under the existing share repurchase program.</w:t>
      </w:r>
    </w:p>
    <w:p>
      <w:pPr>
        <w:spacing w:after="0" w:line="140"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Marvell intends to effect its repurchase program in accordance with the conditions of Rule 10b-18 under the Securities Exchange Act of 1934, as amended. The repurchase program will be subject to market conditions and other factors and does not obligate Marvell to repurchase any dollar amount or number of its common shares. The program may be extended, modified, suspended or discontinued at any time. The repurchases are expected to be funded from Marvell’s current cash and short-term investments position.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96" w:lineRule="exact"/>
        <w:rPr>
          <w:sz w:val="20"/>
          <w:szCs w:val="20"/>
          <w:color w:val="auto"/>
        </w:rPr>
      </w:pPr>
    </w:p>
    <w:p>
      <w:pPr>
        <w:ind w:right="140"/>
        <w:spacing w:after="0" w:line="306" w:lineRule="auto"/>
        <w:rPr>
          <w:sz w:val="20"/>
          <w:szCs w:val="20"/>
          <w:color w:val="auto"/>
        </w:rPr>
      </w:pPr>
      <w:r>
        <w:rPr>
          <w:rFonts w:ascii="Arial" w:cs="Arial" w:eastAsia="Arial" w:hAnsi="Arial"/>
          <w:sz w:val="16"/>
          <w:szCs w:val="16"/>
          <w:color w:val="auto"/>
        </w:rPr>
        <w:t xml:space="preserve">Marvell will be conducting a conference call on May 17, 2012 at 1:45 p.m. Pacific Time to discuss results for the first quarter of fiscal 2013. Interested parties may join the conference call by dialing </w:t>
      </w:r>
      <w:r>
        <w:rPr>
          <w:rFonts w:ascii="Arial" w:cs="Arial" w:eastAsia="Arial" w:hAnsi="Arial"/>
          <w:sz w:val="16"/>
          <w:szCs w:val="16"/>
          <w:b w:val="1"/>
          <w:bCs w:val="1"/>
          <w:color w:val="auto"/>
        </w:rPr>
        <w:t>1-866-277-1182</w:t>
      </w:r>
      <w:r>
        <w:rPr>
          <w:rFonts w:ascii="Arial" w:cs="Arial" w:eastAsia="Arial" w:hAnsi="Arial"/>
          <w:sz w:val="16"/>
          <w:szCs w:val="16"/>
          <w:color w:val="auto"/>
        </w:rPr>
        <w:t xml:space="preserve"> or </w:t>
      </w:r>
      <w:r>
        <w:rPr>
          <w:rFonts w:ascii="Arial" w:cs="Arial" w:eastAsia="Arial" w:hAnsi="Arial"/>
          <w:sz w:val="16"/>
          <w:szCs w:val="16"/>
          <w:b w:val="1"/>
          <w:bCs w:val="1"/>
          <w:color w:val="auto"/>
        </w:rPr>
        <w:t>1-617-597-5359</w:t>
      </w:r>
      <w:r>
        <w:rPr>
          <w:rFonts w:ascii="Arial" w:cs="Arial" w:eastAsia="Arial" w:hAnsi="Arial"/>
          <w:sz w:val="16"/>
          <w:szCs w:val="16"/>
          <w:color w:val="auto"/>
        </w:rPr>
        <w:t xml:space="preserve">, pass-code </w:t>
      </w:r>
      <w:r>
        <w:rPr>
          <w:rFonts w:ascii="Arial" w:cs="Arial" w:eastAsia="Arial" w:hAnsi="Arial"/>
          <w:sz w:val="16"/>
          <w:szCs w:val="16"/>
          <w:b w:val="1"/>
          <w:bCs w:val="1"/>
          <w:color w:val="auto"/>
        </w:rPr>
        <w:t>50913932</w:t>
      </w:r>
      <w:r>
        <w:rPr>
          <w:rFonts w:ascii="Arial" w:cs="Arial" w:eastAsia="Arial" w:hAnsi="Arial"/>
          <w:sz w:val="16"/>
          <w:szCs w:val="16"/>
          <w:color w:val="auto"/>
        </w:rPr>
        <w:t xml:space="preserve">. The call will be webcast by Thomson Reuters and can be accessed at the Marvell Investor Relations website at </w:t>
      </w:r>
      <w:r>
        <w:rPr>
          <w:rFonts w:ascii="Arial" w:cs="Arial" w:eastAsia="Arial" w:hAnsi="Arial"/>
          <w:sz w:val="16"/>
          <w:szCs w:val="16"/>
          <w:u w:val="single" w:color="auto"/>
          <w:color w:val="auto"/>
        </w:rPr>
        <w:t>http://investor.marvell.com/</w:t>
      </w:r>
      <w:r>
        <w:rPr>
          <w:rFonts w:ascii="Arial" w:cs="Arial" w:eastAsia="Arial" w:hAnsi="Arial"/>
          <w:sz w:val="16"/>
          <w:szCs w:val="16"/>
          <w:color w:val="auto"/>
        </w:rPr>
        <w:t xml:space="preserve"> with a replay available following the call until June 14, 2012.</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240"/>
        <w:spacing w:after="0" w:line="290" w:lineRule="auto"/>
        <w:rPr>
          <w:sz w:val="20"/>
          <w:szCs w:val="20"/>
          <w:color w:val="auto"/>
        </w:rPr>
      </w:pPr>
      <w:r>
        <w:rPr>
          <w:rFonts w:ascii="Arial" w:cs="Arial" w:eastAsia="Arial" w:hAnsi="Arial"/>
          <w:sz w:val="16"/>
          <w:szCs w:val="16"/>
          <w:color w:val="auto"/>
        </w:rPr>
        <w:t>Non-GAAP financial measures exclude the effect of stock-based compensation expense, amortization of acquired intangible assets, acquisition-related costs, restructuring costs, and certain one-time expenses and benefits that are driven primarily by discrete events that management does not consider to be directly related to Marvell’s core operating performance. Non-GAAP net income per share is calculated by dividing non-GAAP net income by non-GAAP weighted average shares outstanding (diluted). For purposes of calculating non-GAAP net income per share (diluted), the GAAP weighted average shares outstanding (diluted) is adjusted to exclude the benefits of stock compensation costs attributable to future services and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pacing w:after="0" w:line="105"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260"/>
          </w:cols>
          <w:pgMar w:left="240" w:top="280" w:right="399" w:bottom="1440" w:gutter="0" w:footer="0" w:header="0"/>
        </w:sectPr>
      </w:pPr>
    </w:p>
    <w:bookmarkStart w:id="9" w:name="page10"/>
    <w:bookmarkEnd w:id="9"/>
    <w:p>
      <w:pPr>
        <w:ind w:right="40"/>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Marvell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80" w:right="279" w:bottom="1440" w:gutter="0" w:footer="0" w:header="0"/>
        </w:sectPr>
      </w:pPr>
    </w:p>
    <w:bookmarkStart w:id="10" w:name="page11"/>
    <w:bookmarkEnd w:id="10"/>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 under the Private Securities Litigation Reform Act of 1995</w:t>
      </w:r>
    </w:p>
    <w:p>
      <w:pPr>
        <w:spacing w:after="0" w:line="96"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confidence in our growth prospects; relating to the declaration of, timing of, funding of and quarterly amount of dividends; Marvell’s ability to generate free cash flow; the types of transactions pursuant to which repurchases will be made under the share repurchase program; Marvell’s ability to fund share repurchases out of its current cash position; and statements concerning Marvell’s use of non-GAAP net income and net income per share as important supplemental information. These statements are not guarantees of results and should not be considered as an indication of future activity or future performance. Actual events or results may differ materially from those described in this document due to a number of risks and uncertainties, including, among others, Marvell’s reliance on a few customers for a significant portion of its revenue; Marvell’s ability to develop and introduce new and enhanced products in a timely and cost effective manner; uncertainty in the worldwide economic environment; seasonality in sales of consumer devices in which our products are incorporated; Marvell’s ability to compete in products and prices in an intensely competitive industry; Marvell’s ability to recruit and retain skilled personnel; ability to generate cash flows; substantial costs of current and any future litigation; and other risks detailed in Marvell’s SEC filings from time to time. When Marvell files its Form 10-Q for the quarter ended April 28, 2012, the financial statements may differ from the results disclosed in this press release because judgments and estimates that management used in preparing the financial results reported in this press release may need to be updated to the date of the filing. For other factors that could cause Marvell’s results to vary from expectations, please see the risk factors identified in the Marvell’s latest Annual Report on Form 10-K for the year ended January 28, 2012, as filed with the SEC and other factors detailed from time to time in Marvell’s filings with the SEC. Marvell undertakes no obligation to revise or update publicly any forward-looking statements.</w:t>
      </w:r>
    </w:p>
    <w:p>
      <w:pPr>
        <w:spacing w:after="0" w:line="34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1"/>
          <w:szCs w:val="11"/>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4" w:right="259" w:bottom="1440" w:gutter="0" w:footer="0" w:header="0"/>
        </w:sectPr>
      </w:pPr>
    </w:p>
    <w:bookmarkStart w:id="11" w:name="page12"/>
    <w:bookmarkEnd w:id="11"/>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3820"/>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140" w:type="dxa"/>
            <w:vAlign w:val="bottom"/>
          </w:tcPr>
          <w:p>
            <w:pPr>
              <w:spacing w:after="0"/>
              <w:rPr>
                <w:sz w:val="14"/>
                <w:szCs w:val="14"/>
                <w:color w:val="auto"/>
              </w:rPr>
            </w:pPr>
          </w:p>
        </w:tc>
        <w:tc>
          <w:tcPr>
            <w:tcW w:w="2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280" w:type="dxa"/>
            <w:vAlign w:val="bottom"/>
            <w:tcBorders>
              <w:bottom w:val="single" w:sz="8" w:color="auto"/>
            </w:tcBorders>
            <w:gridSpan w:val="4"/>
          </w:tcPr>
          <w:p>
            <w:pPr>
              <w:jc w:val="right"/>
              <w:ind w:right="40"/>
              <w:spacing w:after="0"/>
              <w:rPr>
                <w:sz w:val="20"/>
                <w:szCs w:val="20"/>
                <w:color w:val="auto"/>
              </w:rPr>
            </w:pPr>
            <w:r>
              <w:rPr>
                <w:rFonts w:ascii="Arial" w:cs="Arial" w:eastAsia="Arial" w:hAnsi="Arial"/>
                <w:sz w:val="14"/>
                <w:szCs w:val="14"/>
                <w:b w:val="1"/>
                <w:bCs w:val="1"/>
                <w:color w:val="auto"/>
                <w:w w:val="88"/>
              </w:rPr>
              <w:t>Three Months Ended</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14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700" w:type="dxa"/>
            <w:vAlign w:val="bottom"/>
            <w:gridSpan w:val="3"/>
          </w:tcPr>
          <w:p>
            <w:pPr>
              <w:ind w:left="80"/>
              <w:spacing w:after="0" w:line="129" w:lineRule="exact"/>
              <w:rPr>
                <w:sz w:val="20"/>
                <w:szCs w:val="20"/>
                <w:color w:val="auto"/>
              </w:rPr>
            </w:pPr>
            <w:r>
              <w:rPr>
                <w:rFonts w:ascii="Arial" w:cs="Arial" w:eastAsia="Arial" w:hAnsi="Arial"/>
                <w:sz w:val="14"/>
                <w:szCs w:val="14"/>
                <w:b w:val="1"/>
                <w:bCs w:val="1"/>
                <w:color w:val="auto"/>
              </w:rPr>
              <w:t>April 28,</w:t>
            </w:r>
          </w:p>
        </w:tc>
        <w:tc>
          <w:tcPr>
            <w:tcW w:w="280" w:type="dxa"/>
            <w:vAlign w:val="bottom"/>
          </w:tcPr>
          <w:p>
            <w:pPr>
              <w:spacing w:after="0"/>
              <w:rPr>
                <w:sz w:val="11"/>
                <w:szCs w:val="11"/>
                <w:color w:val="auto"/>
              </w:rPr>
            </w:pPr>
          </w:p>
        </w:tc>
        <w:tc>
          <w:tcPr>
            <w:tcW w:w="10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20" w:type="dxa"/>
            <w:vAlign w:val="bottom"/>
          </w:tcPr>
          <w:p>
            <w:pPr>
              <w:spacing w:after="0"/>
              <w:rPr>
                <w:sz w:val="11"/>
                <w:szCs w:val="11"/>
                <w:color w:val="auto"/>
              </w:rPr>
            </w:pPr>
          </w:p>
        </w:tc>
        <w:tc>
          <w:tcPr>
            <w:tcW w:w="680" w:type="dxa"/>
            <w:vAlign w:val="bottom"/>
            <w:gridSpan w:val="2"/>
          </w:tcPr>
          <w:p>
            <w:pPr>
              <w:jc w:val="right"/>
              <w:ind w:right="13"/>
              <w:spacing w:after="0" w:line="129" w:lineRule="exact"/>
              <w:rPr>
                <w:sz w:val="20"/>
                <w:szCs w:val="20"/>
                <w:color w:val="auto"/>
              </w:rPr>
            </w:pPr>
            <w:r>
              <w:rPr>
                <w:rFonts w:ascii="Arial" w:cs="Arial" w:eastAsia="Arial" w:hAnsi="Arial"/>
                <w:sz w:val="14"/>
                <w:szCs w:val="14"/>
                <w:b w:val="1"/>
                <w:bCs w:val="1"/>
                <w:color w:val="auto"/>
              </w:rPr>
              <w:t>April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140" w:type="dxa"/>
            <w:vAlign w:val="bottom"/>
            <w:tcBorders>
              <w:bottom w:val="single" w:sz="8" w:color="CCEEFF"/>
            </w:tcBorders>
          </w:tcPr>
          <w:p>
            <w:pPr>
              <w:spacing w:after="0"/>
              <w:rPr>
                <w:sz w:val="14"/>
                <w:szCs w:val="14"/>
                <w:color w:val="auto"/>
              </w:rPr>
            </w:pPr>
          </w:p>
        </w:tc>
        <w:tc>
          <w:tcPr>
            <w:tcW w:w="2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2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2012</w:t>
            </w:r>
          </w:p>
        </w:tc>
        <w:tc>
          <w:tcPr>
            <w:tcW w:w="3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2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796,351</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742,701</w:t>
            </w: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802,402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140" w:type="dxa"/>
            <w:vAlign w:val="bottom"/>
          </w:tcPr>
          <w:p>
            <w:pPr>
              <w:spacing w:after="0"/>
              <w:rPr>
                <w:sz w:val="20"/>
                <w:szCs w:val="20"/>
                <w:color w:val="auto"/>
              </w:rPr>
            </w:pPr>
            <w:r>
              <w:rPr>
                <w:rFonts w:ascii="Arial" w:cs="Arial" w:eastAsia="Arial" w:hAnsi="Arial"/>
                <w:sz w:val="18"/>
                <w:szCs w:val="18"/>
                <w:color w:val="auto"/>
              </w:rPr>
              <w:t>Cost of goods sold</w:t>
            </w:r>
          </w:p>
        </w:tc>
        <w:tc>
          <w:tcPr>
            <w:tcW w:w="2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366,322</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341,113</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334,475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2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6"/>
              </w:rPr>
              <w:t>430,029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9"/>
              </w:rPr>
              <w:t>401,588</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467,927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spacing w:after="0"/>
              <w:rPr>
                <w:sz w:val="20"/>
                <w:szCs w:val="20"/>
                <w:color w:val="auto"/>
              </w:rPr>
            </w:pPr>
            <w:r>
              <w:rPr>
                <w:rFonts w:ascii="Arial" w:cs="Arial" w:eastAsia="Arial" w:hAnsi="Arial"/>
                <w:sz w:val="18"/>
                <w:szCs w:val="18"/>
                <w:color w:val="auto"/>
              </w:rPr>
              <w:t>Operating expenses:</w:t>
            </w:r>
          </w:p>
        </w:tc>
        <w:tc>
          <w:tcPr>
            <w:tcW w:w="2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2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6"/>
              </w:rPr>
              <w:t>255,970</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9"/>
              </w:rPr>
              <w:t>255,282</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242,537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2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40,066</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40,392</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38,152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2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25,705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23,184</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24,784</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14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2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14,355</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12,723</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14,341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2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336,096</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331,581</w:t>
            </w: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319,814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616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2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93,933</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70,007</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148,113</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2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1,057</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5,338</w:t>
            </w: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(218)</w:t>
            </w:r>
          </w:p>
        </w:tc>
        <w:tc>
          <w:tcPr>
            <w:tcW w:w="0" w:type="dxa"/>
            <w:vAlign w:val="bottom"/>
          </w:tcPr>
          <w:p>
            <w:pPr>
              <w:spacing w:after="0"/>
              <w:rPr>
                <w:sz w:val="1"/>
                <w:szCs w:val="1"/>
                <w:color w:val="auto"/>
              </w:rPr>
            </w:pPr>
          </w:p>
        </w:tc>
      </w:tr>
      <w:tr>
        <w:trPr>
          <w:trHeight w:val="221"/>
        </w:trPr>
        <w:tc>
          <w:tcPr>
            <w:tcW w:w="616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24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94,990</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75,345</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147,895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2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447</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(5,372)</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1,034</w:t>
            </w:r>
          </w:p>
        </w:tc>
        <w:tc>
          <w:tcPr>
            <w:tcW w:w="0" w:type="dxa"/>
            <w:vAlign w:val="bottom"/>
          </w:tcPr>
          <w:p>
            <w:pPr>
              <w:spacing w:after="0"/>
              <w:rPr>
                <w:sz w:val="1"/>
                <w:szCs w:val="1"/>
                <w:color w:val="auto"/>
              </w:rPr>
            </w:pPr>
          </w:p>
        </w:tc>
      </w:tr>
      <w:tr>
        <w:trPr>
          <w:trHeight w:val="20"/>
        </w:trPr>
        <w:tc>
          <w:tcPr>
            <w:tcW w:w="6160" w:type="dxa"/>
            <w:vAlign w:val="bottom"/>
            <w:gridSpan w:val="2"/>
            <w:vMerge w:val="restart"/>
          </w:tcPr>
          <w:p>
            <w:pPr>
              <w:spacing w:after="0"/>
              <w:rPr>
                <w:sz w:val="20"/>
                <w:szCs w:val="20"/>
                <w:color w:val="auto"/>
              </w:rPr>
            </w:pPr>
            <w:r>
              <w:rPr>
                <w:rFonts w:ascii="Arial" w:cs="Arial" w:eastAsia="Arial" w:hAnsi="Arial"/>
                <w:sz w:val="18"/>
                <w:szCs w:val="18"/>
                <w:color w:val="auto"/>
              </w:rPr>
              <w:t>Net income</w:t>
            </w:r>
          </w:p>
        </w:tc>
        <w:tc>
          <w:tcPr>
            <w:tcW w:w="2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160" w:type="dxa"/>
            <w:vAlign w:val="bottom"/>
            <w:gridSpan w:val="2"/>
            <w:vMerge w:val="continue"/>
          </w:tcPr>
          <w:p>
            <w:pPr>
              <w:spacing w:after="0"/>
              <w:rPr>
                <w:sz w:val="19"/>
                <w:szCs w:val="19"/>
                <w:color w:val="auto"/>
              </w:rPr>
            </w:pPr>
          </w:p>
        </w:tc>
        <w:tc>
          <w:tcPr>
            <w:tcW w:w="2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94,543</w:t>
            </w:r>
          </w:p>
        </w:tc>
        <w:tc>
          <w:tcPr>
            <w:tcW w:w="380" w:type="dxa"/>
            <w:vAlign w:val="bottom"/>
            <w:gridSpan w:val="2"/>
          </w:tcPr>
          <w:p>
            <w:pPr>
              <w:ind w:left="280"/>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80,717</w:t>
            </w:r>
          </w:p>
        </w:tc>
        <w:tc>
          <w:tcPr>
            <w:tcW w:w="120" w:type="dxa"/>
            <w:vAlign w:val="bottom"/>
            <w:gridSpan w:val="2"/>
          </w:tcPr>
          <w:p>
            <w:pPr>
              <w:jc w:val="right"/>
              <w:spacing w:after="0"/>
              <w:rPr>
                <w:sz w:val="20"/>
                <w:szCs w:val="20"/>
                <w:color w:val="auto"/>
              </w:rPr>
            </w:pPr>
            <w:r>
              <w:rPr>
                <w:rFonts w:ascii="Arial" w:cs="Arial" w:eastAsia="Arial" w:hAnsi="Arial"/>
                <w:sz w:val="18"/>
                <w:szCs w:val="18"/>
                <w:u w:val="single" w:color="auto"/>
                <w:color w:val="auto"/>
                <w:w w:val="79"/>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146,861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40" w:type="dxa"/>
            <w:vAlign w:val="bottom"/>
          </w:tcPr>
          <w:p>
            <w:pPr>
              <w:spacing w:after="0" w:line="20" w:lineRule="exact"/>
              <w:rPr>
                <w:sz w:val="1"/>
                <w:szCs w:val="1"/>
                <w:color w:val="auto"/>
              </w:rPr>
            </w:pPr>
          </w:p>
        </w:tc>
        <w:tc>
          <w:tcPr>
            <w:tcW w:w="2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2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0.16</w:t>
            </w:r>
          </w:p>
        </w:tc>
        <w:tc>
          <w:tcPr>
            <w:tcW w:w="38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0.14</w:t>
            </w: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0"/>
        </w:trPr>
        <w:tc>
          <w:tcPr>
            <w:tcW w:w="616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2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160" w:type="dxa"/>
            <w:vAlign w:val="bottom"/>
            <w:gridSpan w:val="2"/>
            <w:vMerge w:val="continue"/>
          </w:tcPr>
          <w:p>
            <w:pPr>
              <w:spacing w:after="0"/>
              <w:rPr>
                <w:sz w:val="18"/>
                <w:szCs w:val="18"/>
                <w:color w:val="auto"/>
              </w:rPr>
            </w:pPr>
          </w:p>
        </w:tc>
        <w:tc>
          <w:tcPr>
            <w:tcW w:w="2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0.16</w:t>
            </w:r>
          </w:p>
        </w:tc>
        <w:tc>
          <w:tcPr>
            <w:tcW w:w="380" w:type="dxa"/>
            <w:vAlign w:val="bottom"/>
            <w:gridSpan w:val="2"/>
          </w:tcPr>
          <w:p>
            <w:pPr>
              <w:ind w:left="280"/>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0.13</w:t>
            </w:r>
          </w:p>
        </w:tc>
        <w:tc>
          <w:tcPr>
            <w:tcW w:w="12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0.22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40" w:type="dxa"/>
            <w:vAlign w:val="bottom"/>
          </w:tcPr>
          <w:p>
            <w:pPr>
              <w:spacing w:after="0" w:line="20" w:lineRule="exact"/>
              <w:rPr>
                <w:sz w:val="1"/>
                <w:szCs w:val="1"/>
                <w:color w:val="auto"/>
              </w:rPr>
            </w:pPr>
          </w:p>
        </w:tc>
        <w:tc>
          <w:tcPr>
            <w:tcW w:w="2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2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6"/>
              </w:rPr>
              <w:t>580,024</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9"/>
              </w:rPr>
              <w:t>583,466</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638,946</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14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2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594,739</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w w:val="89"/>
              </w:rPr>
              <w:t>599,300</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657,140</w:t>
            </w: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2" w:name="page13"/>
    <w:bookmarkEnd w:id="12"/>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4120"/>
        <w:spacing w:after="0"/>
        <w:rPr>
          <w:sz w:val="20"/>
          <w:szCs w:val="20"/>
          <w:color w:val="auto"/>
        </w:rPr>
      </w:pPr>
      <w:r>
        <w:rPr>
          <w:rFonts w:ascii="Arial" w:cs="Arial" w:eastAsia="Arial" w:hAnsi="Arial"/>
          <w:sz w:val="18"/>
          <w:szCs w:val="18"/>
          <w:b w:val="1"/>
          <w:bCs w:val="1"/>
          <w:color w:val="auto"/>
        </w:rPr>
        <w:t>Reconciliations from GAAP to Non-GAAP</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74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520" w:type="dxa"/>
            <w:vAlign w:val="bottom"/>
            <w:tcBorders>
              <w:bottom w:val="single" w:sz="8" w:color="auto"/>
            </w:tcBorders>
            <w:gridSpan w:val="4"/>
          </w:tcPr>
          <w:p>
            <w:pPr>
              <w:jc w:val="center"/>
              <w:ind w:right="180"/>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74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860" w:type="dxa"/>
            <w:vAlign w:val="bottom"/>
            <w:gridSpan w:val="3"/>
          </w:tcPr>
          <w:p>
            <w:pPr>
              <w:jc w:val="right"/>
              <w:ind w:right="280"/>
              <w:spacing w:after="0" w:line="129" w:lineRule="exact"/>
              <w:rPr>
                <w:sz w:val="20"/>
                <w:szCs w:val="20"/>
                <w:color w:val="auto"/>
              </w:rPr>
            </w:pPr>
            <w:r>
              <w:rPr>
                <w:rFonts w:ascii="Arial" w:cs="Arial" w:eastAsia="Arial" w:hAnsi="Arial"/>
                <w:sz w:val="14"/>
                <w:szCs w:val="14"/>
                <w:b w:val="1"/>
                <w:bCs w:val="1"/>
                <w:color w:val="auto"/>
              </w:rPr>
              <w:t>April 28,</w:t>
            </w:r>
          </w:p>
        </w:tc>
        <w:tc>
          <w:tcPr>
            <w:tcW w:w="320" w:type="dxa"/>
            <w:vAlign w:val="bottom"/>
          </w:tcPr>
          <w:p>
            <w:pPr>
              <w:spacing w:after="0"/>
              <w:rPr>
                <w:sz w:val="11"/>
                <w:szCs w:val="11"/>
                <w:color w:val="auto"/>
              </w:rPr>
            </w:pPr>
          </w:p>
        </w:tc>
        <w:tc>
          <w:tcPr>
            <w:tcW w:w="12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68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rPr>
              <w:t>April 30,</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740" w:type="dxa"/>
            <w:vAlign w:val="bottom"/>
            <w:tcBorders>
              <w:bottom w:val="single" w:sz="8" w:color="CCEEFF"/>
            </w:tcBorders>
          </w:tcPr>
          <w:p>
            <w:pPr>
              <w:spacing w:after="0"/>
              <w:rPr>
                <w:sz w:val="14"/>
                <w:szCs w:val="14"/>
                <w:color w:val="auto"/>
              </w:rPr>
            </w:pPr>
          </w:p>
        </w:tc>
        <w:tc>
          <w:tcPr>
            <w:tcW w:w="2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20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5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2011</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vMerge w:val="restart"/>
          </w:tcPr>
          <w:p>
            <w:pPr>
              <w:spacing w:after="0"/>
              <w:rPr>
                <w:sz w:val="11"/>
                <w:szCs w:val="11"/>
                <w:color w:val="auto"/>
              </w:rPr>
            </w:pPr>
          </w:p>
        </w:tc>
        <w:tc>
          <w:tcPr>
            <w:tcW w:w="5740" w:type="dxa"/>
            <w:vAlign w:val="bottom"/>
            <w:shd w:val="clear" w:color="auto" w:fill="CCEEFF"/>
          </w:tcPr>
          <w:p>
            <w:pPr>
              <w:spacing w:after="0"/>
              <w:rPr>
                <w:sz w:val="11"/>
                <w:szCs w:val="11"/>
                <w:color w:val="auto"/>
              </w:rPr>
            </w:pPr>
          </w:p>
        </w:tc>
        <w:tc>
          <w:tcPr>
            <w:tcW w:w="24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3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tcPr>
          <w:p>
            <w:pPr>
              <w:spacing w:after="0"/>
              <w:rPr>
                <w:sz w:val="20"/>
                <w:szCs w:val="20"/>
                <w:color w:val="auto"/>
              </w:rPr>
            </w:pPr>
            <w:r>
              <w:rPr>
                <w:rFonts w:ascii="Arial" w:cs="Arial" w:eastAsia="Arial" w:hAnsi="Arial"/>
                <w:sz w:val="18"/>
                <w:szCs w:val="18"/>
                <w:color w:val="auto"/>
              </w:rPr>
              <w:t>GAAP net income</w:t>
            </w: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94,543</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80,717</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146,861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Stock-based compensation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27,192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31,417</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27,480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spacing w:after="0"/>
              <w:rPr>
                <w:sz w:val="20"/>
                <w:szCs w:val="20"/>
                <w:color w:val="auto"/>
              </w:rPr>
            </w:pPr>
            <w:r>
              <w:rPr>
                <w:rFonts w:ascii="Arial" w:cs="Arial" w:eastAsia="Arial" w:hAnsi="Arial"/>
                <w:sz w:val="18"/>
                <w:szCs w:val="18"/>
                <w:color w:val="auto"/>
              </w:rPr>
              <w:t>Amortization of acquired intangible assets</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14,355</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12,723</w:t>
            </w: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14,341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2,456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1,961</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spacing w:after="0"/>
              <w:rPr>
                <w:sz w:val="20"/>
                <w:szCs w:val="20"/>
                <w:color w:val="auto"/>
              </w:rPr>
            </w:pPr>
            <w:r>
              <w:rPr>
                <w:rFonts w:ascii="Arial" w:cs="Arial" w:eastAsia="Arial" w:hAnsi="Arial"/>
                <w:sz w:val="18"/>
                <w:szCs w:val="18"/>
                <w:color w:val="auto"/>
              </w:rPr>
              <w:t>Restructuring</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115</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565</w:t>
            </w: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619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(750)</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Non-GAAP net income</w:t>
            </w:r>
          </w:p>
        </w:tc>
        <w:tc>
          <w:tcPr>
            <w:tcW w:w="24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760" w:type="dxa"/>
            <w:vAlign w:val="bottom"/>
            <w:gridSpan w:val="2"/>
            <w:vMerge w:val="continue"/>
          </w:tcPr>
          <w:p>
            <w:pPr>
              <w:spacing w:after="0"/>
              <w:rPr>
                <w:sz w:val="19"/>
                <w:szCs w:val="19"/>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138,661</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w w:val="86"/>
              </w:rPr>
              <w:t>126,633</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189,301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GAAP weighted average shares - diluted</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594,739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599,300</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657,140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Non-GAAP adjustment</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10,814</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6,397</w:t>
            </w: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5,808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740" w:type="dxa"/>
            <w:vAlign w:val="bottom"/>
          </w:tcPr>
          <w:p>
            <w:pPr>
              <w:spacing w:after="0"/>
              <w:rPr>
                <w:sz w:val="2"/>
                <w:szCs w:val="2"/>
                <w:color w:val="auto"/>
              </w:rPr>
            </w:pPr>
          </w:p>
        </w:tc>
        <w:tc>
          <w:tcPr>
            <w:tcW w:w="2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(c)</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605,553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605,697</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662,948</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GAAP diluted net income per share</w:t>
            </w: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60" w:type="dxa"/>
            <w:vAlign w:val="bottom"/>
            <w:gridSpan w:val="2"/>
            <w:vMerge w:val="continue"/>
          </w:tcPr>
          <w:p>
            <w:pPr>
              <w:spacing w:after="0"/>
              <w:rPr>
                <w:sz w:val="18"/>
                <w:szCs w:val="18"/>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0.16</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0.13</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0.22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net income per share</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0.23</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0.21</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0.29</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GAAP gross profit:</w:t>
            </w: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60" w:type="dxa"/>
            <w:vAlign w:val="bottom"/>
            <w:gridSpan w:val="2"/>
            <w:vMerge w:val="continue"/>
          </w:tcPr>
          <w:p>
            <w:pPr>
              <w:spacing w:after="0"/>
              <w:rPr>
                <w:sz w:val="18"/>
                <w:szCs w:val="18"/>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430,029</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w w:val="86"/>
              </w:rPr>
              <w:t>401,588</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467,927</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2,123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1,444</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1,695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1,929</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1,457</w:t>
            </w:r>
          </w:p>
        </w:tc>
        <w:tc>
          <w:tcPr>
            <w:tcW w:w="100" w:type="dxa"/>
            <w:vAlign w:val="bottom"/>
          </w:tcPr>
          <w:p>
            <w:pPr>
              <w:spacing w:after="0"/>
              <w:rPr>
                <w:sz w:val="18"/>
                <w:szCs w:val="18"/>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740" w:type="dxa"/>
            <w:vAlign w:val="bottom"/>
          </w:tcPr>
          <w:p>
            <w:pPr>
              <w:spacing w:after="0"/>
              <w:rPr>
                <w:sz w:val="2"/>
                <w:szCs w:val="2"/>
                <w:color w:val="auto"/>
              </w:rPr>
            </w:pPr>
          </w:p>
        </w:tc>
        <w:tc>
          <w:tcPr>
            <w:tcW w:w="2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Non-GAAP gross profit</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434,081</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404,489</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469,622</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GAAP gross margin</w:t>
            </w: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60" w:type="dxa"/>
            <w:vAlign w:val="bottom"/>
            <w:gridSpan w:val="2"/>
            <w:vMerge w:val="continue"/>
          </w:tcPr>
          <w:p>
            <w:pPr>
              <w:spacing w:after="0"/>
              <w:rPr>
                <w:sz w:val="18"/>
                <w:szCs w:val="18"/>
                <w:color w:val="auto"/>
              </w:rPr>
            </w:pP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54.0%</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60"/>
              <w:spacing w:after="0"/>
              <w:rPr>
                <w:sz w:val="20"/>
                <w:szCs w:val="20"/>
                <w:color w:val="auto"/>
              </w:rPr>
            </w:pPr>
            <w:r>
              <w:rPr>
                <w:rFonts w:ascii="Arial" w:cs="Arial" w:eastAsia="Arial" w:hAnsi="Arial"/>
                <w:sz w:val="18"/>
                <w:szCs w:val="18"/>
                <w:color w:val="auto"/>
              </w:rPr>
              <w:t>54.1%</w:t>
            </w: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58.3%</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0.2%</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60"/>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8"/>
                <w:szCs w:val="18"/>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740" w:type="dxa"/>
            <w:vAlign w:val="bottom"/>
          </w:tcPr>
          <w:p>
            <w:pPr>
              <w:spacing w:after="0"/>
              <w:rPr>
                <w:sz w:val="2"/>
                <w:szCs w:val="2"/>
                <w:color w:val="auto"/>
              </w:rPr>
            </w:pPr>
          </w:p>
        </w:tc>
        <w:tc>
          <w:tcPr>
            <w:tcW w:w="2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Non-GAAP gross margin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54.5%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54.5%</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58.5%</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GAAP research and development:</w:t>
            </w: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60" w:type="dxa"/>
            <w:vAlign w:val="bottom"/>
            <w:gridSpan w:val="2"/>
            <w:vMerge w:val="continue"/>
          </w:tcPr>
          <w:p>
            <w:pPr>
              <w:spacing w:after="0"/>
              <w:rPr>
                <w:sz w:val="18"/>
                <w:szCs w:val="18"/>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255,970</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w w:val="86"/>
              </w:rPr>
              <w:t>255,282</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242,537</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2"/>
              </w:rPr>
              <w:t>(17,174)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92"/>
              </w:rPr>
              <w:t>(22,298)</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2"/>
              </w:rPr>
              <w:t>(19,593)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(442)</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60"/>
              <w:spacing w:after="0"/>
              <w:rPr>
                <w:sz w:val="20"/>
                <w:szCs w:val="20"/>
                <w:color w:val="auto"/>
              </w:rPr>
            </w:pPr>
            <w:r>
              <w:rPr>
                <w:rFonts w:ascii="Arial" w:cs="Arial" w:eastAsia="Arial" w:hAnsi="Arial"/>
                <w:sz w:val="18"/>
                <w:szCs w:val="18"/>
                <w:color w:val="auto"/>
              </w:rPr>
              <w:t>(279)</w:t>
            </w:r>
          </w:p>
        </w:tc>
        <w:tc>
          <w:tcPr>
            <w:tcW w:w="100" w:type="dxa"/>
            <w:vAlign w:val="bottom"/>
          </w:tcPr>
          <w:p>
            <w:pPr>
              <w:spacing w:after="0"/>
              <w:rPr>
                <w:sz w:val="18"/>
                <w:szCs w:val="18"/>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(420)</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(168)</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Non-GAAP research and development</w:t>
            </w:r>
          </w:p>
        </w:tc>
        <w:tc>
          <w:tcPr>
            <w:tcW w:w="24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760" w:type="dxa"/>
            <w:vAlign w:val="bottom"/>
            <w:gridSpan w:val="2"/>
            <w:vMerge w:val="continue"/>
          </w:tcPr>
          <w:p>
            <w:pPr>
              <w:spacing w:after="0"/>
              <w:rPr>
                <w:sz w:val="19"/>
                <w:szCs w:val="19"/>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238,352</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w w:val="86"/>
              </w:rPr>
              <w:t>232,285</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222,776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GAAP selling and marketing:</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40,066</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40,392</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38,152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(3,036)</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60"/>
              <w:spacing w:after="0"/>
              <w:rPr>
                <w:sz w:val="20"/>
                <w:szCs w:val="20"/>
                <w:color w:val="auto"/>
              </w:rPr>
            </w:pPr>
            <w:r>
              <w:rPr>
                <w:rFonts w:ascii="Arial" w:cs="Arial" w:eastAsia="Arial" w:hAnsi="Arial"/>
                <w:sz w:val="18"/>
                <w:szCs w:val="18"/>
                <w:color w:val="auto"/>
              </w:rPr>
              <w:t>(3,657)</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(2,654)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(40)</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7</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60"/>
              <w:spacing w:after="0"/>
              <w:rPr>
                <w:sz w:val="20"/>
                <w:szCs w:val="20"/>
                <w:color w:val="auto"/>
              </w:rPr>
            </w:pPr>
            <w:r>
              <w:rPr>
                <w:rFonts w:ascii="Arial" w:cs="Arial" w:eastAsia="Arial" w:hAnsi="Arial"/>
                <w:sz w:val="18"/>
                <w:szCs w:val="18"/>
                <w:color w:val="auto"/>
              </w:rPr>
              <w:t>(8)</w:t>
            </w:r>
          </w:p>
        </w:tc>
        <w:tc>
          <w:tcPr>
            <w:tcW w:w="100" w:type="dxa"/>
            <w:vAlign w:val="bottom"/>
          </w:tcPr>
          <w:p>
            <w:pPr>
              <w:spacing w:after="0"/>
              <w:rPr>
                <w:sz w:val="18"/>
                <w:szCs w:val="18"/>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740" w:type="dxa"/>
            <w:vAlign w:val="bottom"/>
          </w:tcPr>
          <w:p>
            <w:pPr>
              <w:spacing w:after="0"/>
              <w:rPr>
                <w:sz w:val="2"/>
                <w:szCs w:val="2"/>
                <w:color w:val="auto"/>
              </w:rPr>
            </w:pPr>
          </w:p>
        </w:tc>
        <w:tc>
          <w:tcPr>
            <w:tcW w:w="2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Non-GAAP selling and marketing</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36,991</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36,687</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35,498</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GAAP general and administrative:</w:t>
            </w: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60" w:type="dxa"/>
            <w:vAlign w:val="bottom"/>
            <w:gridSpan w:val="2"/>
            <w:vMerge w:val="continue"/>
          </w:tcPr>
          <w:p>
            <w:pPr>
              <w:spacing w:after="0"/>
              <w:rPr>
                <w:sz w:val="18"/>
                <w:szCs w:val="18"/>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25,705</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23,184</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24,784</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(4,859)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(4,018)</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(3,538)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(39)</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60"/>
              <w:spacing w:after="0"/>
              <w:rPr>
                <w:sz w:val="20"/>
                <w:szCs w:val="20"/>
                <w:color w:val="auto"/>
              </w:rPr>
            </w:pPr>
            <w:r>
              <w:rPr>
                <w:rFonts w:ascii="Arial" w:cs="Arial" w:eastAsia="Arial" w:hAnsi="Arial"/>
                <w:sz w:val="18"/>
                <w:szCs w:val="18"/>
                <w:color w:val="auto"/>
              </w:rPr>
              <w:t>(185)</w:t>
            </w:r>
          </w:p>
        </w:tc>
        <w:tc>
          <w:tcPr>
            <w:tcW w:w="100" w:type="dxa"/>
            <w:vAlign w:val="bottom"/>
          </w:tcPr>
          <w:p>
            <w:pPr>
              <w:spacing w:after="0"/>
              <w:rPr>
                <w:sz w:val="18"/>
                <w:szCs w:val="18"/>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(120)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(137)</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750</w:t>
            </w:r>
          </w:p>
        </w:tc>
        <w:tc>
          <w:tcPr>
            <w:tcW w:w="100" w:type="dxa"/>
            <w:vAlign w:val="bottom"/>
          </w:tcPr>
          <w:p>
            <w:pPr>
              <w:spacing w:after="0"/>
              <w:rPr>
                <w:sz w:val="18"/>
                <w:szCs w:val="18"/>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740" w:type="dxa"/>
            <w:vAlign w:val="bottom"/>
          </w:tcPr>
          <w:p>
            <w:pPr>
              <w:spacing w:after="0"/>
              <w:rPr>
                <w:sz w:val="2"/>
                <w:szCs w:val="2"/>
                <w:color w:val="auto"/>
              </w:rPr>
            </w:pPr>
          </w:p>
        </w:tc>
        <w:tc>
          <w:tcPr>
            <w:tcW w:w="2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20,687</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19,594</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20,795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180" w:hanging="452"/>
        <w:spacing w:after="0" w:line="253"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Acquisition-related costs include the step-up in fair value of acquired inventory that was sold during the period, and the amortization of retention bonuses required by the terms of the acquisition. Restructuring costs related to recently completed acquisitions are included within “Restructuring” in the table above.</w:t>
      </w:r>
    </w:p>
    <w:p>
      <w:pPr>
        <w:ind w:left="460" w:hanging="452"/>
        <w:spacing w:after="0"/>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The three months ended January 28, 2012 include proceeds related to a concluded legal matter.</w:t>
      </w:r>
    </w:p>
    <w:p>
      <w:pPr>
        <w:spacing w:after="0" w:line="9" w:lineRule="exact"/>
        <w:rPr>
          <w:rFonts w:ascii="Arial" w:cs="Arial" w:eastAsia="Arial" w:hAnsi="Arial"/>
          <w:sz w:val="18"/>
          <w:szCs w:val="18"/>
          <w:i w:val="1"/>
          <w:iCs w:val="1"/>
          <w:color w:val="auto"/>
        </w:rPr>
      </w:pPr>
    </w:p>
    <w:p>
      <w:pPr>
        <w:ind w:left="460" w:right="380" w:hanging="452"/>
        <w:spacing w:after="0" w:line="323" w:lineRule="auto"/>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benefits of stock compensation costs attributable to future services and not yet recognized in the financial statements.</w:t>
      </w:r>
    </w:p>
    <w:p>
      <w:pPr>
        <w:sectPr>
          <w:pgSz w:w="11900" w:h="16838" w:orient="portrait"/>
          <w:cols w:equalWidth="0" w:num="1">
            <w:col w:w="11420"/>
          </w:cols>
          <w:pgMar w:left="240" w:top="274" w:right="239" w:bottom="1440" w:gutter="0" w:footer="0" w:header="0"/>
        </w:sectPr>
      </w:pPr>
    </w:p>
    <w:bookmarkStart w:id="13" w:name="page14"/>
    <w:bookmarkEnd w:id="13"/>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4200"/>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ind w:left="40"/>
              <w:spacing w:after="0"/>
              <w:rPr>
                <w:sz w:val="20"/>
                <w:szCs w:val="20"/>
                <w:color w:val="auto"/>
              </w:rPr>
            </w:pPr>
            <w:r>
              <w:rPr>
                <w:rFonts w:ascii="Arial" w:cs="Arial" w:eastAsia="Arial" w:hAnsi="Arial"/>
                <w:sz w:val="14"/>
                <w:szCs w:val="14"/>
                <w:b w:val="1"/>
                <w:bCs w:val="1"/>
                <w:color w:val="auto"/>
              </w:rPr>
              <w:t>April 28,</w:t>
            </w:r>
          </w:p>
        </w:tc>
        <w:tc>
          <w:tcPr>
            <w:tcW w:w="14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28,</w:t>
            </w:r>
          </w:p>
        </w:tc>
      </w:tr>
      <w:tr>
        <w:trPr>
          <w:trHeight w:val="161"/>
        </w:trPr>
        <w:tc>
          <w:tcPr>
            <w:tcW w:w="20" w:type="dxa"/>
            <w:vAlign w:val="bottom"/>
          </w:tcPr>
          <w:p>
            <w:pPr>
              <w:spacing w:after="0"/>
              <w:rPr>
                <w:sz w:val="14"/>
                <w:szCs w:val="14"/>
                <w:color w:val="auto"/>
              </w:rPr>
            </w:pPr>
          </w:p>
        </w:tc>
        <w:tc>
          <w:tcPr>
            <w:tcW w:w="9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2012</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94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2,202,681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2,246,498</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417,382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407,263</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353,387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354,119</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9400" w:type="dxa"/>
            <w:vAlign w:val="bottom"/>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68,176</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71,081</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3,041,626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3,078,961</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382,374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383,801</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23,215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2,159,141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2,173,496</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112,169</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108,146</w:t>
            </w:r>
          </w:p>
        </w:tc>
        <w:tc>
          <w:tcPr>
            <w:tcW w:w="100" w:type="dxa"/>
            <w:vAlign w:val="bottom"/>
            <w:shd w:val="clear" w:color="auto" w:fill="CCEEFF"/>
          </w:tcPr>
          <w:p>
            <w:pPr>
              <w:spacing w:after="0"/>
              <w:rPr>
                <w:sz w:val="18"/>
                <w:szCs w:val="18"/>
                <w:color w:val="auto"/>
              </w:rPr>
            </w:pPr>
          </w:p>
        </w:tc>
      </w:tr>
      <w:tr>
        <w:trPr>
          <w:trHeight w:val="222"/>
        </w:trPr>
        <w:tc>
          <w:tcPr>
            <w:tcW w:w="20" w:type="dxa"/>
            <w:vAlign w:val="bottom"/>
          </w:tcPr>
          <w:p>
            <w:pPr>
              <w:spacing w:after="0"/>
              <w:rPr>
                <w:sz w:val="19"/>
                <w:szCs w:val="19"/>
                <w:color w:val="auto"/>
              </w:rPr>
            </w:pPr>
          </w:p>
        </w:tc>
        <w:tc>
          <w:tcPr>
            <w:tcW w:w="940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5,718,525</w:t>
            </w:r>
          </w:p>
        </w:tc>
        <w:tc>
          <w:tcPr>
            <w:tcW w:w="2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5,767,619</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9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94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323,392</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304,695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tcPr>
          <w:p>
            <w:pPr>
              <w:ind w:left="420"/>
              <w:spacing w:after="0"/>
              <w:rPr>
                <w:sz w:val="20"/>
                <w:szCs w:val="20"/>
                <w:color w:val="auto"/>
              </w:rPr>
            </w:pPr>
            <w:r>
              <w:rPr>
                <w:rFonts w:ascii="Arial" w:cs="Arial" w:eastAsia="Arial" w:hAnsi="Arial"/>
                <w:sz w:val="18"/>
                <w:szCs w:val="18"/>
                <w:color w:val="auto"/>
              </w:rPr>
              <w:t>Accrued liabilities</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244,739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224,900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65,413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59,959</w:t>
            </w:r>
          </w:p>
        </w:tc>
        <w:tc>
          <w:tcPr>
            <w:tcW w:w="100" w:type="dxa"/>
            <w:vAlign w:val="bottom"/>
            <w:shd w:val="clear" w:color="auto" w:fill="CCEEFF"/>
          </w:tcPr>
          <w:p>
            <w:pPr>
              <w:spacing w:after="0"/>
              <w:rPr>
                <w:sz w:val="18"/>
                <w:szCs w:val="18"/>
                <w:color w:val="auto"/>
              </w:rPr>
            </w:pPr>
          </w:p>
        </w:tc>
      </w:tr>
      <w:tr>
        <w:trPr>
          <w:trHeight w:val="221"/>
        </w:trPr>
        <w:tc>
          <w:tcPr>
            <w:tcW w:w="20" w:type="dxa"/>
            <w:vAlign w:val="bottom"/>
          </w:tcPr>
          <w:p>
            <w:pPr>
              <w:spacing w:after="0"/>
              <w:rPr>
                <w:sz w:val="19"/>
                <w:szCs w:val="19"/>
                <w:color w:val="auto"/>
              </w:rPr>
            </w:pPr>
          </w:p>
        </w:tc>
        <w:tc>
          <w:tcPr>
            <w:tcW w:w="940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633,544</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589,554</w:t>
            </w:r>
          </w:p>
        </w:tc>
        <w:tc>
          <w:tcPr>
            <w:tcW w:w="100" w:type="dxa"/>
            <w:vAlign w:val="bottom"/>
          </w:tcPr>
          <w:p>
            <w:pPr>
              <w:spacing w:after="0"/>
              <w:rPr>
                <w:sz w:val="19"/>
                <w:szCs w:val="19"/>
                <w:color w:val="auto"/>
              </w:rPr>
            </w:pPr>
          </w:p>
        </w:tc>
      </w:tr>
      <w:tr>
        <w:trPr>
          <w:trHeight w:val="218"/>
        </w:trPr>
        <w:tc>
          <w:tcPr>
            <w:tcW w:w="20" w:type="dxa"/>
            <w:vAlign w:val="bottom"/>
          </w:tcPr>
          <w:p>
            <w:pPr>
              <w:spacing w:after="0"/>
              <w:rPr>
                <w:sz w:val="18"/>
                <w:szCs w:val="18"/>
                <w:color w:val="auto"/>
              </w:rPr>
            </w:pPr>
          </w:p>
        </w:tc>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162,451</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164,047</w:t>
            </w:r>
          </w:p>
        </w:tc>
        <w:tc>
          <w:tcPr>
            <w:tcW w:w="10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9400" w:type="dxa"/>
            <w:vAlign w:val="bottom"/>
          </w:tcPr>
          <w:p>
            <w:pPr>
              <w:ind w:left="860"/>
              <w:spacing w:after="0"/>
              <w:rPr>
                <w:sz w:val="20"/>
                <w:szCs w:val="20"/>
                <w:color w:val="auto"/>
              </w:rPr>
            </w:pPr>
            <w:r>
              <w:rPr>
                <w:rFonts w:ascii="Arial" w:cs="Arial" w:eastAsia="Arial" w:hAnsi="Arial"/>
                <w:sz w:val="18"/>
                <w:szCs w:val="18"/>
                <w:color w:val="auto"/>
              </w:rPr>
              <w:t>Total liabilities</w:t>
            </w:r>
          </w:p>
        </w:tc>
        <w:tc>
          <w:tcPr>
            <w:tcW w:w="100" w:type="dxa"/>
            <w:vAlign w:val="bottom"/>
          </w:tcPr>
          <w:p>
            <w:pPr>
              <w:spacing w:after="0"/>
              <w:rPr>
                <w:sz w:val="20"/>
                <w:szCs w:val="20"/>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795,995</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753,601</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tcPr>
          <w:p>
            <w:pPr>
              <w:ind w:left="420"/>
              <w:spacing w:after="0"/>
              <w:rPr>
                <w:sz w:val="20"/>
                <w:szCs w:val="20"/>
                <w:color w:val="auto"/>
              </w:rPr>
            </w:pPr>
            <w:r>
              <w:rPr>
                <w:rFonts w:ascii="Arial" w:cs="Arial" w:eastAsia="Arial" w:hAnsi="Arial"/>
                <w:sz w:val="18"/>
                <w:szCs w:val="18"/>
                <w:color w:val="auto"/>
              </w:rPr>
              <w:t>Common stock</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1,146</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1,167</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Additional paid-in capital</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3,495,561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3,683,112</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tcPr>
          <w:p>
            <w:pPr>
              <w:ind w:left="420"/>
              <w:spacing w:after="0"/>
              <w:rPr>
                <w:sz w:val="20"/>
                <w:szCs w:val="20"/>
                <w:color w:val="auto"/>
              </w:rPr>
            </w:pPr>
            <w:r>
              <w:rPr>
                <w:rFonts w:ascii="Arial" w:cs="Arial" w:eastAsia="Arial" w:hAnsi="Arial"/>
                <w:sz w:val="18"/>
                <w:szCs w:val="18"/>
                <w:color w:val="auto"/>
              </w:rPr>
              <w:t>Accumulated other comprehensive income</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2,317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776</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Retained earnings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1,423,506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1,328,963</w:t>
            </w:r>
          </w:p>
        </w:tc>
        <w:tc>
          <w:tcPr>
            <w:tcW w:w="10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9400" w:type="dxa"/>
            <w:vAlign w:val="bottom"/>
          </w:tcPr>
          <w:p>
            <w:pPr>
              <w:ind w:left="86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4,922,530</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5,014,018</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5,718,525</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5,767,619</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9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ectPr>
          <w:pgSz w:w="11900" w:h="16838" w:orient="portrait"/>
          <w:cols w:equalWidth="0" w:num="1">
            <w:col w:w="11420"/>
          </w:cols>
          <w:pgMar w:left="240" w:top="274" w:right="239" w:bottom="1440" w:gutter="0" w:footer="0" w:header="0"/>
        </w:sectPr>
      </w:pPr>
    </w:p>
    <w:bookmarkStart w:id="14" w:name="page15"/>
    <w:bookmarkEnd w:id="14"/>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3800"/>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4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26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gridSpan w:val="2"/>
          </w:tcPr>
          <w:p>
            <w:pPr>
              <w:jc w:val="right"/>
              <w:ind w:right="540"/>
              <w:spacing w:after="0" w:line="129" w:lineRule="exact"/>
              <w:rPr>
                <w:sz w:val="20"/>
                <w:szCs w:val="20"/>
                <w:color w:val="auto"/>
              </w:rPr>
            </w:pPr>
            <w:r>
              <w:rPr>
                <w:rFonts w:ascii="Arial" w:cs="Arial" w:eastAsia="Arial" w:hAnsi="Arial"/>
                <w:sz w:val="14"/>
                <w:szCs w:val="14"/>
                <w:b w:val="1"/>
                <w:bCs w:val="1"/>
                <w:color w:val="auto"/>
                <w:w w:val="90"/>
              </w:rPr>
              <w:t>April 28,</w:t>
            </w: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right"/>
              <w:ind w:right="93"/>
              <w:spacing w:after="0" w:line="129" w:lineRule="exact"/>
              <w:rPr>
                <w:sz w:val="20"/>
                <w:szCs w:val="20"/>
                <w:color w:val="auto"/>
              </w:rPr>
            </w:pPr>
            <w:r>
              <w:rPr>
                <w:rFonts w:ascii="Arial" w:cs="Arial" w:eastAsia="Arial" w:hAnsi="Arial"/>
                <w:sz w:val="14"/>
                <w:szCs w:val="14"/>
                <w:b w:val="1"/>
                <w:bCs w:val="1"/>
                <w:color w:val="auto"/>
              </w:rPr>
              <w:t>April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2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2012</w:t>
            </w:r>
          </w:p>
        </w:tc>
        <w:tc>
          <w:tcPr>
            <w:tcW w:w="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92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94,543</w:t>
            </w:r>
          </w:p>
        </w:tc>
        <w:tc>
          <w:tcPr>
            <w:tcW w:w="4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146,861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21,199</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24,037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27,192</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27,480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14,355</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14,341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 (income) expense, net</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2,903</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3,854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Changes in assets and liabilities: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860"/>
              <w:spacing w:after="0"/>
              <w:rPr>
                <w:sz w:val="20"/>
                <w:szCs w:val="20"/>
                <w:color w:val="auto"/>
              </w:rPr>
            </w:pPr>
            <w:r>
              <w:rPr>
                <w:rFonts w:ascii="Arial" w:cs="Arial" w:eastAsia="Arial" w:hAnsi="Arial"/>
                <w:sz w:val="18"/>
                <w:szCs w:val="18"/>
                <w:color w:val="auto"/>
              </w:rPr>
              <w:t>Accounts receivable</w:t>
            </w:r>
          </w:p>
        </w:tc>
        <w:tc>
          <w:tcPr>
            <w:tcW w:w="10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(10,119)</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33,938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(53,107)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86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4,242</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21,249</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(5,295)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860"/>
              <w:spacing w:after="0"/>
              <w:rPr>
                <w:sz w:val="20"/>
                <w:szCs w:val="20"/>
                <w:color w:val="auto"/>
              </w:rPr>
            </w:pPr>
            <w:r>
              <w:rPr>
                <w:rFonts w:ascii="Arial" w:cs="Arial" w:eastAsia="Arial" w:hAnsi="Arial"/>
                <w:sz w:val="18"/>
                <w:szCs w:val="18"/>
                <w:color w:val="auto"/>
              </w:rPr>
              <w:t>Accrued liabilities and other</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18,143</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(5,450)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(648)</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(14,880)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26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5,454</w:t>
            </w: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4,729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198,673</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177,149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marketable securities</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8"/>
              </w:rPr>
              <w:t>(421,652)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(677,179)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420"/>
              <w:spacing w:after="0"/>
              <w:rPr>
                <w:sz w:val="20"/>
                <w:szCs w:val="20"/>
                <w:color w:val="auto"/>
              </w:rPr>
            </w:pPr>
            <w:r>
              <w:rPr>
                <w:rFonts w:ascii="Arial" w:cs="Arial" w:eastAsia="Arial" w:hAnsi="Arial"/>
                <w:sz w:val="18"/>
                <w:szCs w:val="18"/>
                <w:color w:val="auto"/>
              </w:rPr>
              <w:t>Purchases of strategic investments</w:t>
            </w:r>
          </w:p>
        </w:tc>
        <w:tc>
          <w:tcPr>
            <w:tcW w:w="10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(5,000)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(1,750)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investments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558,777</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272,547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420"/>
              <w:spacing w:after="0"/>
              <w:rPr>
                <w:sz w:val="20"/>
                <w:szCs w:val="20"/>
                <w:color w:val="auto"/>
              </w:rPr>
            </w:pPr>
            <w:r>
              <w:rPr>
                <w:rFonts w:ascii="Arial" w:cs="Arial" w:eastAsia="Arial" w:hAnsi="Arial"/>
                <w:sz w:val="18"/>
                <w:szCs w:val="18"/>
                <w:color w:val="auto"/>
              </w:rPr>
              <w:t>Cash paid for acquisitions, net</w:t>
            </w:r>
          </w:p>
        </w:tc>
        <w:tc>
          <w:tcPr>
            <w:tcW w:w="100" w:type="dxa"/>
            <w:vAlign w:val="bottom"/>
          </w:tcPr>
          <w:p>
            <w:pPr>
              <w:spacing w:after="0"/>
              <w:rPr>
                <w:sz w:val="18"/>
                <w:szCs w:val="18"/>
                <w:color w:val="auto"/>
              </w:rPr>
            </w:pPr>
          </w:p>
        </w:tc>
        <w:tc>
          <w:tcPr>
            <w:tcW w:w="10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(16,330)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(2,045)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(3,290)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(18,904)</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(17,018)</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(used in) investing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111,176</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(443,020)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Repurchase of common stock</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8"/>
              </w:rPr>
              <w:t>(223,157)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(803,501)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42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17,803</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9,841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(8,879)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(4,634)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420"/>
              <w:spacing w:after="0"/>
              <w:rPr>
                <w:sz w:val="20"/>
                <w:szCs w:val="20"/>
                <w:color w:val="auto"/>
              </w:rPr>
            </w:pPr>
            <w:r>
              <w:rPr>
                <w:rFonts w:ascii="Arial" w:cs="Arial" w:eastAsia="Arial" w:hAnsi="Arial"/>
                <w:sz w:val="18"/>
                <w:szCs w:val="18"/>
                <w:color w:val="auto"/>
              </w:rPr>
              <w:t>Principal payments on capital lease obligations</w:t>
            </w:r>
          </w:p>
        </w:tc>
        <w:tc>
          <w:tcPr>
            <w:tcW w:w="100" w:type="dxa"/>
            <w:vAlign w:val="bottom"/>
          </w:tcPr>
          <w:p>
            <w:pPr>
              <w:spacing w:after="0"/>
              <w:rPr>
                <w:sz w:val="18"/>
                <w:szCs w:val="18"/>
                <w:color w:val="auto"/>
              </w:rPr>
            </w:pPr>
          </w:p>
        </w:tc>
        <w:tc>
          <w:tcPr>
            <w:tcW w:w="10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w:t>
            </w:r>
          </w:p>
        </w:tc>
        <w:tc>
          <w:tcPr>
            <w:tcW w:w="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9260" w:type="dxa"/>
            <w:vAlign w:val="bottom"/>
          </w:tcPr>
          <w:p>
            <w:pPr>
              <w:ind w:left="1280"/>
              <w:spacing w:after="0"/>
              <w:rPr>
                <w:sz w:val="20"/>
                <w:szCs w:val="20"/>
                <w:color w:val="auto"/>
              </w:rPr>
            </w:pPr>
            <w:r>
              <w:rPr>
                <w:rFonts w:ascii="Arial" w:cs="Arial" w:eastAsia="Arial" w:hAnsi="Arial"/>
                <w:sz w:val="18"/>
                <w:szCs w:val="18"/>
                <w:color w:val="auto"/>
              </w:rPr>
              <w:t>Net cash used in financing activities</w:t>
            </w:r>
          </w:p>
        </w:tc>
        <w:tc>
          <w:tcPr>
            <w:tcW w:w="100" w:type="dxa"/>
            <w:vAlign w:val="bottom"/>
          </w:tcPr>
          <w:p>
            <w:pPr>
              <w:spacing w:after="0"/>
              <w:rPr>
                <w:sz w:val="19"/>
                <w:szCs w:val="19"/>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w w:val="88"/>
              </w:rPr>
              <w:t>(214,192)</w:t>
            </w:r>
          </w:p>
        </w:tc>
        <w:tc>
          <w:tcPr>
            <w:tcW w:w="100" w:type="dxa"/>
            <w:vAlign w:val="bottom"/>
          </w:tcPr>
          <w:p>
            <w:pPr>
              <w:spacing w:after="0"/>
              <w:rPr>
                <w:sz w:val="19"/>
                <w:szCs w:val="19"/>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(798,802)</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9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926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95,657</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(1,064,673)</w:t>
            </w:r>
          </w:p>
        </w:tc>
        <w:tc>
          <w:tcPr>
            <w:tcW w:w="0" w:type="dxa"/>
            <w:vAlign w:val="bottom"/>
          </w:tcPr>
          <w:p>
            <w:pPr>
              <w:spacing w:after="0"/>
              <w:rPr>
                <w:sz w:val="1"/>
                <w:szCs w:val="1"/>
                <w:color w:val="auto"/>
              </w:rPr>
            </w:pPr>
          </w:p>
        </w:tc>
      </w:tr>
      <w:tr>
        <w:trPr>
          <w:trHeight w:val="230"/>
        </w:trPr>
        <w:tc>
          <w:tcPr>
            <w:tcW w:w="9280" w:type="dxa"/>
            <w:vAlign w:val="bottom"/>
            <w:gridSpan w:val="2"/>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784,902</w:t>
            </w:r>
          </w:p>
        </w:tc>
        <w:tc>
          <w:tcPr>
            <w:tcW w:w="4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4"/>
              </w:rPr>
              <w:t>1,847,074</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880,559</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782,401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274" w:right="239" w:bottom="1440" w:gutter="0" w:footer="0" w:header="0"/>
        </w:sectPr>
      </w:pPr>
    </w:p>
    <w:bookmarkStart w:id="15" w:name="page16"/>
    <w:bookmarkEnd w:id="15"/>
    <w:p>
      <w:pPr>
        <w:jc w:val="right"/>
        <w:spacing w:after="0"/>
        <w:rPr>
          <w:sz w:val="20"/>
          <w:szCs w:val="20"/>
          <w:color w:val="auto"/>
        </w:rPr>
      </w:pPr>
      <w:r>
        <w:rPr>
          <w:rFonts w:ascii="Arial" w:cs="Arial" w:eastAsia="Arial" w:hAnsi="Arial"/>
          <w:sz w:val="16"/>
          <w:szCs w:val="16"/>
          <w:b w:val="1"/>
          <w:bCs w:val="1"/>
          <w:color w:val="auto"/>
        </w:rPr>
        <w:t>Exhibit 99.2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6008370</wp:posOffset>
            </wp:positionH>
            <wp:positionV relativeFrom="paragraph">
              <wp:posOffset>260985</wp:posOffset>
            </wp:positionV>
            <wp:extent cx="1243330" cy="20574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43330" cy="20574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3"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For further information, contact:</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Sukhi Nagesh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408-222-8373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sukhi@marvell.com</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spacing w:after="0"/>
        <w:rPr>
          <w:sz w:val="20"/>
          <w:szCs w:val="20"/>
          <w:color w:val="auto"/>
        </w:rPr>
      </w:pPr>
      <w:r>
        <w:rPr>
          <w:rFonts w:ascii="Arial" w:cs="Arial" w:eastAsia="Arial" w:hAnsi="Arial"/>
          <w:sz w:val="18"/>
          <w:szCs w:val="18"/>
          <w:color w:val="auto"/>
        </w:rPr>
        <w:t>Daniel Yoo</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Media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408-222-2187</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yoo@marvell.com</w:t>
      </w:r>
    </w:p>
    <w:p>
      <w:pPr>
        <w:spacing w:after="0" w:line="181" w:lineRule="exact"/>
        <w:rPr>
          <w:sz w:val="20"/>
          <w:szCs w:val="20"/>
          <w:color w:val="auto"/>
        </w:rPr>
      </w:pPr>
    </w:p>
    <w:p>
      <w:pPr>
        <w:sectPr>
          <w:pgSz w:w="11900" w:h="16838" w:orient="portrait"/>
          <w:cols w:equalWidth="0" w:num="2">
            <w:col w:w="8420" w:space="720"/>
            <w:col w:w="2280"/>
          </w:cols>
          <w:pgMar w:left="240" w:top="125" w:right="239" w:bottom="1440" w:gutter="0" w:footer="0" w:header="0"/>
          <w:type w:val="continuous"/>
        </w:sectPr>
      </w:pPr>
    </w:p>
    <w:p>
      <w:pPr>
        <w:jc w:val="center"/>
        <w:spacing w:after="0"/>
        <w:rPr>
          <w:sz w:val="20"/>
          <w:szCs w:val="20"/>
          <w:color w:val="auto"/>
        </w:rPr>
      </w:pPr>
      <w:r>
        <w:rPr>
          <w:rFonts w:ascii="Arial" w:cs="Arial" w:eastAsia="Arial" w:hAnsi="Arial"/>
          <w:sz w:val="16"/>
          <w:szCs w:val="16"/>
          <w:b w:val="1"/>
          <w:bCs w:val="1"/>
          <w:color w:val="auto"/>
        </w:rPr>
        <w:t>Marvell Technology Announces Initiation of a Quarterly Dividend and</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increases Share Repurchase Authorization by $500 million to a total of $2.5B</w:t>
      </w:r>
    </w:p>
    <w:p>
      <w:pPr>
        <w:sectPr>
          <w:pgSz w:w="11900" w:h="16838" w:orient="portrait"/>
          <w:cols w:equalWidth="0" w:num="1">
            <w:col w:w="11420"/>
          </w:cols>
          <w:pgMar w:left="240" w:top="125" w:right="239" w:bottom="1440" w:gutter="0" w:footer="0" w:header="0"/>
          <w:type w:val="continuous"/>
        </w:sectPr>
      </w:pPr>
    </w:p>
    <w:p>
      <w:pPr>
        <w:spacing w:after="0" w:line="193" w:lineRule="exact"/>
        <w:rPr>
          <w:sz w:val="20"/>
          <w:szCs w:val="20"/>
          <w:color w:val="auto"/>
        </w:rPr>
      </w:pPr>
    </w:p>
    <w:p>
      <w:pPr>
        <w:ind w:right="20"/>
        <w:spacing w:after="0" w:line="258" w:lineRule="auto"/>
        <w:rPr>
          <w:sz w:val="20"/>
          <w:szCs w:val="20"/>
          <w:color w:val="auto"/>
        </w:rPr>
      </w:pPr>
      <w:r>
        <w:rPr>
          <w:rFonts w:ascii="Arial" w:cs="Arial" w:eastAsia="Arial" w:hAnsi="Arial"/>
          <w:sz w:val="18"/>
          <w:szCs w:val="18"/>
          <w:b w:val="1"/>
          <w:bCs w:val="1"/>
          <w:color w:val="auto"/>
        </w:rPr>
        <w:t xml:space="preserve">Santa Clara, Calif. (May 17, 2012) </w:t>
      </w:r>
      <w:r>
        <w:rPr>
          <w:rFonts w:ascii="Arial" w:cs="Arial" w:eastAsia="Arial" w:hAnsi="Arial"/>
          <w:sz w:val="18"/>
          <w:szCs w:val="18"/>
          <w:color w:val="auto"/>
        </w:rPr>
        <w:t>— Marvell Technology Group Ltd. (NASDAQ: MRVL), a global leader in integrated silicon solutions, today announced that</w:t>
      </w:r>
      <w:r>
        <w:rPr>
          <w:rFonts w:ascii="Arial" w:cs="Arial" w:eastAsia="Arial" w:hAnsi="Arial"/>
          <w:sz w:val="18"/>
          <w:szCs w:val="18"/>
          <w:b w:val="1"/>
          <w:bCs w:val="1"/>
          <w:color w:val="auto"/>
        </w:rPr>
        <w:t xml:space="preserve"> </w:t>
      </w:r>
      <w:r>
        <w:rPr>
          <w:rFonts w:ascii="Arial" w:cs="Arial" w:eastAsia="Arial" w:hAnsi="Arial"/>
          <w:sz w:val="18"/>
          <w:szCs w:val="18"/>
          <w:color w:val="auto"/>
        </w:rPr>
        <w:t>it had declared the payment of its first quarterly dividend of $0.06 per share to be paid on July 11, 2012 to all shareholders of record as of June 21, 2012. In addition, Marvell also announced today that it has authorized an increase of up to an additional $500 million under the existing share repurchase program. The cumulative total authorized for share repurchases by Marvell now amounts to $2.5 billion.</w:t>
      </w:r>
    </w:p>
    <w:p>
      <w:pPr>
        <w:spacing w:after="0" w:line="142" w:lineRule="exact"/>
        <w:rPr>
          <w:sz w:val="20"/>
          <w:szCs w:val="20"/>
          <w:color w:val="auto"/>
        </w:rPr>
      </w:pPr>
    </w:p>
    <w:p>
      <w:pPr>
        <w:ind w:right="80"/>
        <w:spacing w:after="0" w:line="256" w:lineRule="auto"/>
        <w:rPr>
          <w:sz w:val="20"/>
          <w:szCs w:val="20"/>
          <w:color w:val="auto"/>
        </w:rPr>
      </w:pPr>
      <w:r>
        <w:rPr>
          <w:rFonts w:ascii="Arial" w:cs="Arial" w:eastAsia="Arial" w:hAnsi="Arial"/>
          <w:sz w:val="18"/>
          <w:szCs w:val="18"/>
          <w:color w:val="auto"/>
        </w:rPr>
        <w:t>“We have a proven track record of strong cash generation and have previously used share repurchases as the primary method to return cash to shareholders,” said Dr. Sehat Sutardja, Chairman and Chief Executive Officer. “With the increased confidence we now have in our business model, and based on broad institutional shareholder request, we believe it is time for us to allocate some of the cash return in the form of a dividend while continuing and extending our repurchase program.”</w:t>
      </w:r>
    </w:p>
    <w:p>
      <w:pPr>
        <w:spacing w:after="0" w:line="143" w:lineRule="exact"/>
        <w:rPr>
          <w:sz w:val="20"/>
          <w:szCs w:val="20"/>
          <w:color w:val="auto"/>
        </w:rPr>
      </w:pPr>
    </w:p>
    <w:p>
      <w:pPr>
        <w:spacing w:after="0"/>
        <w:rPr>
          <w:sz w:val="20"/>
          <w:szCs w:val="20"/>
          <w:color w:val="auto"/>
        </w:rPr>
      </w:pPr>
      <w:r>
        <w:rPr>
          <w:rFonts w:ascii="Arial" w:cs="Arial" w:eastAsia="Arial" w:hAnsi="Arial"/>
          <w:sz w:val="16"/>
          <w:szCs w:val="16"/>
          <w:color w:val="auto"/>
        </w:rPr>
        <w:t>The declared dividend will be paid from Marvell’s earnings and is expected to be treated as dividend income to U.S. citizen or resident shareholders for U.S.</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federal income tax purposes, although the final determination of the tax treatment of the dividend will be made after Marvell’s fiscal 2013 year end.</w:t>
      </w:r>
    </w:p>
    <w:p>
      <w:pPr>
        <w:spacing w:after="0" w:line="188" w:lineRule="exact"/>
        <w:rPr>
          <w:sz w:val="20"/>
          <w:szCs w:val="20"/>
          <w:color w:val="auto"/>
        </w:rPr>
      </w:pPr>
    </w:p>
    <w:p>
      <w:pPr>
        <w:ind w:right="60"/>
        <w:spacing w:after="0" w:line="256" w:lineRule="auto"/>
        <w:rPr>
          <w:sz w:val="20"/>
          <w:szCs w:val="20"/>
          <w:color w:val="auto"/>
        </w:rPr>
      </w:pPr>
      <w:r>
        <w:rPr>
          <w:rFonts w:ascii="Arial" w:cs="Arial" w:eastAsia="Arial" w:hAnsi="Arial"/>
          <w:sz w:val="18"/>
          <w:szCs w:val="18"/>
          <w:color w:val="auto"/>
        </w:rPr>
        <w:t>Marvell has repurchased approximately $1.7 billion of its previously authorized $2 billion program leaving about $348 million remaining in the current repurchase program. With the new $500 million authorization the total repurchase program increases to $2.5 billion and the amount remaining to $848 million. Marvell has repurchased and retired over 107 million shares, or about 16 percent, of the outstanding shares since the initial announcement of the share repurchase program in August 2010.</w:t>
      </w:r>
    </w:p>
    <w:p>
      <w:pPr>
        <w:sectPr>
          <w:pgSz w:w="11900" w:h="16838" w:orient="portrait"/>
          <w:cols w:equalWidth="0" w:num="1">
            <w:col w:w="11420"/>
          </w:cols>
          <w:pgMar w:left="240" w:top="125" w:right="239" w:bottom="1440" w:gutter="0" w:footer="0" w:header="0"/>
          <w:type w:val="continuous"/>
        </w:sectPr>
      </w:pPr>
    </w:p>
    <w:bookmarkStart w:id="16" w:name="page17"/>
    <w:bookmarkEnd w:id="16"/>
    <w:p>
      <w:pPr>
        <w:ind w:right="80"/>
        <w:spacing w:after="0" w:line="256"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intends to effect its repurchase program in accordance with the conditions of Rule 10b-18 under the Securities Exchange Act of 1934, as amended. The repurchase program will be subject to market conditions and other factors and does not obligate Marvell to repurchase any dollar amount or number of its common shares. The program may be extended, modified, suspended or discontinued at any time. The repurchases are expected to be funded from Marvell’s current cash and short-term investments position.</w:t>
      </w:r>
    </w:p>
    <w:p>
      <w:pPr>
        <w:spacing w:after="0" w:line="143"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Marvell intends to pay a regular quarterly cash dividend on its common shares subject to, among other things, the best interests of its shareholders, Marvell’s results of operations, cash balances and future cash requirements, financial condition, statutory requirements of Bermuda law, and other factors that the board of directors may deem relevant.</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ind w:right="320"/>
        <w:spacing w:after="0" w:line="256" w:lineRule="auto"/>
        <w:rPr>
          <w:sz w:val="20"/>
          <w:szCs w:val="20"/>
          <w:color w:val="auto"/>
        </w:rPr>
      </w:pPr>
      <w:r>
        <w:rPr>
          <w:rFonts w:ascii="Arial" w:cs="Arial" w:eastAsia="Arial" w:hAnsi="Arial"/>
          <w:sz w:val="18"/>
          <w:szCs w:val="18"/>
          <w:color w:val="auto"/>
        </w:rPr>
        <w:t xml:space="preserve">Marvell Technology Group Ltd.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Private Securities Litigation Reform Act of 1995</w:t>
      </w:r>
    </w:p>
    <w:p>
      <w:pPr>
        <w:spacing w:after="0" w:line="96"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relating to the declaration of, timing of, funding of, quarterly amount of, and tax treatment of dividends; expectations regarding continued growth and financial strength; Marvell’s ability to generate free cash flow; the types of transactions pursuant to which repurchases will be made under the share repurchase program; and Marvell’s ability to fund share repurchases out of its current cash position. These statements are not guarantees of results and should not be considered as an indication of future activity or future performance. Actual events or results may differ materially from those described in this document due to a number of risks and uncertainties, including, among others, Marvell’s ability to pay the quarterly dividend or to repurchase shares; market acceptance of new products; Marvell’s reliance on a few customers for a significant portion of its revenue; uncertainty in the worldwide economic environment; Marvell’s ability to compete in products and prices in an intensely competitive industry; Marvell’s ability to recruit and retain skilled personnel; substantial costs of current and any future litigation; ability to generate cash flows; and other risks detailed in Marvell’s SEC filings. For other factors that could cause Marvell’s results to vary from expectations, please see the risk factors identified in Marvell’s latest Annual Report on Form 10-K for the quarter ended January 28, 2012 as filed with the SEC, and other factors detailed from time to time in Marvell’s filings with the SEC. Marvell undertakes no obligation to revise or update publicly any forward-looking statements.</w:t>
      </w:r>
    </w:p>
    <w:p>
      <w:pPr>
        <w:spacing w:after="0" w:line="12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1"/>
          <w:szCs w:val="11"/>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sectPr>
      <w:pgSz w:w="11900" w:h="16838" w:orient="portrait"/>
      <w:cols w:equalWidth="0" w:num="1">
        <w:col w:w="11300"/>
      </w:cols>
      <w:pgMar w:left="240" w:top="280" w:right="3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jpeg"/><Relationship Id="rId33" Type="http://schemas.openxmlformats.org/officeDocument/2006/relationships/image" Target="media/image2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2019-12-09T12:00:36Z</dcterms:created>
  <dcterms:modified xsi:type="dcterms:W3CDTF">2019-12-09T12:00:36Z</dcterms:modified>
</cp:coreProperties>
</file>