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0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-643255</wp:posOffset>
            </wp:positionV>
            <wp:extent cx="59055" cy="6565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-643255</wp:posOffset>
            </wp:positionV>
            <wp:extent cx="59055" cy="6565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58851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588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0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GROMER JURGEN W K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20" w:type="dxa"/>
            <w:vAlign w:val="bottom"/>
            <w:gridSpan w:val="12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80" w:type="dxa"/>
            <w:vAlign w:val="bottom"/>
            <w:gridSpan w:val="7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top w:val="single" w:sz="8" w:color="2C2C2C"/>
            </w:tcBorders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80" w:type="dxa"/>
            <w:vAlign w:val="bottom"/>
            <w:gridSpan w:val="5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06/28/2012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00" w:type="dxa"/>
            <w:vAlign w:val="bottom"/>
            <w:gridSpan w:val="1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00" w:type="dxa"/>
            <w:vAlign w:val="bottom"/>
            <w:gridSpan w:val="1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00" w:type="dxa"/>
            <w:vAlign w:val="bottom"/>
            <w:gridSpan w:val="13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60" w:type="dxa"/>
            <w:vAlign w:val="bottom"/>
            <w:gridSpan w:val="9"/>
          </w:tcPr>
          <w:p>
            <w:pPr>
              <w:ind w:left="4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74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8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8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6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06/28/2012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4,946</w:t>
            </w:r>
          </w:p>
        </w:tc>
        <w:tc>
          <w:tcPr>
            <w:tcW w:w="6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5"/>
          </w:tcPr>
          <w:p>
            <w:pPr>
              <w:jc w:val="right"/>
              <w:ind w:righ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4,946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7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54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4,946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06/28/2012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4,946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jc w:val="center"/>
              <w:ind w:right="34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center"/>
              <w:ind w:left="19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11.03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06/28/2012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righ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06/28/2022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4"/>
          </w:tcPr>
          <w:p>
            <w:pPr>
              <w:jc w:val="center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25,000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25,000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06/28/2012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right="5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06/28/2013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0" w:type="dxa"/>
            <w:vAlign w:val="bottom"/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5"/>
              </w:rPr>
              <w:t>1. Each restricted stock unit represented a contingent right to receive one Marvell Technology Group Ltd. ("Marvell") common share upon vesting.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520" w:type="dxa"/>
            <w:vAlign w:val="bottom"/>
            <w:gridSpan w:val="1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9"/>
              </w:rPr>
              <w:t>2. These restricted stock units vested as to 100% of shares on June 28, 2012.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60" w:type="dxa"/>
            <w:vAlign w:val="bottom"/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3. Vests 100% of shares on the earlier of the next annual general meeting of Marvell or the one year anniversary of the option grant date.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1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4. Each restricted stock unit represents a contingent right to receive one Marvell common share.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0" w:type="dxa"/>
            <w:vAlign w:val="bottom"/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5. Vests 100% of shares on the earlier of the next annual general meeting of Marvell or the one year anniversary of the restricted stock unit grant date.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00" w:type="dxa"/>
            <w:vAlign w:val="bottom"/>
            <w:gridSpan w:val="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/s/ Juergen W K Gromer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06/29/2012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00" w:type="dxa"/>
            <w:vAlign w:val="bottom"/>
            <w:gridSpan w:val="9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40" w:type="dxa"/>
            <w:vAlign w:val="bottom"/>
            <w:gridSpan w:val="1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38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1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-4415790</wp:posOffset>
            </wp:positionV>
            <wp:extent cx="24765" cy="31070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7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2236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2019-12-17T16:10:37Z</dcterms:created>
  <dcterms:modified xsi:type="dcterms:W3CDTF">2019-12-17T16:10:37Z</dcterms:modified>
</cp:coreProperties>
</file>