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7" w:lineRule="exact"/>
        <w:rPr>
          <w:sz w:val="24"/>
          <w:szCs w:val="24"/>
          <w:color w:val="auto"/>
        </w:rPr>
      </w:pPr>
    </w:p>
    <w:p>
      <w:pPr>
        <w:ind w:left="38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-239395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0"/>
        </w:trPr>
        <w:tc>
          <w:tcPr>
            <w:tcW w:w="652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 w:line="1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-641985</wp:posOffset>
            </wp:positionV>
            <wp:extent cx="59055" cy="6553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4123055</wp:posOffset>
            </wp:positionH>
            <wp:positionV relativeFrom="paragraph">
              <wp:posOffset>-641985</wp:posOffset>
            </wp:positionV>
            <wp:extent cx="59055" cy="6553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51161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5116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HOSEIN CLYDE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3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3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3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07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20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9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39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CFO and Secretary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04/21/2012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3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7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4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340,000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6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15.2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9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04/21/2012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</w:tcPr>
          <w:p>
            <w:pPr>
              <w:jc w:val="right"/>
              <w:ind w:right="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340,000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04/21/2022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right"/>
              <w:ind w:right="2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right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53,000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98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04/21/2012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ind w:left="1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11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53,000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04/01/2016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0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right"/>
              <w:ind w:right="2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53,000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8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</w:rPr>
              <w:t>1. Options vest in four equal annual installments beginning on the first anniversary of April 1, 2012, the vesting commencement date.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Each restricted stock unit represents a contingent right to receive one Marvell common share.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32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8"/>
              </w:rPr>
              <w:t>3. Restricted stock units vest in four equal annual installments beginning on the first anniversary of April 1, 2012, the vesting commencement date.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Clyde R. Hosein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04/24/2012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1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4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both"/>
        <w:ind w:left="40" w:right="3840" w:firstLine="6"/>
        <w:spacing w:after="0" w:line="316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230185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2019-12-17T15:58:43Z</dcterms:created>
  <dcterms:modified xsi:type="dcterms:W3CDTF">2019-12-17T15:58:43Z</dcterms:modified>
</cp:coreProperties>
</file>