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7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59" w:lineRule="exact"/>
        <w:rPr>
          <w:sz w:val="24"/>
          <w:szCs w:val="24"/>
          <w:color w:val="auto"/>
        </w:rPr>
      </w:pPr>
    </w:p>
    <w:p>
      <w:pPr>
        <w:spacing w:after="0"/>
        <w:rPr>
          <w:sz w:val="20"/>
          <w:szCs w:val="20"/>
          <w:color w:val="auto"/>
        </w:rPr>
      </w:pPr>
      <w:r>
        <w:rPr>
          <w:rFonts w:ascii="Arial" w:cs="Arial" w:eastAsia="Arial" w:hAnsi="Arial"/>
          <w:sz w:val="14"/>
          <w:szCs w:val="14"/>
          <w:color w:val="auto"/>
        </w:rPr>
        <w:t>(Mark One)</w:t>
      </w: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For the quarterly period ended April 28, 2012</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40"/>
        <w:spacing w:after="0"/>
        <w:tabs>
          <w:tab w:leader="none" w:pos="676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sectPr>
      </w:pPr>
    </w:p>
    <w:p>
      <w:pPr>
        <w:spacing w:after="0" w:line="286" w:lineRule="exact"/>
        <w:rPr>
          <w:sz w:val="24"/>
          <w:szCs w:val="24"/>
          <w:color w:val="auto"/>
        </w:rPr>
      </w:pPr>
    </w:p>
    <w:p>
      <w:pPr>
        <w:ind w:left="2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2">
            <w:col w:w="7540" w:space="720"/>
            <w:col w:w="3160"/>
          </w:cols>
          <w:pgMar w:left="240" w:top="230" w:right="239" w:bottom="1440" w:gutter="0" w:footer="0" w:header="0"/>
          <w:type w:val="continuous"/>
        </w:sectPr>
      </w:pPr>
    </w:p>
    <w:p>
      <w:pPr>
        <w:ind w:left="2020"/>
        <w:spacing w:after="0"/>
        <w:rPr>
          <w:sz w:val="20"/>
          <w:szCs w:val="20"/>
          <w:color w:val="auto"/>
        </w:rPr>
      </w:pPr>
      <w:r>
        <w:rPr>
          <w:rFonts w:ascii="Arial" w:cs="Arial" w:eastAsia="Arial" w:hAnsi="Arial"/>
          <w:sz w:val="12"/>
          <w:szCs w:val="12"/>
          <w:b w:val="1"/>
          <w:bCs w:val="1"/>
          <w:color w:val="auto"/>
        </w:rPr>
        <w:t>(State or other jurisdiction of</w:t>
      </w:r>
    </w:p>
    <w:p>
      <w:pPr>
        <w:spacing w:after="0" w:line="14" w:lineRule="exact"/>
        <w:rPr>
          <w:sz w:val="24"/>
          <w:szCs w:val="24"/>
          <w:color w:val="auto"/>
        </w:rPr>
      </w:pPr>
    </w:p>
    <w:p>
      <w:pPr>
        <w:ind w:left="1980"/>
        <w:spacing w:after="0"/>
        <w:rPr>
          <w:sz w:val="20"/>
          <w:szCs w:val="20"/>
          <w:color w:val="auto"/>
        </w:rPr>
      </w:pPr>
      <w:r>
        <w:rPr>
          <w:rFonts w:ascii="Arial" w:cs="Arial" w:eastAsia="Arial" w:hAnsi="Arial"/>
          <w:sz w:val="12"/>
          <w:szCs w:val="12"/>
          <w:b w:val="1"/>
          <w:bCs w:val="1"/>
          <w:color w:val="auto"/>
        </w:rPr>
        <w:t>incorporation or organization)</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1" w:lineRule="exact"/>
        <w:rPr>
          <w:sz w:val="24"/>
          <w:szCs w:val="24"/>
          <w:color w:val="auto"/>
        </w:rPr>
      </w:pPr>
    </w:p>
    <w:p>
      <w:pPr>
        <w:sectPr>
          <w:pgSz w:w="11900" w:h="16838" w:orient="portrait"/>
          <w:cols w:equalWidth="0" w:num="2">
            <w:col w:w="7440" w:space="720"/>
            <w:col w:w="3260"/>
          </w:cols>
          <w:pgMar w:left="240" w:top="230" w:right="239" w:bottom="1440" w:gutter="0" w:footer="0" w:header="0"/>
          <w:type w:val="continuous"/>
        </w:sectPr>
      </w:pPr>
    </w:p>
    <w:p>
      <w:pPr>
        <w:jc w:val="center"/>
        <w:spacing w:after="0"/>
        <w:rPr>
          <w:sz w:val="20"/>
          <w:szCs w:val="20"/>
          <w:color w:val="auto"/>
        </w:rPr>
      </w:pPr>
      <w:r>
        <w:rPr>
          <w:rFonts w:ascii="Arial" w:cs="Arial" w:eastAsia="Arial" w:hAnsi="Arial"/>
          <w:sz w:val="16"/>
          <w:szCs w:val="16"/>
          <w:b w:val="1"/>
          <w:bCs w:val="1"/>
          <w:color w:val="auto"/>
        </w:rPr>
        <w:t>Canon’s Court, 22 Victoria Street, Hamilton HM 12, Bermuda</w:t>
      </w:r>
    </w:p>
    <w:p>
      <w:pPr>
        <w:spacing w:after="0" w:line="4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jc w:val="center"/>
        <w:spacing w:after="0"/>
        <w:rPr>
          <w:sz w:val="20"/>
          <w:szCs w:val="20"/>
          <w:color w:val="auto"/>
        </w:rPr>
      </w:pPr>
      <w:r>
        <w:rPr>
          <w:rFonts w:ascii="Arial" w:cs="Arial" w:eastAsia="Arial" w:hAnsi="Arial"/>
          <w:sz w:val="14"/>
          <w:szCs w:val="14"/>
          <w:b w:val="1"/>
          <w:bCs w:val="1"/>
          <w:color w:val="auto"/>
        </w:rPr>
        <w:t>(Address, including Zip Code, of principal executive offices and</w:t>
      </w: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93980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type w:val="continuous"/>
        </w:sectPr>
      </w:pPr>
    </w:p>
    <w:p>
      <w:pPr>
        <w:spacing w:after="0" w:line="235"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93"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Arial" w:cs="Arial" w:eastAsia="Arial" w:hAnsi="Arial"/>
                <w:sz w:val="18"/>
                <w:szCs w:val="18"/>
                <w:color w:val="auto"/>
                <w:w w:val="97"/>
              </w:rPr>
              <w:t>Large accelerated filer</w:t>
            </w:r>
          </w:p>
        </w:tc>
        <w:tc>
          <w:tcPr>
            <w:tcW w:w="6760" w:type="dxa"/>
            <w:vAlign w:val="bottom"/>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2500" w:type="dxa"/>
            <w:vAlign w:val="bottom"/>
          </w:tcPr>
          <w:p>
            <w:pPr>
              <w:ind w:left="34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Non-accelerated filer</w:t>
            </w:r>
          </w:p>
        </w:tc>
        <w:tc>
          <w:tcPr>
            <w:tcW w:w="6760" w:type="dxa"/>
            <w:vAlign w:val="bottom"/>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2500" w:type="dxa"/>
            <w:vAlign w:val="bottom"/>
          </w:tcPr>
          <w:p>
            <w:pPr>
              <w:ind w:left="340"/>
              <w:spacing w:after="0"/>
              <w:rPr>
                <w:sz w:val="20"/>
                <w:szCs w:val="20"/>
                <w:color w:val="auto"/>
              </w:rPr>
            </w:pPr>
            <w:r>
              <w:rPr>
                <w:rFonts w:ascii="Arial" w:cs="Arial" w:eastAsia="Arial" w:hAnsi="Arial"/>
                <w:sz w:val="18"/>
                <w:szCs w:val="18"/>
                <w:color w:val="auto"/>
                <w:w w:val="99"/>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7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89"/>
              </w:rPr>
              <w:t>Indicate by check mark whether the registrant is a shell company (as defined in Rule 12b-2 of the Exchange Act).</w:t>
            </w:r>
          </w:p>
        </w:tc>
        <w:tc>
          <w:tcPr>
            <w:tcW w:w="2500" w:type="dxa"/>
            <w:vAlign w:val="bottom"/>
          </w:tcPr>
          <w:p>
            <w:pPr>
              <w:ind w:left="1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tc>
        <w:tc>
          <w:tcPr>
            <w:tcW w:w="400" w:type="dxa"/>
            <w:vAlign w:val="bottom"/>
          </w:tcPr>
          <w:p>
            <w:pPr>
              <w:spacing w:after="0"/>
              <w:rPr>
                <w:sz w:val="24"/>
                <w:szCs w:val="24"/>
                <w:color w:val="auto"/>
              </w:rPr>
            </w:pPr>
          </w:p>
        </w:tc>
      </w:tr>
      <w:tr>
        <w:trPr>
          <w:trHeight w:val="35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95"/>
              </w:rPr>
              <w:t>The number of common shares of the registrant outstanding as of May 25, 2012 was 563.4 million shares.</w:t>
            </w:r>
          </w:p>
        </w:tc>
        <w:tc>
          <w:tcPr>
            <w:tcW w:w="250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24"/>
        </w:trPr>
        <w:tc>
          <w:tcPr>
            <w:tcW w:w="1760" w:type="dxa"/>
            <w:vAlign w:val="bottom"/>
            <w:tcBorders>
              <w:bottom w:val="single" w:sz="8" w:color="auto"/>
            </w:tcBorders>
          </w:tcPr>
          <w:p>
            <w:pPr>
              <w:spacing w:after="0"/>
              <w:rPr>
                <w:sz w:val="10"/>
                <w:szCs w:val="10"/>
                <w:color w:val="auto"/>
              </w:rPr>
            </w:pPr>
          </w:p>
        </w:tc>
        <w:tc>
          <w:tcPr>
            <w:tcW w:w="6760" w:type="dxa"/>
            <w:vAlign w:val="bottom"/>
            <w:tcBorders>
              <w:bottom w:val="single" w:sz="8" w:color="auto"/>
            </w:tcBorders>
          </w:tcPr>
          <w:p>
            <w:pPr>
              <w:spacing w:after="0"/>
              <w:rPr>
                <w:sz w:val="10"/>
                <w:szCs w:val="10"/>
                <w:color w:val="auto"/>
              </w:rPr>
            </w:pPr>
          </w:p>
        </w:tc>
        <w:tc>
          <w:tcPr>
            <w:tcW w:w="250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r>
      <w:tr>
        <w:trPr>
          <w:trHeight w:val="21"/>
        </w:trPr>
        <w:tc>
          <w:tcPr>
            <w:tcW w:w="1760" w:type="dxa"/>
            <w:vAlign w:val="bottom"/>
            <w:tcBorders>
              <w:bottom w:val="single" w:sz="8" w:color="auto"/>
            </w:tcBorders>
          </w:tcPr>
          <w:p>
            <w:pPr>
              <w:spacing w:after="0" w:line="20" w:lineRule="exact"/>
              <w:rPr>
                <w:sz w:val="1"/>
                <w:szCs w:val="1"/>
                <w:color w:val="auto"/>
              </w:rPr>
            </w:pPr>
          </w:p>
        </w:tc>
        <w:tc>
          <w:tcPr>
            <w:tcW w:w="6760" w:type="dxa"/>
            <w:vAlign w:val="bottom"/>
            <w:tcBorders>
              <w:bottom w:val="single" w:sz="8" w:color="auto"/>
            </w:tcBorders>
          </w:tcPr>
          <w:p>
            <w:pPr>
              <w:spacing w:after="0" w:line="20" w:lineRule="exact"/>
              <w:rPr>
                <w:sz w:val="1"/>
                <w:szCs w:val="1"/>
                <w:color w:val="auto"/>
              </w:rPr>
            </w:pPr>
          </w:p>
        </w:tc>
        <w:tc>
          <w:tcPr>
            <w:tcW w:w="25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420" w:type="dxa"/>
            <w:vAlign w:val="bottom"/>
            <w:gridSpan w:val="9"/>
            <w:vMerge w:val="restart"/>
          </w:tcPr>
          <w:p>
            <w:pPr>
              <w:ind w:left="1560"/>
              <w:spacing w:after="0"/>
              <w:rPr>
                <w:sz w:val="20"/>
                <w:szCs w:val="20"/>
                <w:color w:val="auto"/>
              </w:rPr>
            </w:pPr>
            <w:r>
              <w:rPr>
                <w:rFonts w:ascii="Arial" w:cs="Arial" w:eastAsia="Arial" w:hAnsi="Arial"/>
                <w:sz w:val="18"/>
                <w:szCs w:val="18"/>
                <w:b w:val="1"/>
                <w:bCs w:val="1"/>
                <w:color w:val="auto"/>
              </w:rPr>
              <w:t>PART I. FINANCIAL INFORMATION</w:t>
            </w:r>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94"/>
        </w:trPr>
        <w:tc>
          <w:tcPr>
            <w:tcW w:w="7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420" w:type="dxa"/>
            <w:vAlign w:val="bottom"/>
            <w:gridSpan w:val="9"/>
            <w:vMerge w:val="continue"/>
          </w:tcPr>
          <w:p>
            <w:pPr>
              <w:spacing w:after="0"/>
              <w:rPr>
                <w:sz w:val="16"/>
                <w:szCs w:val="16"/>
                <w:color w:val="auto"/>
              </w:rPr>
            </w:pPr>
          </w:p>
        </w:tc>
        <w:tc>
          <w:tcPr>
            <w:tcW w:w="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86"/>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10160" w:type="dxa"/>
            <w:vAlign w:val="bottom"/>
            <w:gridSpan w:val="15"/>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5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160" w:type="dxa"/>
            <w:vAlign w:val="bottom"/>
            <w:gridSpan w:val="15"/>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April 28, 2012 and January 28, 2012</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25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62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720" w:type="dxa"/>
            <w:vAlign w:val="bottom"/>
            <w:tcBorders>
              <w:bottom w:val="single" w:sz="8" w:color="0000EE"/>
            </w:tcBorders>
            <w:gridSpan w:val="12"/>
          </w:tcPr>
          <w:p>
            <w:pPr>
              <w:spacing w:after="0"/>
              <w:rPr>
                <w:rFonts w:ascii="Arial" w:cs="Arial" w:eastAsia="Arial" w:hAnsi="Arial"/>
                <w:sz w:val="18"/>
                <w:szCs w:val="18"/>
                <w:color w:val="0000EE"/>
                <w:w w:val="88"/>
              </w:rPr>
            </w:pPr>
            <w:hyperlink w:anchor="page4">
              <w:r>
                <w:rPr>
                  <w:rFonts w:ascii="Arial" w:cs="Arial" w:eastAsia="Arial" w:hAnsi="Arial"/>
                  <w:sz w:val="18"/>
                  <w:szCs w:val="18"/>
                  <w:color w:val="0000EE"/>
                  <w:w w:val="88"/>
                </w:rPr>
                <w:t>Unaudited Condensed Consolidated Statements of Operations for the three months ended April 28, 2012 and April 30, 2011</w:t>
              </w:r>
            </w:hyperlink>
          </w:p>
        </w:tc>
        <w:tc>
          <w:tcPr>
            <w:tcW w:w="1440" w:type="dxa"/>
            <w:vAlign w:val="bottom"/>
            <w:gridSpan w:val="3"/>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620" w:type="dxa"/>
            <w:vAlign w:val="bottom"/>
            <w:tcBorders>
              <w:bottom w:val="single" w:sz="8" w:color="0000EE"/>
            </w:tcBorders>
            <w:gridSpan w:val="14"/>
          </w:tcPr>
          <w:p>
            <w:pPr>
              <w:spacing w:after="0"/>
              <w:rPr>
                <w:rFonts w:ascii="Arial" w:cs="Arial" w:eastAsia="Arial" w:hAnsi="Arial"/>
                <w:sz w:val="18"/>
                <w:szCs w:val="18"/>
                <w:color w:val="0000EE"/>
                <w:w w:val="88"/>
              </w:rPr>
            </w:pPr>
            <w:hyperlink w:anchor="page5">
              <w:r>
                <w:rPr>
                  <w:rFonts w:ascii="Arial" w:cs="Arial" w:eastAsia="Arial" w:hAnsi="Arial"/>
                  <w:sz w:val="18"/>
                  <w:szCs w:val="18"/>
                  <w:color w:val="0000EE"/>
                  <w:w w:val="88"/>
                </w:rPr>
                <w:t>Unaudited Condensed Consolidated Statements of Comprehensive Income for the three months ended April 28, 2012 and April 30, 2011</w:t>
              </w:r>
            </w:hyperlink>
          </w:p>
        </w:tc>
        <w:tc>
          <w:tcPr>
            <w:tcW w:w="54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160" w:type="dxa"/>
            <w:vAlign w:val="bottom"/>
            <w:gridSpan w:val="15"/>
          </w:tcPr>
          <w:p>
            <w:pPr>
              <w:spacing w:after="0"/>
              <w:rPr>
                <w:rFonts w:ascii="Arial" w:cs="Arial" w:eastAsia="Arial" w:hAnsi="Arial"/>
                <w:sz w:val="18"/>
                <w:szCs w:val="18"/>
                <w:color w:val="0000EE"/>
              </w:rPr>
            </w:pPr>
            <w:hyperlink w:anchor="page6">
              <w:r>
                <w:rPr>
                  <w:rFonts w:ascii="Arial" w:cs="Arial" w:eastAsia="Arial" w:hAnsi="Arial"/>
                  <w:sz w:val="18"/>
                  <w:szCs w:val="18"/>
                  <w:color w:val="0000EE"/>
                </w:rPr>
                <w:t>Unaudited Condensed Consolidated Statements of Cash Flows for the three months ended April 28, 2012 and April 30, 2011</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80" w:type="dxa"/>
            <w:vAlign w:val="bottom"/>
            <w:tcBorders>
              <w:top w:val="single" w:sz="8" w:color="0000EE"/>
              <w:bottom w:val="single" w:sz="8" w:color="0000EE"/>
            </w:tcBorders>
            <w:gridSpan w:val="9"/>
          </w:tcPr>
          <w:p>
            <w:pPr>
              <w:spacing w:after="0"/>
              <w:rPr>
                <w:rFonts w:ascii="Arial" w:cs="Arial" w:eastAsia="Arial" w:hAnsi="Arial"/>
                <w:sz w:val="18"/>
                <w:szCs w:val="18"/>
                <w:color w:val="0000EE"/>
                <w:w w:val="87"/>
              </w:rPr>
            </w:pPr>
            <w:hyperlink w:anchor="page7">
              <w:r>
                <w:rPr>
                  <w:rFonts w:ascii="Arial" w:cs="Arial" w:eastAsia="Arial" w:hAnsi="Arial"/>
                  <w:sz w:val="18"/>
                  <w:szCs w:val="18"/>
                  <w:color w:val="0000EE"/>
                  <w:w w:val="87"/>
                </w:rPr>
                <w:t>Notes to Unaudited Condensed Consolidated Financial Statements</w:t>
              </w:r>
            </w:hyperlink>
          </w:p>
        </w:tc>
        <w:tc>
          <w:tcPr>
            <w:tcW w:w="4080" w:type="dxa"/>
            <w:vAlign w:val="bottom"/>
            <w:tcBorders>
              <w:top w:val="single" w:sz="8" w:color="0000EE"/>
            </w:tcBorders>
            <w:gridSpan w:val="4"/>
          </w:tcPr>
          <w:p>
            <w:pPr>
              <w:spacing w:after="0"/>
              <w:rPr>
                <w:sz w:val="24"/>
                <w:szCs w:val="24"/>
                <w:color w:val="auto"/>
              </w:rPr>
            </w:pPr>
          </w:p>
        </w:tc>
        <w:tc>
          <w:tcPr>
            <w:tcW w:w="1400" w:type="dxa"/>
            <w:vAlign w:val="bottom"/>
            <w:gridSpan w:val="2"/>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160" w:type="dxa"/>
            <w:vAlign w:val="bottom"/>
            <w:gridSpan w:val="15"/>
          </w:tcPr>
          <w:p>
            <w:pPr>
              <w:spacing w:after="0"/>
              <w:rPr>
                <w:rFonts w:ascii="Arial" w:cs="Arial" w:eastAsia="Arial" w:hAnsi="Arial"/>
                <w:sz w:val="18"/>
                <w:szCs w:val="18"/>
                <w:color w:val="0000EE"/>
              </w:rPr>
            </w:pPr>
            <w:hyperlink w:anchor="page22">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8"/>
          </w:tcPr>
          <w:p>
            <w:pPr>
              <w:spacing w:after="0"/>
              <w:rPr>
                <w:rFonts w:ascii="Arial" w:cs="Arial" w:eastAsia="Arial" w:hAnsi="Arial"/>
                <w:sz w:val="18"/>
                <w:szCs w:val="18"/>
                <w:color w:val="0000EE"/>
                <w:w w:val="89"/>
              </w:rPr>
            </w:pPr>
            <w:hyperlink w:anchor="page27">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2"/>
          </w:tcPr>
          <w:p>
            <w:pPr>
              <w:spacing w:after="0"/>
              <w:rPr>
                <w:sz w:val="24"/>
                <w:szCs w:val="24"/>
                <w:color w:val="auto"/>
              </w:rPr>
            </w:pPr>
          </w:p>
        </w:tc>
        <w:tc>
          <w:tcPr>
            <w:tcW w:w="3860" w:type="dxa"/>
            <w:vAlign w:val="bottom"/>
            <w:gridSpan w:val="5"/>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0160" w:type="dxa"/>
            <w:vAlign w:val="bottom"/>
            <w:gridSpan w:val="15"/>
          </w:tcPr>
          <w:p>
            <w:pPr>
              <w:spacing w:after="0"/>
              <w:rPr>
                <w:rFonts w:ascii="Arial" w:cs="Arial" w:eastAsia="Arial" w:hAnsi="Arial"/>
                <w:sz w:val="18"/>
                <w:szCs w:val="18"/>
                <w:color w:val="0000EE"/>
              </w:rPr>
            </w:pPr>
            <w:hyperlink w:anchor="page29">
              <w:r>
                <w:rPr>
                  <w:rFonts w:ascii="Arial" w:cs="Arial" w:eastAsia="Arial" w:hAnsi="Arial"/>
                  <w:sz w:val="18"/>
                  <w:szCs w:val="18"/>
                  <w:color w:val="0000EE"/>
                </w:rPr>
                <w:t>Controls and Procedures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28</w:t>
            </w:r>
          </w:p>
        </w:tc>
        <w:tc>
          <w:tcPr>
            <w:tcW w:w="0" w:type="dxa"/>
            <w:vAlign w:val="bottom"/>
          </w:tcPr>
          <w:p>
            <w:pPr>
              <w:spacing w:after="0"/>
              <w:rPr>
                <w:sz w:val="1"/>
                <w:szCs w:val="1"/>
                <w:color w:val="auto"/>
              </w:rPr>
            </w:pPr>
          </w:p>
        </w:tc>
      </w:tr>
      <w:tr>
        <w:trPr>
          <w:trHeight w:val="451"/>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52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8420" w:type="dxa"/>
            <w:vAlign w:val="bottom"/>
            <w:gridSpan w:val="9"/>
          </w:tcPr>
          <w:p>
            <w:pPr>
              <w:ind w:left="1440"/>
              <w:spacing w:after="0"/>
              <w:rPr>
                <w:sz w:val="20"/>
                <w:szCs w:val="20"/>
                <w:color w:val="auto"/>
              </w:rPr>
            </w:pPr>
            <w:r>
              <w:rPr>
                <w:rFonts w:ascii="Arial" w:cs="Arial" w:eastAsia="Arial" w:hAnsi="Arial"/>
                <w:sz w:val="18"/>
                <w:szCs w:val="18"/>
                <w:b w:val="1"/>
                <w:bCs w:val="1"/>
                <w:color w:val="auto"/>
              </w:rPr>
              <w:t>PART II. OTHER INFORMATION</w:t>
            </w: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6"/>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10160" w:type="dxa"/>
            <w:vAlign w:val="bottom"/>
            <w:gridSpan w:val="15"/>
          </w:tcPr>
          <w:p>
            <w:pPr>
              <w:spacing w:after="0"/>
              <w:rPr>
                <w:rFonts w:ascii="Arial" w:cs="Arial" w:eastAsia="Arial" w:hAnsi="Arial"/>
                <w:sz w:val="18"/>
                <w:szCs w:val="18"/>
                <w:color w:val="0000EE"/>
              </w:rPr>
            </w:pPr>
            <w:hyperlink w:anchor="page30">
              <w:r>
                <w:rPr>
                  <w:rFonts w:ascii="Arial" w:cs="Arial" w:eastAsia="Arial" w:hAnsi="Arial"/>
                  <w:sz w:val="18"/>
                  <w:szCs w:val="18"/>
                  <w:color w:val="0000EE"/>
                </w:rPr>
                <w:t>Legal Proceedings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4"/>
          </w:tcPr>
          <w:p>
            <w:pPr>
              <w:spacing w:after="0"/>
              <w:rPr>
                <w:rFonts w:ascii="Arial" w:cs="Arial" w:eastAsia="Arial" w:hAnsi="Arial"/>
                <w:sz w:val="18"/>
                <w:szCs w:val="18"/>
                <w:color w:val="0000EE"/>
              </w:rPr>
            </w:pPr>
            <w:hyperlink w:anchor="page30">
              <w:r>
                <w:rPr>
                  <w:rFonts w:ascii="Arial" w:cs="Arial" w:eastAsia="Arial" w:hAnsi="Arial"/>
                  <w:sz w:val="18"/>
                  <w:szCs w:val="18"/>
                  <w:color w:val="0000EE"/>
                </w:rPr>
                <w:t>Risk Factors</w:t>
              </w:r>
            </w:hyperlink>
          </w:p>
        </w:tc>
        <w:tc>
          <w:tcPr>
            <w:tcW w:w="8860" w:type="dxa"/>
            <w:vAlign w:val="bottom"/>
            <w:gridSpan w:val="11"/>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360" w:type="dxa"/>
            <w:vAlign w:val="bottom"/>
            <w:gridSpan w:val="4"/>
          </w:tcPr>
          <w:p>
            <w:pPr>
              <w:spacing w:after="0" w:line="20" w:lineRule="exact"/>
              <w:rPr>
                <w:sz w:val="1"/>
                <w:szCs w:val="1"/>
                <w:color w:val="auto"/>
              </w:rPr>
            </w:pPr>
          </w:p>
        </w:tc>
        <w:tc>
          <w:tcPr>
            <w:tcW w:w="5920" w:type="dxa"/>
            <w:vAlign w:val="bottom"/>
            <w:gridSpan w:val="8"/>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160" w:type="dxa"/>
            <w:vAlign w:val="bottom"/>
            <w:gridSpan w:val="15"/>
          </w:tcPr>
          <w:p>
            <w:pPr>
              <w:spacing w:after="0"/>
              <w:rPr>
                <w:rFonts w:ascii="Arial" w:cs="Arial" w:eastAsia="Arial" w:hAnsi="Arial"/>
                <w:sz w:val="18"/>
                <w:szCs w:val="18"/>
                <w:color w:val="0000EE"/>
              </w:rPr>
            </w:pPr>
            <w:hyperlink w:anchor="page43">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6.</w:t>
            </w:r>
          </w:p>
        </w:tc>
        <w:tc>
          <w:tcPr>
            <w:tcW w:w="4240" w:type="dxa"/>
            <w:vAlign w:val="bottom"/>
            <w:tcBorders>
              <w:top w:val="single" w:sz="8" w:color="0000EE"/>
            </w:tcBorders>
            <w:gridSpan w:val="7"/>
          </w:tcPr>
          <w:p>
            <w:pPr>
              <w:spacing w:after="0"/>
              <w:rPr>
                <w:rFonts w:ascii="Arial" w:cs="Arial" w:eastAsia="Arial" w:hAnsi="Arial"/>
                <w:sz w:val="18"/>
                <w:szCs w:val="18"/>
                <w:color w:val="0000EE"/>
              </w:rPr>
            </w:pPr>
            <w:hyperlink w:anchor="page43">
              <w:r>
                <w:rPr>
                  <w:rFonts w:ascii="Arial" w:cs="Arial" w:eastAsia="Arial" w:hAnsi="Arial"/>
                  <w:sz w:val="18"/>
                  <w:szCs w:val="18"/>
                  <w:color w:val="0000EE"/>
                </w:rPr>
                <w:t>Exhibits</w:t>
              </w:r>
            </w:hyperlink>
          </w:p>
        </w:tc>
        <w:tc>
          <w:tcPr>
            <w:tcW w:w="5920" w:type="dxa"/>
            <w:vAlign w:val="bottom"/>
            <w:gridSpan w:val="8"/>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rFonts w:ascii="Arial" w:cs="Arial" w:eastAsia="Arial" w:hAnsi="Arial"/>
                <w:sz w:val="18"/>
                <w:szCs w:val="18"/>
                <w:color w:val="0000EE"/>
                <w:w w:val="99"/>
              </w:rPr>
            </w:pPr>
            <w:hyperlink w:anchor="page44">
              <w:r>
                <w:rPr>
                  <w:rFonts w:ascii="Arial" w:cs="Arial" w:eastAsia="Arial" w:hAnsi="Arial"/>
                  <w:sz w:val="18"/>
                  <w:szCs w:val="18"/>
                  <w:color w:val="0000EE"/>
                  <w:w w:val="99"/>
                </w:rPr>
                <w:t>Signatures</w:t>
              </w:r>
            </w:hyperlink>
          </w:p>
        </w:tc>
        <w:tc>
          <w:tcPr>
            <w:tcW w:w="80" w:type="dxa"/>
            <w:vAlign w:val="bottom"/>
            <w:tcBorders>
              <w:top w:val="single" w:sz="8" w:color="0000EE"/>
            </w:tcBorders>
          </w:tcPr>
          <w:p>
            <w:pPr>
              <w:spacing w:after="0"/>
              <w:rPr>
                <w:sz w:val="24"/>
                <w:szCs w:val="24"/>
                <w:color w:val="auto"/>
              </w:rPr>
            </w:pPr>
          </w:p>
        </w:tc>
        <w:tc>
          <w:tcPr>
            <w:tcW w:w="52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5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10080" w:type="dxa"/>
            <w:vAlign w:val="bottom"/>
            <w:gridSpan w:val="14"/>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1040" w:type="dxa"/>
            <w:vAlign w:val="bottom"/>
            <w:gridSpan w:val="17"/>
          </w:tcPr>
          <w:p>
            <w:pPr>
              <w:spacing w:after="0"/>
              <w:rPr>
                <w:rFonts w:ascii="Arial" w:cs="Arial" w:eastAsia="Arial" w:hAnsi="Arial"/>
                <w:sz w:val="18"/>
                <w:szCs w:val="18"/>
                <w:color w:val="0000EE"/>
              </w:rPr>
            </w:pPr>
            <w:hyperlink w:anchor="page45">
              <w:r>
                <w:rPr>
                  <w:rFonts w:ascii="Arial" w:cs="Arial" w:eastAsia="Arial" w:hAnsi="Arial"/>
                  <w:sz w:val="18"/>
                  <w:szCs w:val="18"/>
                  <w:color w:val="0000EE"/>
                </w:rPr>
                <w:t>Exhibit Index</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6220" w:type="dxa"/>
            <w:vAlign w:val="bottom"/>
            <w:gridSpan w:val="9"/>
          </w:tcPr>
          <w:p>
            <w:pPr>
              <w:jc w:val="right"/>
              <w:ind w:right="1420"/>
              <w:spacing w:after="0"/>
              <w:rPr>
                <w:sz w:val="20"/>
                <w:szCs w:val="20"/>
                <w:color w:val="auto"/>
              </w:rPr>
            </w:pPr>
            <w:r>
              <w:rPr>
                <w:rFonts w:ascii="Arial" w:cs="Arial" w:eastAsia="Arial" w:hAnsi="Arial"/>
                <w:sz w:val="18"/>
                <w:szCs w:val="18"/>
                <w:color w:val="auto"/>
              </w:rPr>
              <w:t>1</w:t>
            </w:r>
          </w:p>
        </w:tc>
        <w:tc>
          <w:tcPr>
            <w:tcW w:w="34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ind w:left="40"/>
              <w:spacing w:after="0"/>
              <w:rPr>
                <w:sz w:val="20"/>
                <w:szCs w:val="20"/>
                <w:color w:val="auto"/>
              </w:rPr>
            </w:pPr>
            <w:r>
              <w:rPr>
                <w:rFonts w:ascii="Arial" w:cs="Arial" w:eastAsia="Arial" w:hAnsi="Arial"/>
                <w:sz w:val="14"/>
                <w:szCs w:val="14"/>
                <w:b w:val="1"/>
                <w:bCs w:val="1"/>
                <w:color w:val="auto"/>
              </w:rPr>
              <w:t>April 28,</w:t>
            </w:r>
          </w:p>
        </w:tc>
        <w:tc>
          <w:tcPr>
            <w:tcW w:w="14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1"/>
        </w:trPr>
        <w:tc>
          <w:tcPr>
            <w:tcW w:w="9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2012</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420" w:type="dxa"/>
            <w:vAlign w:val="bottom"/>
            <w:shd w:val="clear" w:color="auto" w:fill="CCEEFF"/>
          </w:tcPr>
          <w:p>
            <w:pPr>
              <w:ind w:left="4780"/>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880,559</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784,902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1,322,122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1,461,596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417,382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407,263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353,387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354,119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57,541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10,635</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3,041,626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3,078,961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382,374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383,801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23,215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2,031,991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2,031,991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127,150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141,505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112,169</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108,146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5,718,525</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5,767,619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420" w:type="dxa"/>
            <w:vAlign w:val="bottom"/>
            <w:vMerge w:val="restart"/>
          </w:tcPr>
          <w:p>
            <w:pPr>
              <w:ind w:left="2700"/>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942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323,392</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304,695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108,142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87,655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136,597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137,245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65,413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59,959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942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633,544</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589,554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130,727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131,579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31,724</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32,468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795,995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753,601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Commitments and contingencies (Note 9)</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Common shares, $0.002 par value</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1,146</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1,167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3,495,561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3,683,112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Accumulated other comprehensive income</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2,317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776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Retained earnings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1,423,506</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1,328,963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9420" w:type="dxa"/>
            <w:vAlign w:val="bottom"/>
          </w:tcPr>
          <w:p>
            <w:pPr>
              <w:ind w:left="88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4,922,530</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5,014,018</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5,718,525</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5,767,619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6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80" w:type="dxa"/>
            <w:vAlign w:val="bottom"/>
            <w:gridSpan w:val="5"/>
          </w:tcPr>
          <w:p>
            <w:pPr>
              <w:jc w:val="right"/>
              <w:ind w:right="320"/>
              <w:spacing w:after="0"/>
              <w:rPr>
                <w:sz w:val="20"/>
                <w:szCs w:val="20"/>
                <w:color w:val="auto"/>
              </w:rPr>
            </w:pPr>
            <w:r>
              <w:rPr>
                <w:rFonts w:ascii="Arial" w:cs="Arial" w:eastAsia="Arial" w:hAnsi="Arial"/>
                <w:sz w:val="14"/>
                <w:szCs w:val="14"/>
                <w:b w:val="1"/>
                <w:bCs w:val="1"/>
                <w:color w:val="auto"/>
                <w:w w:val="96"/>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640" w:type="dxa"/>
            <w:vAlign w:val="bottom"/>
          </w:tcPr>
          <w:p>
            <w:pPr>
              <w:spacing w:after="0"/>
              <w:rPr>
                <w:sz w:val="11"/>
                <w:szCs w:val="11"/>
                <w:color w:val="auto"/>
              </w:rPr>
            </w:pP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rPr>
              <w:t>April 28,</w:t>
            </w:r>
          </w:p>
        </w:tc>
        <w:tc>
          <w:tcPr>
            <w:tcW w:w="3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jc w:val="right"/>
              <w:ind w:right="13"/>
              <w:spacing w:after="0" w:line="129" w:lineRule="exact"/>
              <w:rPr>
                <w:sz w:val="20"/>
                <w:szCs w:val="20"/>
                <w:color w:val="auto"/>
              </w:rPr>
            </w:pPr>
            <w:r>
              <w:rPr>
                <w:rFonts w:ascii="Arial" w:cs="Arial" w:eastAsia="Arial" w:hAnsi="Arial"/>
                <w:sz w:val="14"/>
                <w:szCs w:val="14"/>
                <w:b w:val="1"/>
                <w:bCs w:val="1"/>
                <w:color w:val="auto"/>
              </w:rPr>
              <w:t>April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6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2012</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6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796,351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802,402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366,322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334,475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255,970</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242,537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40,066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38,152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25,705</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24,784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14,355</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14,341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964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8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702,418</w:t>
            </w:r>
          </w:p>
        </w:tc>
        <w:tc>
          <w:tcPr>
            <w:tcW w:w="3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654,289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93,933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148,113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4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1,057</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(218)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8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94,990</w:t>
            </w:r>
          </w:p>
        </w:tc>
        <w:tc>
          <w:tcPr>
            <w:tcW w:w="3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147,895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4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447</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1,034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94,543</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146,861</w:t>
            </w:r>
          </w:p>
        </w:tc>
        <w:tc>
          <w:tcPr>
            <w:tcW w:w="0" w:type="dxa"/>
            <w:vAlign w:val="bottom"/>
          </w:tcPr>
          <w:p>
            <w:pPr>
              <w:spacing w:after="0"/>
              <w:rPr>
                <w:sz w:val="1"/>
                <w:szCs w:val="1"/>
                <w:color w:val="auto"/>
              </w:rPr>
            </w:pPr>
          </w:p>
        </w:tc>
      </w:tr>
      <w:tr>
        <w:trPr>
          <w:trHeight w:val="20"/>
        </w:trPr>
        <w:tc>
          <w:tcPr>
            <w:tcW w:w="9660" w:type="dxa"/>
            <w:vAlign w:val="bottom"/>
            <w:gridSpan w:val="2"/>
            <w:vMerge w:val="restart"/>
          </w:tcPr>
          <w:p>
            <w:pPr>
              <w:spacing w:after="0"/>
              <w:rPr>
                <w:sz w:val="20"/>
                <w:szCs w:val="20"/>
                <w:color w:val="auto"/>
              </w:rPr>
            </w:pPr>
            <w:r>
              <w:rPr>
                <w:rFonts w:ascii="Arial" w:cs="Arial" w:eastAsia="Arial" w:hAnsi="Arial"/>
                <w:sz w:val="18"/>
                <w:szCs w:val="18"/>
                <w:color w:val="auto"/>
              </w:rPr>
              <w:t>Net income per share:</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660" w:type="dxa"/>
            <w:vAlign w:val="bottom"/>
            <w:gridSpan w:val="2"/>
            <w:vMerge w:val="continue"/>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9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64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9640" w:type="dxa"/>
            <w:vAlign w:val="bottom"/>
            <w:vMerge w:val="continue"/>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0.16</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0.22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6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96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tcPr>
          <w:p>
            <w:pPr>
              <w:ind w:left="420"/>
              <w:spacing w:after="0"/>
              <w:rPr>
                <w:sz w:val="20"/>
                <w:szCs w:val="20"/>
                <w:color w:val="auto"/>
              </w:rPr>
            </w:pPr>
            <w:r>
              <w:rPr>
                <w:rFonts w:ascii="Arial" w:cs="Arial" w:eastAsia="Arial" w:hAnsi="Arial"/>
                <w:sz w:val="18"/>
                <w:szCs w:val="18"/>
                <w:color w:val="auto"/>
              </w:rPr>
              <w:t>Basic</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580,024</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638,946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6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9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594,739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657,140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6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720" w:type="dxa"/>
            <w:vAlign w:val="bottom"/>
          </w:tcPr>
          <w:p>
            <w:pPr>
              <w:spacing w:after="0"/>
              <w:rPr>
                <w:sz w:val="14"/>
                <w:szCs w:val="14"/>
                <w:color w:val="auto"/>
              </w:rPr>
            </w:pPr>
          </w:p>
        </w:tc>
        <w:tc>
          <w:tcPr>
            <w:tcW w:w="1680" w:type="dxa"/>
            <w:vAlign w:val="bottom"/>
            <w:gridSpan w:val="4"/>
          </w:tcPr>
          <w:p>
            <w:pPr>
              <w:jc w:val="right"/>
              <w:ind w:right="280"/>
              <w:spacing w:after="0"/>
              <w:rPr>
                <w:sz w:val="20"/>
                <w:szCs w:val="20"/>
                <w:color w:val="auto"/>
              </w:rPr>
            </w:pPr>
            <w:r>
              <w:rPr>
                <w:rFonts w:ascii="Arial" w:cs="Arial" w:eastAsia="Arial" w:hAnsi="Arial"/>
                <w:sz w:val="14"/>
                <w:szCs w:val="14"/>
                <w:b w:val="1"/>
                <w:bCs w:val="1"/>
                <w:color w:val="auto"/>
                <w:w w:val="99"/>
              </w:rPr>
              <w:t>Three Months Ended</w:t>
            </w:r>
          </w:p>
        </w:tc>
      </w:tr>
      <w:tr>
        <w:trPr>
          <w:trHeight w:val="129"/>
        </w:trPr>
        <w:tc>
          <w:tcPr>
            <w:tcW w:w="20" w:type="dxa"/>
            <w:vAlign w:val="bottom"/>
          </w:tcPr>
          <w:p>
            <w:pPr>
              <w:spacing w:after="0"/>
              <w:rPr>
                <w:sz w:val="11"/>
                <w:szCs w:val="11"/>
                <w:color w:val="auto"/>
              </w:rPr>
            </w:pPr>
          </w:p>
        </w:tc>
        <w:tc>
          <w:tcPr>
            <w:tcW w:w="9720" w:type="dxa"/>
            <w:vAlign w:val="bottom"/>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7"/>
              </w:rPr>
              <w:t>April 28,</w:t>
            </w:r>
          </w:p>
        </w:tc>
        <w:tc>
          <w:tcPr>
            <w:tcW w:w="3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ind w:right="17"/>
              <w:spacing w:after="0" w:line="129" w:lineRule="exact"/>
              <w:rPr>
                <w:sz w:val="20"/>
                <w:szCs w:val="20"/>
                <w:color w:val="auto"/>
              </w:rPr>
            </w:pPr>
            <w:r>
              <w:rPr>
                <w:rFonts w:ascii="Arial" w:cs="Arial" w:eastAsia="Arial" w:hAnsi="Arial"/>
                <w:sz w:val="14"/>
                <w:szCs w:val="14"/>
                <w:b w:val="1"/>
                <w:bCs w:val="1"/>
                <w:color w:val="auto"/>
              </w:rPr>
              <w:t>April 30,</w:t>
            </w:r>
          </w:p>
        </w:tc>
        <w:tc>
          <w:tcPr>
            <w:tcW w:w="100" w:type="dxa"/>
            <w:vAlign w:val="bottom"/>
          </w:tcPr>
          <w:p>
            <w:pPr>
              <w:spacing w:after="0"/>
              <w:rPr>
                <w:sz w:val="11"/>
                <w:szCs w:val="11"/>
                <w:color w:val="auto"/>
              </w:rPr>
            </w:pPr>
          </w:p>
        </w:tc>
      </w:tr>
      <w:tr>
        <w:trPr>
          <w:trHeight w:val="161"/>
        </w:trPr>
        <w:tc>
          <w:tcPr>
            <w:tcW w:w="20" w:type="dxa"/>
            <w:vAlign w:val="bottom"/>
          </w:tcPr>
          <w:p>
            <w:pPr>
              <w:spacing w:after="0"/>
              <w:rPr>
                <w:sz w:val="14"/>
                <w:szCs w:val="14"/>
                <w:color w:val="auto"/>
              </w:rPr>
            </w:pPr>
          </w:p>
        </w:tc>
        <w:tc>
          <w:tcPr>
            <w:tcW w:w="9720" w:type="dxa"/>
            <w:vAlign w:val="bottom"/>
          </w:tcPr>
          <w:p>
            <w:pPr>
              <w:spacing w:after="0"/>
              <w:rPr>
                <w:sz w:val="14"/>
                <w:szCs w:val="14"/>
                <w:color w:val="auto"/>
              </w:rPr>
            </w:pPr>
          </w:p>
        </w:tc>
        <w:tc>
          <w:tcPr>
            <w:tcW w:w="580" w:type="dxa"/>
            <w:vAlign w:val="bottom"/>
          </w:tcPr>
          <w:p>
            <w:pPr>
              <w:jc w:val="right"/>
              <w:ind w:right="59"/>
              <w:spacing w:after="0"/>
              <w:rPr>
                <w:sz w:val="20"/>
                <w:szCs w:val="20"/>
                <w:color w:val="auto"/>
              </w:rPr>
            </w:pPr>
            <w:r>
              <w:rPr>
                <w:rFonts w:ascii="Arial" w:cs="Arial" w:eastAsia="Arial" w:hAnsi="Arial"/>
                <w:sz w:val="14"/>
                <w:szCs w:val="14"/>
                <w:b w:val="1"/>
                <w:bCs w:val="1"/>
                <w:color w:val="auto"/>
              </w:rPr>
              <w:t>2012</w:t>
            </w:r>
          </w:p>
        </w:tc>
        <w:tc>
          <w:tcPr>
            <w:tcW w:w="1000" w:type="dxa"/>
            <w:vAlign w:val="bottom"/>
            <w:gridSpan w:val="2"/>
          </w:tcPr>
          <w:p>
            <w:pPr>
              <w:jc w:val="right"/>
              <w:ind w:right="137"/>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r>
      <w:tr>
        <w:trPr>
          <w:trHeight w:val="210"/>
        </w:trPr>
        <w:tc>
          <w:tcPr>
            <w:tcW w:w="20" w:type="dxa"/>
            <w:vAlign w:val="bottom"/>
          </w:tcPr>
          <w:p>
            <w:pPr>
              <w:spacing w:after="0"/>
              <w:rPr>
                <w:sz w:val="18"/>
                <w:szCs w:val="18"/>
                <w:color w:val="auto"/>
              </w:rPr>
            </w:pPr>
          </w:p>
        </w:tc>
        <w:tc>
          <w:tcPr>
            <w:tcW w:w="97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income</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$94,543</w:t>
            </w:r>
          </w:p>
        </w:tc>
        <w:tc>
          <w:tcPr>
            <w:tcW w:w="3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$146,861</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720" w:type="dxa"/>
            <w:vAlign w:val="bottom"/>
          </w:tcPr>
          <w:p>
            <w:pPr>
              <w:spacing w:after="0"/>
              <w:rPr>
                <w:sz w:val="20"/>
                <w:szCs w:val="20"/>
                <w:color w:val="auto"/>
              </w:rPr>
            </w:pPr>
            <w:r>
              <w:rPr>
                <w:rFonts w:ascii="Arial" w:cs="Arial" w:eastAsia="Arial" w:hAnsi="Arial"/>
                <w:sz w:val="18"/>
                <w:szCs w:val="18"/>
                <w:color w:val="auto"/>
              </w:rPr>
              <w:t>Other comprehensive income, net of tax</w:t>
            </w: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7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unrealized gain on marketable securities</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289</w:t>
            </w:r>
          </w:p>
        </w:tc>
        <w:tc>
          <w:tcPr>
            <w:tcW w:w="11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1,604</w:t>
            </w:r>
          </w:p>
        </w:tc>
      </w:tr>
      <w:tr>
        <w:trPr>
          <w:trHeight w:val="216"/>
        </w:trPr>
        <w:tc>
          <w:tcPr>
            <w:tcW w:w="20" w:type="dxa"/>
            <w:vAlign w:val="bottom"/>
          </w:tcPr>
          <w:p>
            <w:pPr>
              <w:spacing w:after="0"/>
              <w:rPr>
                <w:sz w:val="18"/>
                <w:szCs w:val="18"/>
                <w:color w:val="auto"/>
              </w:rPr>
            </w:pPr>
          </w:p>
        </w:tc>
        <w:tc>
          <w:tcPr>
            <w:tcW w:w="9720" w:type="dxa"/>
            <w:vAlign w:val="bottom"/>
          </w:tcPr>
          <w:p>
            <w:pPr>
              <w:ind w:left="420"/>
              <w:spacing w:after="0"/>
              <w:rPr>
                <w:sz w:val="20"/>
                <w:szCs w:val="20"/>
                <w:color w:val="auto"/>
              </w:rPr>
            </w:pPr>
            <w:r>
              <w:rPr>
                <w:rFonts w:ascii="Arial" w:cs="Arial" w:eastAsia="Arial" w:hAnsi="Arial"/>
                <w:sz w:val="18"/>
                <w:szCs w:val="18"/>
                <w:color w:val="auto"/>
              </w:rPr>
              <w:t>Net unrealized loss on auction rate securities</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3"/>
          </w:tcPr>
          <w:p>
            <w:pPr>
              <w:jc w:val="right"/>
              <w:ind w:right="40"/>
              <w:spacing w:after="0"/>
              <w:rPr>
                <w:sz w:val="20"/>
                <w:szCs w:val="20"/>
                <w:color w:val="auto"/>
              </w:rPr>
            </w:pPr>
            <w:r>
              <w:rPr>
                <w:rFonts w:ascii="Arial" w:cs="Arial" w:eastAsia="Arial" w:hAnsi="Arial"/>
                <w:sz w:val="18"/>
                <w:szCs w:val="18"/>
                <w:color w:val="auto"/>
              </w:rPr>
              <w:t>(56)</w:t>
            </w:r>
          </w:p>
        </w:tc>
      </w:tr>
      <w:tr>
        <w:trPr>
          <w:trHeight w:val="216"/>
        </w:trPr>
        <w:tc>
          <w:tcPr>
            <w:tcW w:w="20" w:type="dxa"/>
            <w:vAlign w:val="bottom"/>
          </w:tcPr>
          <w:p>
            <w:pPr>
              <w:spacing w:after="0"/>
              <w:rPr>
                <w:sz w:val="18"/>
                <w:szCs w:val="18"/>
                <w:color w:val="auto"/>
              </w:rPr>
            </w:pPr>
          </w:p>
        </w:tc>
        <w:tc>
          <w:tcPr>
            <w:tcW w:w="97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unrealized gain on cash flow hedges</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1,252</w:t>
            </w:r>
          </w:p>
        </w:tc>
        <w:tc>
          <w:tcPr>
            <w:tcW w:w="320" w:type="dxa"/>
            <w:vAlign w:val="bottom"/>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3,940</w:t>
            </w:r>
          </w:p>
        </w:tc>
        <w:tc>
          <w:tcPr>
            <w:tcW w:w="10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9720" w:type="dxa"/>
            <w:vAlign w:val="bottom"/>
          </w:tcPr>
          <w:p>
            <w:pPr>
              <w:ind w:left="860"/>
              <w:spacing w:after="0"/>
              <w:rPr>
                <w:sz w:val="20"/>
                <w:szCs w:val="20"/>
                <w:color w:val="auto"/>
              </w:rPr>
            </w:pPr>
            <w:r>
              <w:rPr>
                <w:rFonts w:ascii="Arial" w:cs="Arial" w:eastAsia="Arial" w:hAnsi="Arial"/>
                <w:sz w:val="18"/>
                <w:szCs w:val="18"/>
                <w:color w:val="auto"/>
              </w:rPr>
              <w:t>Other comprehensive income, net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1,541</w:t>
            </w:r>
          </w:p>
        </w:tc>
        <w:tc>
          <w:tcPr>
            <w:tcW w:w="320" w:type="dxa"/>
            <w:vAlign w:val="bottom"/>
          </w:tcPr>
          <w:p>
            <w:pPr>
              <w:spacing w:after="0"/>
              <w:rPr>
                <w:sz w:val="20"/>
                <w:szCs w:val="20"/>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5,488</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9720" w:type="dxa"/>
            <w:vAlign w:val="bottom"/>
            <w:shd w:val="clear" w:color="auto" w:fill="CCEEFF"/>
          </w:tcPr>
          <w:p>
            <w:pPr>
              <w:spacing w:after="0"/>
              <w:rPr>
                <w:sz w:val="20"/>
                <w:szCs w:val="20"/>
                <w:color w:val="auto"/>
              </w:rPr>
            </w:pPr>
            <w:r>
              <w:rPr>
                <w:rFonts w:ascii="Arial" w:cs="Arial" w:eastAsia="Arial" w:hAnsi="Arial"/>
                <w:sz w:val="18"/>
                <w:szCs w:val="18"/>
                <w:color w:val="auto"/>
              </w:rPr>
              <w:t>Comprehensive income</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96,084</w:t>
            </w:r>
          </w:p>
        </w:tc>
        <w:tc>
          <w:tcPr>
            <w:tcW w:w="11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152,349</w:t>
            </w:r>
          </w:p>
        </w:tc>
      </w:tr>
      <w:tr>
        <w:trPr>
          <w:trHeight w:val="20"/>
        </w:trPr>
        <w:tc>
          <w:tcPr>
            <w:tcW w:w="20" w:type="dxa"/>
            <w:vAlign w:val="bottom"/>
          </w:tcPr>
          <w:p>
            <w:pPr>
              <w:spacing w:after="0" w:line="20" w:lineRule="exact"/>
              <w:rPr>
                <w:sz w:val="1"/>
                <w:szCs w:val="1"/>
                <w:color w:val="auto"/>
              </w:rPr>
            </w:pPr>
          </w:p>
        </w:tc>
        <w:tc>
          <w:tcPr>
            <w:tcW w:w="97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4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26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gridSpan w:val="2"/>
          </w:tcPr>
          <w:p>
            <w:pPr>
              <w:jc w:val="right"/>
              <w:ind w:right="540"/>
              <w:spacing w:after="0" w:line="129" w:lineRule="exact"/>
              <w:rPr>
                <w:sz w:val="20"/>
                <w:szCs w:val="20"/>
                <w:color w:val="auto"/>
              </w:rPr>
            </w:pPr>
            <w:r>
              <w:rPr>
                <w:rFonts w:ascii="Arial" w:cs="Arial" w:eastAsia="Arial" w:hAnsi="Arial"/>
                <w:sz w:val="14"/>
                <w:szCs w:val="14"/>
                <w:b w:val="1"/>
                <w:bCs w:val="1"/>
                <w:color w:val="auto"/>
                <w:w w:val="90"/>
              </w:rPr>
              <w:t>April 28,</w:t>
            </w: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right"/>
              <w:ind w:right="93"/>
              <w:spacing w:after="0" w:line="129" w:lineRule="exact"/>
              <w:rPr>
                <w:sz w:val="20"/>
                <w:szCs w:val="20"/>
                <w:color w:val="auto"/>
              </w:rPr>
            </w:pPr>
            <w:r>
              <w:rPr>
                <w:rFonts w:ascii="Arial" w:cs="Arial" w:eastAsia="Arial" w:hAnsi="Arial"/>
                <w:sz w:val="14"/>
                <w:szCs w:val="14"/>
                <w:b w:val="1"/>
                <w:bCs w:val="1"/>
                <w:color w:val="auto"/>
              </w:rPr>
              <w:t>April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2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2012</w:t>
            </w:r>
          </w:p>
        </w:tc>
        <w:tc>
          <w:tcPr>
            <w:tcW w:w="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92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420"/>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94,543</w:t>
            </w:r>
          </w:p>
        </w:tc>
        <w:tc>
          <w:tcPr>
            <w:tcW w:w="4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146,861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86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21,199</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24,037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27,192</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27,480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86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14,355</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14,341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Other expense, net</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2,903</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3,854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86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Changes in assets and liabilities: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1280"/>
              <w:spacing w:after="0"/>
              <w:rPr>
                <w:sz w:val="20"/>
                <w:szCs w:val="20"/>
                <w:color w:val="auto"/>
              </w:rPr>
            </w:pPr>
            <w:r>
              <w:rPr>
                <w:rFonts w:ascii="Arial" w:cs="Arial" w:eastAsia="Arial" w:hAnsi="Arial"/>
                <w:sz w:val="18"/>
                <w:szCs w:val="18"/>
                <w:color w:val="auto"/>
              </w:rPr>
              <w:t>Accounts receivable</w:t>
            </w:r>
          </w:p>
        </w:tc>
        <w:tc>
          <w:tcPr>
            <w:tcW w:w="10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(10,119)</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33,938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(53,107)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128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4,242</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21,249</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(5,295)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1280"/>
              <w:spacing w:after="0"/>
              <w:rPr>
                <w:sz w:val="20"/>
                <w:szCs w:val="20"/>
                <w:color w:val="auto"/>
              </w:rPr>
            </w:pPr>
            <w:r>
              <w:rPr>
                <w:rFonts w:ascii="Arial" w:cs="Arial" w:eastAsia="Arial" w:hAnsi="Arial"/>
                <w:sz w:val="18"/>
                <w:szCs w:val="18"/>
                <w:color w:val="auto"/>
              </w:rPr>
              <w:t>Accrued liabilities and other</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18,143</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(5,450)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(648)</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(14,880)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260" w:type="dxa"/>
            <w:vAlign w:val="bottom"/>
          </w:tcPr>
          <w:p>
            <w:pPr>
              <w:ind w:left="128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5,454</w:t>
            </w: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4,729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172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198,673</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177,149</w:t>
            </w:r>
          </w:p>
        </w:tc>
        <w:tc>
          <w:tcPr>
            <w:tcW w:w="0" w:type="dxa"/>
            <w:vAlign w:val="bottom"/>
          </w:tcPr>
          <w:p>
            <w:pPr>
              <w:spacing w:after="0"/>
              <w:rPr>
                <w:sz w:val="1"/>
                <w:szCs w:val="1"/>
                <w:color w:val="auto"/>
              </w:rPr>
            </w:pPr>
          </w:p>
        </w:tc>
      </w:tr>
      <w:tr>
        <w:trPr>
          <w:trHeight w:val="222"/>
        </w:trPr>
        <w:tc>
          <w:tcPr>
            <w:tcW w:w="9280" w:type="dxa"/>
            <w:vAlign w:val="bottom"/>
            <w:gridSpan w:val="2"/>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spacing w:after="0"/>
              <w:rPr>
                <w:sz w:val="19"/>
                <w:szCs w:val="19"/>
                <w:color w:val="auto"/>
              </w:rPr>
            </w:pPr>
          </w:p>
        </w:tc>
        <w:tc>
          <w:tcPr>
            <w:tcW w:w="4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9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marketable securities</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8"/>
              </w:rPr>
              <w:t>(421,652)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(677,179)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420"/>
              <w:spacing w:after="0"/>
              <w:rPr>
                <w:sz w:val="20"/>
                <w:szCs w:val="20"/>
                <w:color w:val="auto"/>
              </w:rPr>
            </w:pPr>
            <w:r>
              <w:rPr>
                <w:rFonts w:ascii="Arial" w:cs="Arial" w:eastAsia="Arial" w:hAnsi="Arial"/>
                <w:sz w:val="18"/>
                <w:szCs w:val="18"/>
                <w:color w:val="auto"/>
              </w:rPr>
              <w:t>Purchases of strategic investments</w:t>
            </w:r>
          </w:p>
        </w:tc>
        <w:tc>
          <w:tcPr>
            <w:tcW w:w="10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(5,000)</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(1,750)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investments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558,777</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272,547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420"/>
              <w:spacing w:after="0"/>
              <w:rPr>
                <w:sz w:val="20"/>
                <w:szCs w:val="20"/>
                <w:color w:val="auto"/>
              </w:rPr>
            </w:pPr>
            <w:r>
              <w:rPr>
                <w:rFonts w:ascii="Arial" w:cs="Arial" w:eastAsia="Arial" w:hAnsi="Arial"/>
                <w:sz w:val="18"/>
                <w:szCs w:val="18"/>
                <w:color w:val="auto"/>
              </w:rPr>
              <w:t>Cash paid for acquisition, net</w:t>
            </w:r>
          </w:p>
        </w:tc>
        <w:tc>
          <w:tcPr>
            <w:tcW w:w="100" w:type="dxa"/>
            <w:vAlign w:val="bottom"/>
          </w:tcPr>
          <w:p>
            <w:pPr>
              <w:spacing w:after="0"/>
              <w:rPr>
                <w:sz w:val="18"/>
                <w:szCs w:val="18"/>
                <w:color w:val="auto"/>
              </w:rPr>
            </w:pPr>
          </w:p>
        </w:tc>
        <w:tc>
          <w:tcPr>
            <w:tcW w:w="10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(16,330)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(2,045)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(3,290)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(18,904)</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(17,018)</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1720"/>
              <w:spacing w:after="0"/>
              <w:rPr>
                <w:sz w:val="20"/>
                <w:szCs w:val="20"/>
                <w:color w:val="auto"/>
              </w:rPr>
            </w:pPr>
            <w:r>
              <w:rPr>
                <w:rFonts w:ascii="Arial" w:cs="Arial" w:eastAsia="Arial" w:hAnsi="Arial"/>
                <w:sz w:val="18"/>
                <w:szCs w:val="18"/>
                <w:color w:val="auto"/>
              </w:rPr>
              <w:t>Net cash provided by (used in) investing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111,176</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(443,020)</w:t>
            </w:r>
          </w:p>
        </w:tc>
        <w:tc>
          <w:tcPr>
            <w:tcW w:w="0" w:type="dxa"/>
            <w:vAlign w:val="bottom"/>
          </w:tcPr>
          <w:p>
            <w:pPr>
              <w:spacing w:after="0"/>
              <w:rPr>
                <w:sz w:val="1"/>
                <w:szCs w:val="1"/>
                <w:color w:val="auto"/>
              </w:rPr>
            </w:pPr>
          </w:p>
        </w:tc>
      </w:tr>
      <w:tr>
        <w:trPr>
          <w:trHeight w:val="222"/>
        </w:trPr>
        <w:tc>
          <w:tcPr>
            <w:tcW w:w="9280" w:type="dxa"/>
            <w:vAlign w:val="bottom"/>
            <w:gridSpan w:val="2"/>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spacing w:after="0"/>
              <w:rPr>
                <w:sz w:val="19"/>
                <w:szCs w:val="19"/>
                <w:color w:val="auto"/>
              </w:rPr>
            </w:pPr>
          </w:p>
        </w:tc>
        <w:tc>
          <w:tcPr>
            <w:tcW w:w="4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9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Repurchase of common stock</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8"/>
              </w:rPr>
              <w:t>(223,157)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(803,501)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420"/>
              <w:spacing w:after="0"/>
              <w:rPr>
                <w:sz w:val="20"/>
                <w:szCs w:val="20"/>
                <w:color w:val="auto"/>
              </w:rPr>
            </w:pPr>
            <w:r>
              <w:rPr>
                <w:rFonts w:ascii="Arial" w:cs="Arial" w:eastAsia="Arial" w:hAnsi="Arial"/>
                <w:sz w:val="18"/>
                <w:szCs w:val="18"/>
                <w:color w:val="auto"/>
              </w:rPr>
              <w:t>Proceeds from employee stock plans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17,803</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9,841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(8,879)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(4,634)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tcPr>
          <w:p>
            <w:pPr>
              <w:ind w:left="420"/>
              <w:spacing w:after="0"/>
              <w:rPr>
                <w:sz w:val="20"/>
                <w:szCs w:val="20"/>
                <w:color w:val="auto"/>
              </w:rPr>
            </w:pPr>
            <w:r>
              <w:rPr>
                <w:rFonts w:ascii="Arial" w:cs="Arial" w:eastAsia="Arial" w:hAnsi="Arial"/>
                <w:sz w:val="18"/>
                <w:szCs w:val="18"/>
                <w:color w:val="auto"/>
              </w:rPr>
              <w:t>Principal payments on capital lease obligations</w:t>
            </w:r>
          </w:p>
        </w:tc>
        <w:tc>
          <w:tcPr>
            <w:tcW w:w="100" w:type="dxa"/>
            <w:vAlign w:val="bottom"/>
          </w:tcPr>
          <w:p>
            <w:pPr>
              <w:spacing w:after="0"/>
              <w:rPr>
                <w:sz w:val="18"/>
                <w:szCs w:val="18"/>
                <w:color w:val="auto"/>
              </w:rPr>
            </w:pPr>
          </w:p>
        </w:tc>
        <w:tc>
          <w:tcPr>
            <w:tcW w:w="10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w:t>
            </w:r>
          </w:p>
        </w:tc>
        <w:tc>
          <w:tcPr>
            <w:tcW w:w="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9260" w:type="dxa"/>
            <w:vAlign w:val="bottom"/>
          </w:tcPr>
          <w:p>
            <w:pPr>
              <w:ind w:left="1720"/>
              <w:spacing w:after="0"/>
              <w:rPr>
                <w:sz w:val="20"/>
                <w:szCs w:val="20"/>
                <w:color w:val="auto"/>
              </w:rPr>
            </w:pPr>
            <w:r>
              <w:rPr>
                <w:rFonts w:ascii="Arial" w:cs="Arial" w:eastAsia="Arial" w:hAnsi="Arial"/>
                <w:sz w:val="18"/>
                <w:szCs w:val="18"/>
                <w:color w:val="auto"/>
              </w:rPr>
              <w:t>Net cash used in financing activities</w:t>
            </w:r>
          </w:p>
        </w:tc>
        <w:tc>
          <w:tcPr>
            <w:tcW w:w="100" w:type="dxa"/>
            <w:vAlign w:val="bottom"/>
          </w:tcPr>
          <w:p>
            <w:pPr>
              <w:spacing w:after="0"/>
              <w:rPr>
                <w:sz w:val="19"/>
                <w:szCs w:val="19"/>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w w:val="88"/>
              </w:rPr>
              <w:t>(214,192)</w:t>
            </w:r>
          </w:p>
        </w:tc>
        <w:tc>
          <w:tcPr>
            <w:tcW w:w="100" w:type="dxa"/>
            <w:vAlign w:val="bottom"/>
          </w:tcPr>
          <w:p>
            <w:pPr>
              <w:spacing w:after="0"/>
              <w:rPr>
                <w:sz w:val="19"/>
                <w:szCs w:val="19"/>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(798,802)</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9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926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95,657</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(1,064,673)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26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5"/>
              </w:rPr>
              <w:t>784,902</w:t>
            </w: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1,847,074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2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880,559</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782,401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 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 develops platforms that it defines as integrated hardware and software that incorporate digital computing technologies designed and configured to provide an optimal computing solution compared to individual components. The Company’s broad product portfolio includes devices for data storage, enterprise-class Ethernet data switching, Ethernet physical-layer transceivers, handheld cellular, Ethernet-based wireless networking, personal area networking, Ethernet-based PC connectivity, control plane communications controllers, video-image processing and power management solutions.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Reclassification</w:t>
      </w:r>
    </w:p>
    <w:p>
      <w:pPr>
        <w:spacing w:after="0" w:line="90"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Certain amounts in the unaudited condensed consolidated financial statements and notes to the unaudited condensed consolidated financial statements for prior years have been reclassified to conform to the fiscal 2013 presentation. Net operating results have not been affected by these reclassifications.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2013 has a 53-week period and fiscal 2012 had a 52-week period.</w:t>
      </w:r>
    </w:p>
    <w:p>
      <w:pPr>
        <w:spacing w:after="0" w:line="140" w:lineRule="exact"/>
        <w:rPr>
          <w:sz w:val="20"/>
          <w:szCs w:val="20"/>
          <w:color w:val="auto"/>
        </w:rPr>
      </w:pPr>
    </w:p>
    <w:p>
      <w:pPr>
        <w:jc w:val="both"/>
        <w:ind w:firstLine="456"/>
        <w:spacing w:after="0" w:line="290" w:lineRule="auto"/>
        <w:rPr>
          <w:sz w:val="20"/>
          <w:szCs w:val="20"/>
          <w:color w:val="auto"/>
        </w:rPr>
      </w:pPr>
      <w:r>
        <w:rPr>
          <w:rFonts w:ascii="Arial" w:cs="Arial" w:eastAsia="Arial" w:hAnsi="Arial"/>
          <w:sz w:val="16"/>
          <w:szCs w:val="16"/>
          <w:color w:val="auto"/>
        </w:rPr>
        <w:t>The unaudited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balance sheet as of April 28, 2012, the results of its operations for the three months ended April 28, 2012 and April 30, 2011, and its cash flows for the three months ended April 28, 2012 and April 30, 2011. The January 28, 2012 condensed consolidated balance sheet data was derived from the audited consolidated financial statements included in the Company’s Annual Report on Form 10-K for the fiscal year ended January 28, 2012 but does not include all disclosures required for annual periods.</w:t>
      </w:r>
    </w:p>
    <w:p>
      <w:pPr>
        <w:spacing w:after="0" w:line="118"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January 28, 2012 as filed on March 27, 2012 with the Securities and Exchange Commission. The results of operations for the three months ended April 28, 2012 are not necessarily indicative of the results that may be expected for any other interim period or for the full fiscal year.</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income taxes, litigation and other contingencies. In addition, the Company uses assumptions when employing the Monte Carlo simulation and Black-Scholes valuation models to calculate the fair value of stock-based awards that are granted. When carrying values of certain assets and liabilities are not readily available from other sources, their carrying values are estimated based on historical experience and on various other assumptions that are believed to be reasonable under the circumstances. Actual results could differ from these estimates, and such differences could affect the results of operations reported in future periods.</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Recently Adopted Accounting Pronouncements</w:t>
      </w:r>
    </w:p>
    <w:p>
      <w:pPr>
        <w:spacing w:after="0" w:line="96"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color w:val="auto"/>
        </w:rPr>
        <w:t>The Company adopted the new accounting standard that provides additional guidance on fair value measurements and related disclosures. This guidance clarifies the application of existing guidance on fair value measurement for non-financial assets and requires the disclosure of quantitative information about the unobservable inputs used in a fair value measurement. The adoption of this guidance had no impact on the Company’s financial statements.</w:t>
      </w:r>
    </w:p>
    <w:p>
      <w:pPr>
        <w:spacing w:after="0" w:line="107"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Company also adopted the new accounting standard that permits an entity the option to present the total of comprehensive income, the components of net income, and the components of other comprehensive income either in a single continuous statement of comprehensive income or in two separate but consecutive statements. The amended guidance eliminates the option to present the components of other comprehensive income as part of the statement of changes in stockholders’ equity. As a result, the Company has separately presented the Statements of Comprehensive Income for the three months ended April 28, 2012 and April 30, 2011 as part of its unaudited condensed consolidated financial statements and has elected to defer separate disclosure of reclassifications adjustments out of accumulated other comprehensive income.</w:t>
      </w:r>
    </w:p>
    <w:p>
      <w:pPr>
        <w:spacing w:after="0" w:line="120" w:lineRule="exact"/>
        <w:rPr>
          <w:sz w:val="20"/>
          <w:szCs w:val="20"/>
          <w:color w:val="auto"/>
        </w:rPr>
      </w:pPr>
    </w:p>
    <w:p>
      <w:pPr>
        <w:jc w:val="both"/>
        <w:ind w:right="20" w:firstLine="456"/>
        <w:spacing w:after="0" w:line="298" w:lineRule="auto"/>
        <w:rPr>
          <w:sz w:val="20"/>
          <w:szCs w:val="20"/>
          <w:color w:val="auto"/>
        </w:rPr>
      </w:pPr>
      <w:r>
        <w:rPr>
          <w:rFonts w:ascii="Arial" w:cs="Arial" w:eastAsia="Arial" w:hAnsi="Arial"/>
          <w:sz w:val="16"/>
          <w:szCs w:val="16"/>
          <w:color w:val="auto"/>
        </w:rPr>
        <w:t>The Company also adopted the new accounting standard that amends the previous guidance regarding the testing of goodwill for impairment. The amended guidance allows an entity to first assess qualitative factors to determine whether it is necessary to perform the two-step quantitative goodwill impairment test. An entity no longer is required to calculate the fair value of a reporting unit unless the entity determines, based on a qualitative assessment, that it is more likely than not that its fair value is less than its carrying amount. The adoption of this guidance had no impact on the Company’s financial statements.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10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560"/>
              <w:spacing w:after="0"/>
              <w:rPr>
                <w:sz w:val="20"/>
                <w:szCs w:val="20"/>
                <w:color w:val="auto"/>
              </w:rPr>
            </w:pPr>
            <w:r>
              <w:rPr>
                <w:rFonts w:ascii="Arial" w:cs="Arial" w:eastAsia="Arial" w:hAnsi="Arial"/>
                <w:sz w:val="14"/>
                <w:szCs w:val="14"/>
                <w:b w:val="1"/>
                <w:bCs w:val="1"/>
                <w:color w:val="auto"/>
              </w:rPr>
              <w:t>As of April 28, 2012</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100" w:type="dxa"/>
            <w:vAlign w:val="bottom"/>
          </w:tcPr>
          <w:p>
            <w:pPr>
              <w:spacing w:after="0"/>
              <w:rPr>
                <w:sz w:val="11"/>
                <w:szCs w:val="11"/>
                <w:color w:val="auto"/>
              </w:rPr>
            </w:pPr>
          </w:p>
        </w:tc>
        <w:tc>
          <w:tcPr>
            <w:tcW w:w="19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8"/>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100" w:type="dxa"/>
            <w:vAlign w:val="bottom"/>
          </w:tcPr>
          <w:p>
            <w:pPr>
              <w:spacing w:after="0"/>
              <w:rPr>
                <w:sz w:val="12"/>
                <w:szCs w:val="12"/>
                <w:color w:val="auto"/>
              </w:rPr>
            </w:pPr>
          </w:p>
        </w:tc>
        <w:tc>
          <w:tcPr>
            <w:tcW w:w="19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410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7"/>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8"/>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41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98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100" w:type="dxa"/>
            <w:vAlign w:val="bottom"/>
          </w:tcPr>
          <w:p>
            <w:pPr>
              <w:spacing w:after="0"/>
              <w:rPr>
                <w:sz w:val="20"/>
                <w:szCs w:val="20"/>
                <w:color w:val="auto"/>
              </w:rPr>
            </w:pPr>
            <w:r>
              <w:rPr>
                <w:rFonts w:ascii="Arial" w:cs="Arial" w:eastAsia="Arial" w:hAnsi="Arial"/>
                <w:sz w:val="18"/>
                <w:szCs w:val="18"/>
                <w:color w:val="auto"/>
              </w:rPr>
              <w:t>Available-for-sale:</w:t>
            </w:r>
          </w:p>
        </w:tc>
        <w:tc>
          <w:tcPr>
            <w:tcW w:w="19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665,144</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3,284</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(279)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668,149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tcPr>
          <w:p>
            <w:pPr>
              <w:ind w:left="440"/>
              <w:spacing w:after="0"/>
              <w:rPr>
                <w:sz w:val="20"/>
                <w:szCs w:val="20"/>
                <w:color w:val="auto"/>
              </w:rPr>
            </w:pPr>
            <w:r>
              <w:rPr>
                <w:rFonts w:ascii="Arial" w:cs="Arial" w:eastAsia="Arial" w:hAnsi="Arial"/>
                <w:sz w:val="18"/>
                <w:szCs w:val="18"/>
                <w:color w:val="auto"/>
              </w:rPr>
              <w:t>Foreign government</w:t>
            </w:r>
          </w:p>
        </w:tc>
        <w:tc>
          <w:tcPr>
            <w:tcW w:w="19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2,029</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2,032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federal and state debt securities</w:t>
            </w:r>
          </w:p>
        </w:tc>
        <w:tc>
          <w:tcPr>
            <w:tcW w:w="19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650,958</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996</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651,941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00" w:type="dxa"/>
            <w:vAlign w:val="bottom"/>
            <w:vMerge w:val="restart"/>
          </w:tcPr>
          <w:p>
            <w:pPr>
              <w:spacing w:after="0"/>
              <w:rPr>
                <w:sz w:val="20"/>
                <w:szCs w:val="20"/>
                <w:color w:val="auto"/>
              </w:rPr>
            </w:pPr>
            <w:r>
              <w:rPr>
                <w:rFonts w:ascii="Arial" w:cs="Arial" w:eastAsia="Arial" w:hAnsi="Arial"/>
                <w:sz w:val="18"/>
                <w:szCs w:val="18"/>
                <w:color w:val="auto"/>
              </w:rPr>
              <w:t>Total short-term investments</w:t>
            </w:r>
          </w:p>
        </w:tc>
        <w:tc>
          <w:tcPr>
            <w:tcW w:w="19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00" w:type="dxa"/>
            <w:vAlign w:val="bottom"/>
            <w:vMerge w:val="continue"/>
          </w:tcPr>
          <w:p>
            <w:pPr>
              <w:spacing w:after="0"/>
              <w:rPr>
                <w:sz w:val="19"/>
                <w:szCs w:val="19"/>
                <w:color w:val="auto"/>
              </w:rPr>
            </w:pP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1,318,131</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4,283</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(292)</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1,322,122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4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9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tcPr>
          <w:p>
            <w:pPr>
              <w:spacing w:after="0"/>
              <w:rPr>
                <w:sz w:val="20"/>
                <w:szCs w:val="20"/>
                <w:color w:val="auto"/>
              </w:rPr>
            </w:pPr>
            <w:r>
              <w:rPr>
                <w:rFonts w:ascii="Arial" w:cs="Arial" w:eastAsia="Arial" w:hAnsi="Arial"/>
                <w:sz w:val="18"/>
                <w:szCs w:val="18"/>
                <w:color w:val="auto"/>
              </w:rPr>
              <w:t>Available-for-sale:</w:t>
            </w:r>
          </w:p>
        </w:tc>
        <w:tc>
          <w:tcPr>
            <w:tcW w:w="19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24,500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(1,285)</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00" w:type="dxa"/>
            <w:vAlign w:val="bottom"/>
            <w:vMerge w:val="restart"/>
          </w:tcPr>
          <w:p>
            <w:pPr>
              <w:spacing w:after="0"/>
              <w:rPr>
                <w:sz w:val="20"/>
                <w:szCs w:val="20"/>
                <w:color w:val="auto"/>
              </w:rPr>
            </w:pPr>
            <w:r>
              <w:rPr>
                <w:rFonts w:ascii="Arial" w:cs="Arial" w:eastAsia="Arial" w:hAnsi="Arial"/>
                <w:sz w:val="18"/>
                <w:szCs w:val="18"/>
                <w:color w:val="auto"/>
              </w:rPr>
              <w:t>Total long-term investments</w:t>
            </w:r>
          </w:p>
        </w:tc>
        <w:tc>
          <w:tcPr>
            <w:tcW w:w="19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100" w:type="dxa"/>
            <w:vAlign w:val="bottom"/>
            <w:vMerge w:val="continue"/>
          </w:tcPr>
          <w:p>
            <w:pPr>
              <w:spacing w:after="0"/>
              <w:rPr>
                <w:sz w:val="19"/>
                <w:szCs w:val="19"/>
                <w:color w:val="auto"/>
              </w:rPr>
            </w:pPr>
          </w:p>
        </w:tc>
        <w:tc>
          <w:tcPr>
            <w:tcW w:w="20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24,500</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(1,285)</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10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20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1,342,631</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4,283</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(1,577)</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1,345,337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00" w:type="dxa"/>
            <w:vAlign w:val="bottom"/>
          </w:tcPr>
          <w:p>
            <w:pPr>
              <w:spacing w:after="0" w:line="20" w:lineRule="exact"/>
              <w:rPr>
                <w:sz w:val="1"/>
                <w:szCs w:val="1"/>
                <w:color w:val="auto"/>
              </w:rPr>
            </w:pPr>
          </w:p>
        </w:tc>
        <w:tc>
          <w:tcPr>
            <w:tcW w:w="1980" w:type="dxa"/>
            <w:vAlign w:val="bottom"/>
            <w:vMerge w:val="restart"/>
          </w:tcPr>
          <w:p>
            <w:pPr>
              <w:jc w:val="right"/>
              <w:ind w:right="692"/>
              <w:spacing w:after="0"/>
              <w:rPr>
                <w:sz w:val="20"/>
                <w:szCs w:val="20"/>
                <w:color w:val="auto"/>
              </w:rPr>
            </w:pPr>
            <w:r>
              <w:rPr>
                <w:rFonts w:ascii="Arial" w:cs="Arial" w:eastAsia="Arial" w:hAnsi="Arial"/>
                <w:sz w:val="18"/>
                <w:szCs w:val="18"/>
                <w:color w:val="auto"/>
              </w:rPr>
              <w:t>7</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100" w:type="dxa"/>
            <w:vAlign w:val="bottom"/>
          </w:tcPr>
          <w:p>
            <w:pPr>
              <w:spacing w:after="0"/>
              <w:rPr>
                <w:sz w:val="24"/>
                <w:szCs w:val="24"/>
                <w:color w:val="auto"/>
              </w:rPr>
            </w:pPr>
          </w:p>
        </w:tc>
        <w:tc>
          <w:tcPr>
            <w:tcW w:w="198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54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480"/>
              <w:spacing w:after="0"/>
              <w:rPr>
                <w:sz w:val="20"/>
                <w:szCs w:val="20"/>
                <w:color w:val="auto"/>
              </w:rPr>
            </w:pPr>
            <w:r>
              <w:rPr>
                <w:rFonts w:ascii="Arial" w:cs="Arial" w:eastAsia="Arial" w:hAnsi="Arial"/>
                <w:sz w:val="14"/>
                <w:szCs w:val="14"/>
                <w:b w:val="1"/>
                <w:bCs w:val="1"/>
                <w:color w:val="auto"/>
                <w:w w:val="92"/>
              </w:rPr>
              <w:t>As of January 28, 2012</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540" w:type="dxa"/>
            <w:vAlign w:val="bottom"/>
          </w:tcPr>
          <w:p>
            <w:pPr>
              <w:spacing w:after="0"/>
              <w:rPr>
                <w:sz w:val="11"/>
                <w:szCs w:val="11"/>
                <w:color w:val="auto"/>
              </w:rPr>
            </w:pPr>
          </w:p>
        </w:tc>
        <w:tc>
          <w:tcPr>
            <w:tcW w:w="1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8"/>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54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454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7"/>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8"/>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45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5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685,563</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3,081</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(799)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687,845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ind w:left="440"/>
              <w:spacing w:after="0"/>
              <w:rPr>
                <w:sz w:val="20"/>
                <w:szCs w:val="20"/>
                <w:color w:val="auto"/>
              </w:rPr>
            </w:pPr>
            <w:r>
              <w:rPr>
                <w:rFonts w:ascii="Arial" w:cs="Arial" w:eastAsia="Arial" w:hAnsi="Arial"/>
                <w:sz w:val="18"/>
                <w:szCs w:val="18"/>
                <w:color w:val="auto"/>
              </w:rPr>
              <w:t>Foreign government</w:t>
            </w:r>
          </w:p>
        </w:tc>
        <w:tc>
          <w:tcPr>
            <w:tcW w:w="1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2,033</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2,036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federal and state debt securities</w:t>
            </w:r>
          </w:p>
        </w:tc>
        <w:tc>
          <w:tcPr>
            <w:tcW w:w="1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770,298</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1,437</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(20)</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771,715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vMerge w:val="restart"/>
          </w:tcPr>
          <w:p>
            <w:pPr>
              <w:spacing w:after="0"/>
              <w:rPr>
                <w:sz w:val="20"/>
                <w:szCs w:val="20"/>
                <w:color w:val="auto"/>
              </w:rPr>
            </w:pPr>
            <w:r>
              <w:rPr>
                <w:rFonts w:ascii="Arial" w:cs="Arial" w:eastAsia="Arial" w:hAnsi="Arial"/>
                <w:sz w:val="18"/>
                <w:szCs w:val="18"/>
                <w:color w:val="auto"/>
              </w:rPr>
              <w:t>Total short-term investments</w:t>
            </w:r>
          </w:p>
        </w:tc>
        <w:tc>
          <w:tcPr>
            <w:tcW w:w="15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540" w:type="dxa"/>
            <w:vAlign w:val="bottom"/>
            <w:vMerge w:val="continue"/>
          </w:tcPr>
          <w:p>
            <w:pPr>
              <w:spacing w:after="0"/>
              <w:rPr>
                <w:sz w:val="19"/>
                <w:szCs w:val="19"/>
                <w:color w:val="auto"/>
              </w:rPr>
            </w:pPr>
          </w:p>
        </w:tc>
        <w:tc>
          <w:tcPr>
            <w:tcW w:w="1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1,457,894</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4,521</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(819)</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1,461,596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45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24,500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(1,285)</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vMerge w:val="restart"/>
          </w:tcPr>
          <w:p>
            <w:pPr>
              <w:spacing w:after="0"/>
              <w:rPr>
                <w:sz w:val="20"/>
                <w:szCs w:val="20"/>
                <w:color w:val="auto"/>
              </w:rPr>
            </w:pPr>
            <w:r>
              <w:rPr>
                <w:rFonts w:ascii="Arial" w:cs="Arial" w:eastAsia="Arial" w:hAnsi="Arial"/>
                <w:sz w:val="18"/>
                <w:szCs w:val="18"/>
                <w:color w:val="auto"/>
              </w:rPr>
              <w:t>Total long-term investments</w:t>
            </w:r>
          </w:p>
        </w:tc>
        <w:tc>
          <w:tcPr>
            <w:tcW w:w="15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540" w:type="dxa"/>
            <w:vAlign w:val="bottom"/>
            <w:vMerge w:val="continue"/>
          </w:tcPr>
          <w:p>
            <w:pPr>
              <w:spacing w:after="0"/>
              <w:rPr>
                <w:sz w:val="19"/>
                <w:szCs w:val="19"/>
                <w:color w:val="auto"/>
              </w:rPr>
            </w:pPr>
          </w:p>
        </w:tc>
        <w:tc>
          <w:tcPr>
            <w:tcW w:w="16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24,500</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(1,285)</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54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1,482,394</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4,521</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(2,104)</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1,484,811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4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As of April 28, 2012, the Company’s investment portfolio included auction rate securities with an aggregate par value of $24.5 million. To estimate the fair value of the auction rate securities, the Company uses a discounted cash flow model based on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 The fair value of the auction rate securities as of April 28, 2012 was $1.3 million less than the par value and was recorded in long-term investments. Based on the Company’s assessment of its cash flow projections, a balance of approximately $2.2 billion in cash, cash equivalents and short-term investments, and the fact that the Company continues to generate positive cash flow from operations on a quarterly basis, the Company does not anticipate having to sell these securities below par value and does not have the intent to sell these auction rate securities until recovery. Since the Company considers the impairment to be temporary, the Company recorded the unrealized loss to accumulated other comprehensive income, a component of shareholders’ equity.</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contractual maturities of available-for-sale securities at April 28, 2012 and January 28, 2012 are presented in the following table (in thousands):</w:t>
      </w:r>
    </w:p>
    <w:p>
      <w:pPr>
        <w:spacing w:after="0" w:line="230"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9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380" w:type="dxa"/>
            <w:vAlign w:val="bottom"/>
            <w:gridSpan w:val="5"/>
          </w:tcPr>
          <w:p>
            <w:pPr>
              <w:jc w:val="right"/>
              <w:ind w:right="1060"/>
              <w:spacing w:after="0"/>
              <w:rPr>
                <w:sz w:val="20"/>
                <w:szCs w:val="20"/>
                <w:color w:val="auto"/>
              </w:rPr>
            </w:pPr>
            <w:r>
              <w:rPr>
                <w:rFonts w:ascii="Arial" w:cs="Arial" w:eastAsia="Arial" w:hAnsi="Arial"/>
                <w:sz w:val="14"/>
                <w:szCs w:val="14"/>
                <w:b w:val="1"/>
                <w:bCs w:val="1"/>
                <w:color w:val="auto"/>
              </w:rPr>
              <w:t>April 28, 2012</w:t>
            </w:r>
          </w:p>
        </w:tc>
        <w:tc>
          <w:tcPr>
            <w:tcW w:w="100" w:type="dxa"/>
            <w:vAlign w:val="bottom"/>
          </w:tcPr>
          <w:p>
            <w:pPr>
              <w:spacing w:after="0"/>
              <w:rPr>
                <w:sz w:val="14"/>
                <w:szCs w:val="14"/>
                <w:color w:val="auto"/>
              </w:rPr>
            </w:pPr>
          </w:p>
        </w:tc>
        <w:tc>
          <w:tcPr>
            <w:tcW w:w="2040" w:type="dxa"/>
            <w:vAlign w:val="bottom"/>
            <w:gridSpan w:val="6"/>
          </w:tcPr>
          <w:p>
            <w:pPr>
              <w:ind w:left="440"/>
              <w:spacing w:after="0"/>
              <w:rPr>
                <w:sz w:val="20"/>
                <w:szCs w:val="20"/>
                <w:color w:val="auto"/>
              </w:rPr>
            </w:pPr>
            <w:r>
              <w:rPr>
                <w:rFonts w:ascii="Arial" w:cs="Arial" w:eastAsia="Arial" w:hAnsi="Arial"/>
                <w:sz w:val="14"/>
                <w:szCs w:val="14"/>
                <w:b w:val="1"/>
                <w:bCs w:val="1"/>
                <w:color w:val="auto"/>
              </w:rPr>
              <w:t>January 28, 2012</w:t>
            </w:r>
          </w:p>
        </w:tc>
      </w:tr>
      <w:tr>
        <w:trPr>
          <w:trHeight w:val="129"/>
        </w:trPr>
        <w:tc>
          <w:tcPr>
            <w:tcW w:w="49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21"/>
              <w:spacing w:after="0" w:line="129" w:lineRule="exact"/>
              <w:rPr>
                <w:sz w:val="20"/>
                <w:szCs w:val="20"/>
                <w:color w:val="auto"/>
              </w:rPr>
            </w:pPr>
            <w:r>
              <w:rPr>
                <w:rFonts w:ascii="Arial" w:cs="Arial" w:eastAsia="Arial" w:hAnsi="Arial"/>
                <w:sz w:val="14"/>
                <w:szCs w:val="14"/>
                <w:b w:val="1"/>
                <w:bCs w:val="1"/>
                <w:color w:val="auto"/>
                <w:w w:val="84"/>
              </w:rPr>
              <w:t>Amortized</w:t>
            </w:r>
          </w:p>
        </w:tc>
        <w:tc>
          <w:tcPr>
            <w:tcW w:w="4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6"/>
              </w:rPr>
              <w:t>Estimated</w:t>
            </w:r>
          </w:p>
        </w:tc>
        <w:tc>
          <w:tcPr>
            <w:tcW w:w="4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87"/>
              </w:rPr>
              <w:t>Amortized</w:t>
            </w:r>
          </w:p>
        </w:tc>
        <w:tc>
          <w:tcPr>
            <w:tcW w:w="2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w w:val="98"/>
              </w:rPr>
              <w:t>Estimated</w:t>
            </w:r>
          </w:p>
        </w:tc>
        <w:tc>
          <w:tcPr>
            <w:tcW w:w="100" w:type="dxa"/>
            <w:vAlign w:val="bottom"/>
          </w:tcPr>
          <w:p>
            <w:pPr>
              <w:spacing w:after="0"/>
              <w:rPr>
                <w:sz w:val="11"/>
                <w:szCs w:val="11"/>
                <w:color w:val="auto"/>
              </w:rPr>
            </w:pPr>
          </w:p>
        </w:tc>
      </w:tr>
      <w:tr>
        <w:trPr>
          <w:trHeight w:val="161"/>
        </w:trPr>
        <w:tc>
          <w:tcPr>
            <w:tcW w:w="49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81"/>
              <w:spacing w:after="0"/>
              <w:rPr>
                <w:sz w:val="20"/>
                <w:szCs w:val="20"/>
                <w:color w:val="auto"/>
              </w:rPr>
            </w:pPr>
            <w:r>
              <w:rPr>
                <w:rFonts w:ascii="Arial" w:cs="Arial" w:eastAsia="Arial" w:hAnsi="Arial"/>
                <w:sz w:val="14"/>
                <w:szCs w:val="14"/>
                <w:b w:val="1"/>
                <w:bCs w:val="1"/>
                <w:color w:val="auto"/>
              </w:rPr>
              <w:t>Cost</w:t>
            </w: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4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86"/>
              </w:rPr>
              <w:t>Fair Value</w:t>
            </w:r>
          </w:p>
        </w:tc>
        <w:tc>
          <w:tcPr>
            <w:tcW w:w="100" w:type="dxa"/>
            <w:vAlign w:val="bottom"/>
          </w:tcPr>
          <w:p>
            <w:pPr>
              <w:spacing w:after="0"/>
              <w:rPr>
                <w:sz w:val="14"/>
                <w:szCs w:val="14"/>
                <w:color w:val="auto"/>
              </w:rPr>
            </w:pPr>
          </w:p>
        </w:tc>
        <w:tc>
          <w:tcPr>
            <w:tcW w:w="92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Cost</w:t>
            </w:r>
          </w:p>
        </w:tc>
        <w:tc>
          <w:tcPr>
            <w:tcW w:w="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49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606,197</w:t>
            </w:r>
          </w:p>
        </w:tc>
        <w:tc>
          <w:tcPr>
            <w:tcW w:w="4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607,181</w:t>
            </w:r>
          </w:p>
        </w:tc>
        <w:tc>
          <w:tcPr>
            <w:tcW w:w="4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641,433</w:t>
            </w:r>
          </w:p>
        </w:tc>
        <w:tc>
          <w:tcPr>
            <w:tcW w:w="2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642,317</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496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709,435</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440"/>
              <w:spacing w:after="0"/>
              <w:rPr>
                <w:sz w:val="20"/>
                <w:szCs w:val="20"/>
                <w:color w:val="auto"/>
              </w:rPr>
            </w:pPr>
            <w:r>
              <w:rPr>
                <w:rFonts w:ascii="Arial" w:cs="Arial" w:eastAsia="Arial" w:hAnsi="Arial"/>
                <w:sz w:val="18"/>
                <w:szCs w:val="18"/>
                <w:color w:val="auto"/>
              </w:rPr>
              <w:t>712,441</w:t>
            </w:r>
          </w:p>
        </w:tc>
        <w:tc>
          <w:tcPr>
            <w:tcW w:w="10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816,461</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819,279</w:t>
            </w:r>
          </w:p>
        </w:tc>
        <w:tc>
          <w:tcPr>
            <w:tcW w:w="100" w:type="dxa"/>
            <w:vAlign w:val="bottom"/>
          </w:tcPr>
          <w:p>
            <w:pPr>
              <w:spacing w:after="0"/>
              <w:rPr>
                <w:sz w:val="18"/>
                <w:szCs w:val="18"/>
                <w:color w:val="auto"/>
              </w:rPr>
            </w:pPr>
          </w:p>
        </w:tc>
      </w:tr>
      <w:tr>
        <w:trPr>
          <w:trHeight w:val="216"/>
        </w:trPr>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26,999</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25,715</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24,500</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r>
      <w:tr>
        <w:trPr>
          <w:trHeight w:val="20"/>
        </w:trPr>
        <w:tc>
          <w:tcPr>
            <w:tcW w:w="49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22"/>
        </w:trPr>
        <w:tc>
          <w:tcPr>
            <w:tcW w:w="4960" w:type="dxa"/>
            <w:vAlign w:val="bottom"/>
          </w:tcPr>
          <w:p>
            <w:pPr>
              <w:spacing w:after="0"/>
              <w:rPr>
                <w:sz w:val="19"/>
                <w:szCs w:val="19"/>
                <w:color w:val="auto"/>
              </w:rPr>
            </w:pPr>
          </w:p>
        </w:tc>
        <w:tc>
          <w:tcPr>
            <w:tcW w:w="100" w:type="dxa"/>
            <w:vAlign w:val="bottom"/>
            <w:gridSpan w:val="2"/>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1,342,631</w:t>
            </w:r>
          </w:p>
        </w:tc>
        <w:tc>
          <w:tcPr>
            <w:tcW w:w="5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1140" w:type="dxa"/>
            <w:vAlign w:val="bottom"/>
            <w:gridSpan w:val="2"/>
          </w:tcPr>
          <w:p>
            <w:pPr>
              <w:jc w:val="right"/>
              <w:ind w:right="440"/>
              <w:spacing w:after="0"/>
              <w:rPr>
                <w:sz w:val="20"/>
                <w:szCs w:val="20"/>
                <w:color w:val="auto"/>
              </w:rPr>
            </w:pPr>
            <w:r>
              <w:rPr>
                <w:rFonts w:ascii="Arial" w:cs="Arial" w:eastAsia="Arial" w:hAnsi="Arial"/>
                <w:sz w:val="18"/>
                <w:szCs w:val="18"/>
                <w:color w:val="auto"/>
                <w:w w:val="84"/>
              </w:rPr>
              <w:t>1,345,337</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w w:val="84"/>
              </w:rPr>
              <w:t>1,482,394</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1,484,811</w:t>
            </w:r>
          </w:p>
        </w:tc>
        <w:tc>
          <w:tcPr>
            <w:tcW w:w="100" w:type="dxa"/>
            <w:vAlign w:val="bottom"/>
          </w:tcPr>
          <w:p>
            <w:pPr>
              <w:spacing w:after="0"/>
              <w:rPr>
                <w:sz w:val="19"/>
                <w:szCs w:val="19"/>
                <w:color w:val="auto"/>
              </w:rPr>
            </w:pPr>
          </w:p>
        </w:tc>
      </w:tr>
      <w:tr>
        <w:trPr>
          <w:trHeight w:val="20"/>
        </w:trPr>
        <w:tc>
          <w:tcPr>
            <w:tcW w:w="496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following table shows the investments’ gross unrealized losses and fair value, aggregated by investment category and length of time that individual securities have been in a continuous unrealized loss position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12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5"/>
          </w:tcPr>
          <w:p>
            <w:pPr>
              <w:jc w:val="center"/>
              <w:ind w:right="280"/>
              <w:spacing w:after="0"/>
              <w:rPr>
                <w:sz w:val="20"/>
                <w:szCs w:val="20"/>
                <w:color w:val="auto"/>
              </w:rPr>
            </w:pPr>
            <w:r>
              <w:rPr>
                <w:rFonts w:ascii="Arial" w:cs="Arial" w:eastAsia="Arial" w:hAnsi="Arial"/>
                <w:sz w:val="14"/>
                <w:szCs w:val="14"/>
                <w:b w:val="1"/>
                <w:bCs w:val="1"/>
                <w:color w:val="auto"/>
                <w:w w:val="90"/>
              </w:rPr>
              <w:t>April 28, 2012</w:t>
            </w: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12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1920" w:type="dxa"/>
            <w:vAlign w:val="bottom"/>
            <w:gridSpan w:val="6"/>
          </w:tcPr>
          <w:p>
            <w:pPr>
              <w:jc w:val="right"/>
              <w:ind w:right="520"/>
              <w:spacing w:after="0" w:line="142" w:lineRule="exact"/>
              <w:rPr>
                <w:sz w:val="20"/>
                <w:szCs w:val="20"/>
                <w:color w:val="auto"/>
              </w:rPr>
            </w:pPr>
            <w:r>
              <w:rPr>
                <w:rFonts w:ascii="Arial" w:cs="Arial" w:eastAsia="Arial" w:hAnsi="Arial"/>
                <w:sz w:val="14"/>
                <w:szCs w:val="14"/>
                <w:b w:val="1"/>
                <w:bCs w:val="1"/>
                <w:color w:val="auto"/>
                <w:w w:val="99"/>
              </w:rPr>
              <w:t>Less than 12 months</w:t>
            </w:r>
          </w:p>
        </w:tc>
        <w:tc>
          <w:tcPr>
            <w:tcW w:w="120" w:type="dxa"/>
            <w:vAlign w:val="bottom"/>
          </w:tcPr>
          <w:p>
            <w:pPr>
              <w:spacing w:after="0"/>
              <w:rPr>
                <w:sz w:val="12"/>
                <w:szCs w:val="12"/>
                <w:color w:val="auto"/>
              </w:rPr>
            </w:pPr>
          </w:p>
        </w:tc>
        <w:tc>
          <w:tcPr>
            <w:tcW w:w="1620" w:type="dxa"/>
            <w:vAlign w:val="bottom"/>
            <w:gridSpan w:val="5"/>
          </w:tcPr>
          <w:p>
            <w:pPr>
              <w:jc w:val="center"/>
              <w:ind w:right="30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4120" w:type="dxa"/>
            <w:vAlign w:val="bottom"/>
          </w:tcPr>
          <w:p>
            <w:pPr>
              <w:spacing w:after="0"/>
              <w:rPr>
                <w:sz w:val="11"/>
                <w:szCs w:val="11"/>
                <w:color w:val="auto"/>
              </w:rPr>
            </w:pPr>
          </w:p>
        </w:tc>
        <w:tc>
          <w:tcPr>
            <w:tcW w:w="1780" w:type="dxa"/>
            <w:vAlign w:val="bottom"/>
          </w:tcPr>
          <w:p>
            <w:pPr>
              <w:spacing w:after="0"/>
              <w:rPr>
                <w:sz w:val="11"/>
                <w:szCs w:val="11"/>
                <w:color w:val="auto"/>
              </w:rPr>
            </w:pPr>
          </w:p>
        </w:tc>
        <w:tc>
          <w:tcPr>
            <w:tcW w:w="680" w:type="dxa"/>
            <w:vAlign w:val="bottom"/>
            <w:tcBorders>
              <w:top w:val="single" w:sz="8" w:color="auto"/>
            </w:tcBorders>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30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12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820" w:type="dxa"/>
            <w:vAlign w:val="bottom"/>
            <w:gridSpan w:val="2"/>
          </w:tcPr>
          <w:p>
            <w:pPr>
              <w:ind w:left="40"/>
              <w:spacing w:after="0"/>
              <w:rPr>
                <w:sz w:val="20"/>
                <w:szCs w:val="20"/>
                <w:color w:val="auto"/>
              </w:rPr>
            </w:pPr>
            <w:r>
              <w:rPr>
                <w:rFonts w:ascii="Arial" w:cs="Arial" w:eastAsia="Arial" w:hAnsi="Arial"/>
                <w:sz w:val="14"/>
                <w:szCs w:val="14"/>
                <w:b w:val="1"/>
                <w:bCs w:val="1"/>
                <w:color w:val="auto"/>
              </w:rPr>
              <w:t>Fair Value</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91"/>
              </w:rPr>
              <w:t>Loss</w:t>
            </w:r>
          </w:p>
        </w:tc>
        <w:tc>
          <w:tcPr>
            <w:tcW w:w="920" w:type="dxa"/>
            <w:vAlign w:val="bottom"/>
            <w:gridSpan w:val="3"/>
          </w:tcPr>
          <w:p>
            <w:pPr>
              <w:ind w:left="20"/>
              <w:spacing w:after="0"/>
              <w:rPr>
                <w:sz w:val="20"/>
                <w:szCs w:val="20"/>
                <w:color w:val="auto"/>
              </w:rPr>
            </w:pPr>
            <w:r>
              <w:rPr>
                <w:rFonts w:ascii="Arial" w:cs="Arial" w:eastAsia="Arial" w:hAnsi="Arial"/>
                <w:sz w:val="14"/>
                <w:szCs w:val="14"/>
                <w:b w:val="1"/>
                <w:bCs w:val="1"/>
                <w:color w:val="auto"/>
              </w:rPr>
              <w:t>Fair Value</w:t>
            </w:r>
          </w:p>
        </w:tc>
        <w:tc>
          <w:tcPr>
            <w:tcW w:w="14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140" w:type="dxa"/>
            <w:vAlign w:val="bottom"/>
          </w:tcPr>
          <w:p>
            <w:pPr>
              <w:spacing w:after="0"/>
              <w:rPr>
                <w:sz w:val="14"/>
                <w:szCs w:val="14"/>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92"/>
              </w:rPr>
              <w:t>Fair 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41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178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$101,519</w:t>
            </w: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(279)</w:t>
            </w:r>
          </w:p>
        </w:tc>
        <w:tc>
          <w:tcPr>
            <w:tcW w:w="3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00" w:type="dxa"/>
            <w:vAlign w:val="bottom"/>
            <w:tcBorders>
              <w:top w:val="single" w:sz="8" w:color="auto"/>
            </w:tcBorders>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$101,519</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U.S. federal and state debt securities</w:t>
            </w:r>
          </w:p>
        </w:tc>
        <w:tc>
          <w:tcPr>
            <w:tcW w:w="2600" w:type="dxa"/>
            <w:vAlign w:val="bottom"/>
            <w:gridSpan w:val="3"/>
          </w:tcPr>
          <w:p>
            <w:pPr>
              <w:jc w:val="right"/>
              <w:ind w:right="140"/>
              <w:spacing w:after="0"/>
              <w:rPr>
                <w:sz w:val="20"/>
                <w:szCs w:val="20"/>
                <w:color w:val="auto"/>
              </w:rPr>
            </w:pPr>
            <w:r>
              <w:rPr>
                <w:rFonts w:ascii="Arial" w:cs="Arial" w:eastAsia="Arial" w:hAnsi="Arial"/>
                <w:sz w:val="18"/>
                <w:szCs w:val="18"/>
                <w:color w:val="auto"/>
              </w:rPr>
              <w:t>90,834</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rPr>
              <w:t>(13)</w:t>
            </w:r>
          </w:p>
        </w:tc>
        <w:tc>
          <w:tcPr>
            <w:tcW w:w="120" w:type="dxa"/>
            <w:vAlign w:val="bottom"/>
          </w:tcPr>
          <w:p>
            <w:pPr>
              <w:spacing w:after="0"/>
              <w:rPr>
                <w:sz w:val="18"/>
                <w:szCs w:val="18"/>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90,834</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1780" w:type="dxa"/>
            <w:vAlign w:val="bottom"/>
            <w:shd w:val="clear" w:color="auto" w:fill="CCEEFF"/>
          </w:tcPr>
          <w:p>
            <w:pPr>
              <w:spacing w:after="0"/>
              <w:rPr>
                <w:sz w:val="18"/>
                <w:szCs w:val="18"/>
                <w:color w:val="auto"/>
              </w:rPr>
            </w:pPr>
          </w:p>
        </w:tc>
        <w:tc>
          <w:tcPr>
            <w:tcW w:w="680" w:type="dxa"/>
            <w:vAlign w:val="bottom"/>
            <w:shd w:val="clear" w:color="auto" w:fill="CCEEFF"/>
          </w:tcPr>
          <w:p>
            <w:pPr>
              <w:jc w:val="right"/>
              <w:ind w:right="22"/>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6"/>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23,215</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(1,285)</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23,215</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(1,285)</w:t>
            </w:r>
          </w:p>
        </w:tc>
        <w:tc>
          <w:tcPr>
            <w:tcW w:w="0" w:type="dxa"/>
            <w:vAlign w:val="bottom"/>
          </w:tcPr>
          <w:p>
            <w:pPr>
              <w:spacing w:after="0"/>
              <w:rPr>
                <w:sz w:val="1"/>
                <w:szCs w:val="1"/>
                <w:color w:val="auto"/>
              </w:rPr>
            </w:pPr>
          </w:p>
        </w:tc>
      </w:tr>
      <w:tr>
        <w:trPr>
          <w:trHeight w:val="20"/>
        </w:trPr>
        <w:tc>
          <w:tcPr>
            <w:tcW w:w="412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178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20" w:type="dxa"/>
            <w:vAlign w:val="bottom"/>
            <w:vMerge w:val="continue"/>
          </w:tcPr>
          <w:p>
            <w:pPr>
              <w:spacing w:after="0"/>
              <w:rPr>
                <w:sz w:val="19"/>
                <w:szCs w:val="19"/>
                <w:color w:val="auto"/>
              </w:rPr>
            </w:pPr>
          </w:p>
        </w:tc>
        <w:tc>
          <w:tcPr>
            <w:tcW w:w="2600" w:type="dxa"/>
            <w:vAlign w:val="bottom"/>
            <w:gridSpan w:val="3"/>
          </w:tcPr>
          <w:p>
            <w:pPr>
              <w:jc w:val="right"/>
              <w:ind w:right="1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192,353</w:t>
            </w:r>
          </w:p>
        </w:tc>
        <w:tc>
          <w:tcPr>
            <w:tcW w:w="30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rPr>
              <w:t>(292)</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23,215</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80" w:type="dxa"/>
            <w:vAlign w:val="bottom"/>
            <w:gridSpan w:val="2"/>
          </w:tcPr>
          <w:p>
            <w:pPr>
              <w:ind w:left="40"/>
              <w:spacing w:after="0"/>
              <w:rPr>
                <w:sz w:val="20"/>
                <w:szCs w:val="20"/>
                <w:color w:val="auto"/>
              </w:rPr>
            </w:pPr>
            <w:r>
              <w:rPr>
                <w:rFonts w:ascii="Arial" w:cs="Arial" w:eastAsia="Arial" w:hAnsi="Arial"/>
                <w:sz w:val="18"/>
                <w:szCs w:val="18"/>
                <w:color w:val="auto"/>
              </w:rPr>
              <w:t>(1,285)</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215,568</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(1,577)</w:t>
            </w:r>
          </w:p>
        </w:tc>
        <w:tc>
          <w:tcPr>
            <w:tcW w:w="0" w:type="dxa"/>
            <w:vAlign w:val="bottom"/>
          </w:tcPr>
          <w:p>
            <w:pPr>
              <w:spacing w:after="0"/>
              <w:rPr>
                <w:sz w:val="1"/>
                <w:szCs w:val="1"/>
                <w:color w:val="auto"/>
              </w:rPr>
            </w:pPr>
          </w:p>
        </w:tc>
      </w:tr>
      <w:tr>
        <w:trPr>
          <w:trHeight w:val="20"/>
        </w:trPr>
        <w:tc>
          <w:tcPr>
            <w:tcW w:w="4120" w:type="dxa"/>
            <w:vAlign w:val="bottom"/>
          </w:tcPr>
          <w:p>
            <w:pPr>
              <w:spacing w:after="0" w:line="20" w:lineRule="exact"/>
              <w:rPr>
                <w:sz w:val="1"/>
                <w:szCs w:val="1"/>
                <w:color w:val="auto"/>
              </w:rPr>
            </w:pPr>
          </w:p>
        </w:tc>
        <w:tc>
          <w:tcPr>
            <w:tcW w:w="1780" w:type="dxa"/>
            <w:vAlign w:val="bottom"/>
            <w:vMerge w:val="restart"/>
          </w:tcPr>
          <w:p>
            <w:pPr>
              <w:jc w:val="right"/>
              <w:ind w:right="52"/>
              <w:spacing w:after="0"/>
              <w:rPr>
                <w:sz w:val="20"/>
                <w:szCs w:val="20"/>
                <w:color w:val="auto"/>
              </w:rPr>
            </w:pPr>
            <w:r>
              <w:rPr>
                <w:rFonts w:ascii="Arial" w:cs="Arial" w:eastAsia="Arial" w:hAnsi="Arial"/>
                <w:sz w:val="18"/>
                <w:szCs w:val="18"/>
                <w:color w:val="auto"/>
              </w:rPr>
              <w:t>8</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120" w:type="dxa"/>
            <w:vAlign w:val="bottom"/>
          </w:tcPr>
          <w:p>
            <w:pPr>
              <w:spacing w:after="0"/>
              <w:rPr>
                <w:sz w:val="24"/>
                <w:szCs w:val="24"/>
                <w:color w:val="auto"/>
              </w:rPr>
            </w:pPr>
          </w:p>
        </w:tc>
        <w:tc>
          <w:tcPr>
            <w:tcW w:w="178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92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5"/>
          </w:tcPr>
          <w:p>
            <w:pPr>
              <w:jc w:val="center"/>
              <w:ind w:right="260"/>
              <w:spacing w:after="0"/>
              <w:rPr>
                <w:sz w:val="20"/>
                <w:szCs w:val="20"/>
                <w:color w:val="auto"/>
              </w:rPr>
            </w:pPr>
            <w:r>
              <w:rPr>
                <w:rFonts w:ascii="Arial" w:cs="Arial" w:eastAsia="Arial" w:hAnsi="Arial"/>
                <w:sz w:val="14"/>
                <w:szCs w:val="14"/>
                <w:b w:val="1"/>
                <w:bCs w:val="1"/>
                <w:color w:val="auto"/>
                <w:w w:val="89"/>
              </w:rPr>
              <w:t>January 28, 2012</w:t>
            </w: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920" w:type="dxa"/>
            <w:vAlign w:val="bottom"/>
          </w:tcPr>
          <w:p>
            <w:pPr>
              <w:spacing w:after="0"/>
              <w:rPr>
                <w:sz w:val="12"/>
                <w:szCs w:val="12"/>
                <w:color w:val="auto"/>
              </w:rPr>
            </w:pPr>
          </w:p>
        </w:tc>
        <w:tc>
          <w:tcPr>
            <w:tcW w:w="194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920" w:type="dxa"/>
            <w:vAlign w:val="bottom"/>
          </w:tcPr>
          <w:p>
            <w:pPr>
              <w:spacing w:after="0"/>
              <w:rPr>
                <w:sz w:val="11"/>
                <w:szCs w:val="11"/>
                <w:color w:val="auto"/>
              </w:rPr>
            </w:pPr>
          </w:p>
        </w:tc>
        <w:tc>
          <w:tcPr>
            <w:tcW w:w="70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28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right"/>
              <w:ind w:right="5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920" w:type="dxa"/>
            <w:vAlign w:val="bottom"/>
          </w:tcPr>
          <w:p>
            <w:pPr>
              <w:spacing w:after="0"/>
              <w:rPr>
                <w:sz w:val="14"/>
                <w:szCs w:val="14"/>
                <w:color w:val="auto"/>
              </w:rPr>
            </w:pPr>
          </w:p>
        </w:tc>
        <w:tc>
          <w:tcPr>
            <w:tcW w:w="700" w:type="dxa"/>
            <w:vAlign w:val="bottom"/>
            <w:gridSpan w:val="2"/>
          </w:tcPr>
          <w:p>
            <w:pPr>
              <w:ind w:left="180"/>
              <w:spacing w:after="0"/>
              <w:rPr>
                <w:sz w:val="20"/>
                <w:szCs w:val="20"/>
                <w:color w:val="auto"/>
              </w:rPr>
            </w:pPr>
            <w:r>
              <w:rPr>
                <w:rFonts w:ascii="Arial" w:cs="Arial" w:eastAsia="Arial" w:hAnsi="Arial"/>
                <w:sz w:val="14"/>
                <w:szCs w:val="14"/>
                <w:b w:val="1"/>
                <w:bCs w:val="1"/>
                <w:color w:val="auto"/>
              </w:rPr>
              <w:t>Value</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91"/>
              </w:rPr>
              <w:t>Loss</w:t>
            </w:r>
          </w:p>
        </w:tc>
        <w:tc>
          <w:tcPr>
            <w:tcW w:w="80" w:type="dxa"/>
            <w:vAlign w:val="bottom"/>
          </w:tcPr>
          <w:p>
            <w:pPr>
              <w:spacing w:after="0"/>
              <w:rPr>
                <w:sz w:val="14"/>
                <w:szCs w:val="14"/>
                <w:color w:val="auto"/>
              </w:rPr>
            </w:pPr>
          </w:p>
        </w:tc>
        <w:tc>
          <w:tcPr>
            <w:tcW w:w="8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140" w:type="dxa"/>
            <w:vAlign w:val="bottom"/>
          </w:tcPr>
          <w:p>
            <w:pPr>
              <w:spacing w:after="0"/>
              <w:rPr>
                <w:sz w:val="14"/>
                <w:szCs w:val="14"/>
                <w:color w:val="auto"/>
              </w:rPr>
            </w:pPr>
          </w:p>
        </w:tc>
        <w:tc>
          <w:tcPr>
            <w:tcW w:w="98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59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$146,963</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(799)</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jc w:val="right"/>
              <w:ind w:right="22"/>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$146,963</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920" w:type="dxa"/>
            <w:vAlign w:val="bottom"/>
          </w:tcPr>
          <w:p>
            <w:pPr>
              <w:spacing w:after="0"/>
              <w:rPr>
                <w:sz w:val="20"/>
                <w:szCs w:val="20"/>
                <w:color w:val="auto"/>
              </w:rPr>
            </w:pPr>
            <w:r>
              <w:rPr>
                <w:rFonts w:ascii="Arial" w:cs="Arial" w:eastAsia="Arial" w:hAnsi="Arial"/>
                <w:sz w:val="18"/>
                <w:szCs w:val="18"/>
                <w:color w:val="auto"/>
              </w:rPr>
              <w:t>U.S. federal and state debt securities</w:t>
            </w: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107,603</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(20)</w:t>
            </w:r>
          </w:p>
        </w:tc>
        <w:tc>
          <w:tcPr>
            <w:tcW w:w="80" w:type="dxa"/>
            <w:vAlign w:val="bottom"/>
          </w:tcPr>
          <w:p>
            <w:pPr>
              <w:spacing w:after="0"/>
              <w:rPr>
                <w:sz w:val="18"/>
                <w:szCs w:val="18"/>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107,603</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23,215</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(1,285)</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23,215</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(1,285)</w:t>
            </w:r>
          </w:p>
        </w:tc>
        <w:tc>
          <w:tcPr>
            <w:tcW w:w="0" w:type="dxa"/>
            <w:vAlign w:val="bottom"/>
          </w:tcPr>
          <w:p>
            <w:pPr>
              <w:spacing w:after="0"/>
              <w:rPr>
                <w:sz w:val="1"/>
                <w:szCs w:val="1"/>
                <w:color w:val="auto"/>
              </w:rPr>
            </w:pPr>
          </w:p>
        </w:tc>
      </w:tr>
      <w:tr>
        <w:trPr>
          <w:trHeight w:val="20"/>
        </w:trPr>
        <w:tc>
          <w:tcPr>
            <w:tcW w:w="592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920" w:type="dxa"/>
            <w:vAlign w:val="bottom"/>
            <w:vMerge w:val="continue"/>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254,566</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(819)</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23,215</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80" w:type="dxa"/>
            <w:vAlign w:val="bottom"/>
            <w:gridSpan w:val="2"/>
          </w:tcPr>
          <w:p>
            <w:pPr>
              <w:ind w:left="40"/>
              <w:spacing w:after="0"/>
              <w:rPr>
                <w:sz w:val="20"/>
                <w:szCs w:val="20"/>
                <w:color w:val="auto"/>
              </w:rPr>
            </w:pPr>
            <w:r>
              <w:rPr>
                <w:rFonts w:ascii="Arial" w:cs="Arial" w:eastAsia="Arial" w:hAnsi="Arial"/>
                <w:sz w:val="18"/>
                <w:szCs w:val="18"/>
                <w:color w:val="auto"/>
              </w:rPr>
              <w:t>(1,285)</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277,781</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(2,104)</w:t>
            </w:r>
          </w:p>
        </w:tc>
        <w:tc>
          <w:tcPr>
            <w:tcW w:w="0" w:type="dxa"/>
            <w:vAlign w:val="bottom"/>
          </w:tcPr>
          <w:p>
            <w:pPr>
              <w:spacing w:after="0"/>
              <w:rPr>
                <w:sz w:val="1"/>
                <w:szCs w:val="1"/>
                <w:color w:val="auto"/>
              </w:rPr>
            </w:pPr>
          </w:p>
        </w:tc>
      </w:tr>
      <w:tr>
        <w:trPr>
          <w:trHeight w:val="20"/>
        </w:trPr>
        <w:tc>
          <w:tcPr>
            <w:tcW w:w="59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20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9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6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94"/>
              </w:rPr>
              <w:t>April 28,</w:t>
            </w:r>
          </w:p>
        </w:tc>
        <w:tc>
          <w:tcPr>
            <w:tcW w:w="460" w:type="dxa"/>
            <w:vAlign w:val="bottom"/>
          </w:tcPr>
          <w:p>
            <w:pPr>
              <w:spacing w:after="0"/>
              <w:rPr>
                <w:sz w:val="14"/>
                <w:szCs w:val="14"/>
                <w:color w:val="auto"/>
              </w:rPr>
            </w:pPr>
          </w:p>
        </w:tc>
        <w:tc>
          <w:tcPr>
            <w:tcW w:w="840" w:type="dxa"/>
            <w:vAlign w:val="bottom"/>
            <w:gridSpan w:val="4"/>
          </w:tcPr>
          <w:p>
            <w:pPr>
              <w:jc w:val="center"/>
              <w:ind w:right="60"/>
              <w:spacing w:after="0"/>
              <w:rPr>
                <w:sz w:val="20"/>
                <w:szCs w:val="20"/>
                <w:color w:val="auto"/>
              </w:rPr>
            </w:pPr>
            <w:r>
              <w:rPr>
                <w:rFonts w:ascii="Arial" w:cs="Arial" w:eastAsia="Arial" w:hAnsi="Arial"/>
                <w:sz w:val="14"/>
                <w:szCs w:val="14"/>
                <w:b w:val="1"/>
                <w:bCs w:val="1"/>
                <w:color w:val="auto"/>
                <w:w w:val="90"/>
              </w:rPr>
              <w:t>January 28,</w:t>
            </w:r>
          </w:p>
        </w:tc>
        <w:tc>
          <w:tcPr>
            <w:tcW w:w="0" w:type="dxa"/>
            <w:vAlign w:val="bottom"/>
          </w:tcPr>
          <w:p>
            <w:pPr>
              <w:spacing w:after="0"/>
              <w:rPr>
                <w:sz w:val="1"/>
                <w:szCs w:val="1"/>
                <w:color w:val="auto"/>
              </w:rPr>
            </w:pPr>
          </w:p>
        </w:tc>
      </w:tr>
      <w:tr>
        <w:trPr>
          <w:trHeight w:val="161"/>
        </w:trPr>
        <w:tc>
          <w:tcPr>
            <w:tcW w:w="3900" w:type="dxa"/>
            <w:vAlign w:val="bottom"/>
          </w:tcPr>
          <w:p>
            <w:pPr>
              <w:spacing w:after="0"/>
              <w:rPr>
                <w:sz w:val="14"/>
                <w:szCs w:val="14"/>
                <w:color w:val="auto"/>
              </w:rPr>
            </w:pPr>
          </w:p>
        </w:tc>
        <w:tc>
          <w:tcPr>
            <w:tcW w:w="3420" w:type="dxa"/>
            <w:vAlign w:val="bottom"/>
            <w:gridSpan w:val="4"/>
          </w:tcPr>
          <w:p>
            <w:pPr>
              <w:jc w:val="center"/>
              <w:ind w:left="2775"/>
              <w:spacing w:after="0"/>
              <w:rPr>
                <w:sz w:val="20"/>
                <w:szCs w:val="20"/>
                <w:color w:val="auto"/>
              </w:rPr>
            </w:pPr>
            <w:r>
              <w:rPr>
                <w:rFonts w:ascii="Arial" w:cs="Arial" w:eastAsia="Arial" w:hAnsi="Arial"/>
                <w:sz w:val="14"/>
                <w:szCs w:val="14"/>
                <w:b w:val="1"/>
                <w:bCs w:val="1"/>
                <w:color w:val="auto"/>
                <w:w w:val="89"/>
              </w:rPr>
              <w:t>2012</w:t>
            </w:r>
          </w:p>
        </w:tc>
        <w:tc>
          <w:tcPr>
            <w:tcW w:w="60" w:type="dxa"/>
            <w:vAlign w:val="bottom"/>
          </w:tcPr>
          <w:p>
            <w:pPr>
              <w:spacing w:after="0"/>
              <w:rPr>
                <w:sz w:val="14"/>
                <w:szCs w:val="14"/>
                <w:color w:val="auto"/>
              </w:rPr>
            </w:pPr>
          </w:p>
        </w:tc>
        <w:tc>
          <w:tcPr>
            <w:tcW w:w="1180" w:type="dxa"/>
            <w:vAlign w:val="bottom"/>
            <w:gridSpan w:val="3"/>
          </w:tcPr>
          <w:p>
            <w:pPr>
              <w:jc w:val="center"/>
              <w:ind w:left="435"/>
              <w:spacing w:after="0"/>
              <w:rPr>
                <w:sz w:val="20"/>
                <w:szCs w:val="20"/>
                <w:color w:val="auto"/>
              </w:rPr>
            </w:pPr>
            <w:r>
              <w:rPr>
                <w:rFonts w:ascii="Arial" w:cs="Arial" w:eastAsia="Arial" w:hAnsi="Arial"/>
                <w:sz w:val="14"/>
                <w:szCs w:val="14"/>
                <w:b w:val="1"/>
                <w:bCs w:val="1"/>
                <w:color w:val="auto"/>
                <w:w w:val="83"/>
              </w:rPr>
              <w:t>2012</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27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Work-in-process</w:t>
            </w:r>
          </w:p>
        </w:tc>
        <w:tc>
          <w:tcPr>
            <w:tcW w:w="3480" w:type="dxa"/>
            <w:vAlign w:val="bottom"/>
            <w:gridSpan w:val="5"/>
          </w:tcPr>
          <w:p>
            <w:pPr>
              <w:jc w:val="right"/>
              <w:spacing w:after="0"/>
              <w:rPr>
                <w:sz w:val="20"/>
                <w:szCs w:val="20"/>
                <w:color w:val="auto"/>
              </w:rPr>
            </w:pPr>
            <w:r>
              <w:rPr>
                <w:rFonts w:ascii="Arial" w:cs="Arial" w:eastAsia="Arial" w:hAnsi="Arial"/>
                <w:sz w:val="18"/>
                <w:szCs w:val="18"/>
                <w:color w:val="auto"/>
              </w:rPr>
              <w:t>$203,035</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$ 190,779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2800" w:type="dxa"/>
            <w:vAlign w:val="bottom"/>
            <w:gridSpan w:val="2"/>
            <w:shd w:val="clear" w:color="auto" w:fill="CCEEFF"/>
          </w:tcPr>
          <w:p>
            <w:pPr>
              <w:spacing w:after="0"/>
              <w:rPr>
                <w:sz w:val="18"/>
                <w:szCs w:val="18"/>
                <w:color w:val="auto"/>
              </w:rPr>
            </w:pPr>
          </w:p>
        </w:tc>
        <w:tc>
          <w:tcPr>
            <w:tcW w:w="68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150,352</w:t>
            </w:r>
          </w:p>
        </w:tc>
        <w:tc>
          <w:tcPr>
            <w:tcW w:w="520" w:type="dxa"/>
            <w:vAlign w:val="bottom"/>
            <w:gridSpan w:val="2"/>
            <w:shd w:val="clear" w:color="auto" w:fill="CCEEFF"/>
          </w:tcPr>
          <w:p>
            <w:pPr>
              <w:spacing w:after="0"/>
              <w:rPr>
                <w:sz w:val="18"/>
                <w:szCs w:val="18"/>
                <w:color w:val="auto"/>
              </w:rPr>
            </w:pPr>
          </w:p>
        </w:tc>
        <w:tc>
          <w:tcPr>
            <w:tcW w:w="6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163,340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900" w:type="dxa"/>
            <w:vAlign w:val="bottom"/>
          </w:tcPr>
          <w:p>
            <w:pPr>
              <w:spacing w:after="0"/>
              <w:rPr>
                <w:sz w:val="20"/>
                <w:szCs w:val="20"/>
                <w:color w:val="auto"/>
              </w:rPr>
            </w:pPr>
            <w:r>
              <w:rPr>
                <w:rFonts w:ascii="Arial" w:cs="Arial" w:eastAsia="Arial" w:hAnsi="Arial"/>
                <w:sz w:val="18"/>
                <w:szCs w:val="18"/>
                <w:color w:val="auto"/>
              </w:rPr>
              <w:t>Inventories</w:t>
            </w:r>
          </w:p>
        </w:tc>
        <w:tc>
          <w:tcPr>
            <w:tcW w:w="3480" w:type="dxa"/>
            <w:vAlign w:val="bottom"/>
            <w:gridSpan w:val="5"/>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353,387</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$ 354,119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390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w w:val="86"/>
              </w:rPr>
              <w:t>April 28,</w:t>
            </w:r>
          </w:p>
        </w:tc>
        <w:tc>
          <w:tcPr>
            <w:tcW w:w="460" w:type="dxa"/>
            <w:vAlign w:val="bottom"/>
          </w:tcPr>
          <w:p>
            <w:pPr>
              <w:spacing w:after="0"/>
              <w:rPr>
                <w:sz w:val="24"/>
                <w:szCs w:val="24"/>
                <w:color w:val="auto"/>
              </w:rPr>
            </w:pPr>
          </w:p>
        </w:tc>
        <w:tc>
          <w:tcPr>
            <w:tcW w:w="840" w:type="dxa"/>
            <w:vAlign w:val="bottom"/>
            <w:gridSpan w:val="4"/>
          </w:tcPr>
          <w:p>
            <w:pPr>
              <w:jc w:val="right"/>
              <w:ind w:right="140"/>
              <w:spacing w:after="0"/>
              <w:rPr>
                <w:sz w:val="20"/>
                <w:szCs w:val="20"/>
                <w:color w:val="auto"/>
              </w:rPr>
            </w:pPr>
            <w:r>
              <w:rPr>
                <w:rFonts w:ascii="Arial" w:cs="Arial" w:eastAsia="Arial" w:hAnsi="Arial"/>
                <w:sz w:val="14"/>
                <w:szCs w:val="14"/>
                <w:b w:val="1"/>
                <w:bCs w:val="1"/>
                <w:color w:val="auto"/>
                <w:w w:val="88"/>
              </w:rPr>
              <w:t>January 28,</w:t>
            </w:r>
          </w:p>
        </w:tc>
        <w:tc>
          <w:tcPr>
            <w:tcW w:w="0" w:type="dxa"/>
            <w:vAlign w:val="bottom"/>
          </w:tcPr>
          <w:p>
            <w:pPr>
              <w:spacing w:after="0"/>
              <w:rPr>
                <w:sz w:val="1"/>
                <w:szCs w:val="1"/>
                <w:color w:val="auto"/>
              </w:rPr>
            </w:pPr>
          </w:p>
        </w:tc>
      </w:tr>
      <w:tr>
        <w:trPr>
          <w:trHeight w:val="161"/>
        </w:trPr>
        <w:tc>
          <w:tcPr>
            <w:tcW w:w="3900" w:type="dxa"/>
            <w:vAlign w:val="bottom"/>
          </w:tcPr>
          <w:p>
            <w:pPr>
              <w:spacing w:after="0"/>
              <w:rPr>
                <w:sz w:val="14"/>
                <w:szCs w:val="14"/>
                <w:color w:val="auto"/>
              </w:rPr>
            </w:pPr>
          </w:p>
        </w:tc>
        <w:tc>
          <w:tcPr>
            <w:tcW w:w="3420" w:type="dxa"/>
            <w:vAlign w:val="bottom"/>
            <w:gridSpan w:val="4"/>
          </w:tcPr>
          <w:p>
            <w:pPr>
              <w:jc w:val="right"/>
              <w:ind w:right="166"/>
              <w:spacing w:after="0"/>
              <w:rPr>
                <w:sz w:val="20"/>
                <w:szCs w:val="20"/>
                <w:color w:val="auto"/>
              </w:rPr>
            </w:pPr>
            <w:r>
              <w:rPr>
                <w:rFonts w:ascii="Arial" w:cs="Arial" w:eastAsia="Arial" w:hAnsi="Arial"/>
                <w:sz w:val="14"/>
                <w:szCs w:val="14"/>
                <w:b w:val="1"/>
                <w:bCs w:val="1"/>
                <w:color w:val="auto"/>
              </w:rPr>
              <w:t>2012</w:t>
            </w:r>
          </w:p>
        </w:tc>
        <w:tc>
          <w:tcPr>
            <w:tcW w:w="60" w:type="dxa"/>
            <w:vAlign w:val="bottom"/>
          </w:tcPr>
          <w:p>
            <w:pPr>
              <w:spacing w:after="0"/>
              <w:rPr>
                <w:sz w:val="14"/>
                <w:szCs w:val="14"/>
                <w:color w:val="auto"/>
              </w:rPr>
            </w:pPr>
          </w:p>
        </w:tc>
        <w:tc>
          <w:tcPr>
            <w:tcW w:w="1180" w:type="dxa"/>
            <w:vAlign w:val="bottom"/>
            <w:gridSpan w:val="3"/>
          </w:tcPr>
          <w:p>
            <w:pPr>
              <w:jc w:val="right"/>
              <w:ind w:right="132"/>
              <w:spacing w:after="0"/>
              <w:rPr>
                <w:sz w:val="20"/>
                <w:szCs w:val="20"/>
                <w:color w:val="auto"/>
              </w:rPr>
            </w:pPr>
            <w:r>
              <w:rPr>
                <w:rFonts w:ascii="Arial" w:cs="Arial" w:eastAsia="Arial" w:hAnsi="Arial"/>
                <w:sz w:val="14"/>
                <w:szCs w:val="14"/>
                <w:b w:val="1"/>
                <w:bCs w:val="1"/>
                <w:color w:val="auto"/>
              </w:rPr>
              <w:t>2012</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27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3420" w:type="dxa"/>
            <w:vAlign w:val="bottom"/>
            <w:gridSpan w:val="4"/>
          </w:tcPr>
          <w:p>
            <w:pPr>
              <w:jc w:val="right"/>
              <w:spacing w:after="0"/>
              <w:rPr>
                <w:sz w:val="20"/>
                <w:szCs w:val="20"/>
                <w:color w:val="auto"/>
              </w:rPr>
            </w:pPr>
            <w:r>
              <w:rPr>
                <w:rFonts w:ascii="Arial" w:cs="Arial" w:eastAsia="Arial" w:hAnsi="Arial"/>
                <w:sz w:val="18"/>
                <w:szCs w:val="18"/>
                <w:color w:val="auto"/>
              </w:rPr>
              <w:t>$ 501,202</w:t>
            </w:r>
          </w:p>
        </w:tc>
        <w:tc>
          <w:tcPr>
            <w:tcW w:w="60" w:type="dxa"/>
            <w:vAlign w:val="bottom"/>
          </w:tcPr>
          <w:p>
            <w:pPr>
              <w:spacing w:after="0"/>
              <w:rPr>
                <w:sz w:val="18"/>
                <w:szCs w:val="18"/>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$ 489,481</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34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144,596</w:t>
            </w:r>
          </w:p>
        </w:tc>
        <w:tc>
          <w:tcPr>
            <w:tcW w:w="6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144,596</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Computer software</w:t>
            </w:r>
          </w:p>
        </w:tc>
        <w:tc>
          <w:tcPr>
            <w:tcW w:w="3420" w:type="dxa"/>
            <w:vAlign w:val="bottom"/>
            <w:gridSpan w:val="4"/>
          </w:tcPr>
          <w:p>
            <w:pPr>
              <w:jc w:val="right"/>
              <w:spacing w:after="0"/>
              <w:rPr>
                <w:sz w:val="20"/>
                <w:szCs w:val="20"/>
                <w:color w:val="auto"/>
              </w:rPr>
            </w:pPr>
            <w:r>
              <w:rPr>
                <w:rFonts w:ascii="Arial" w:cs="Arial" w:eastAsia="Arial" w:hAnsi="Arial"/>
                <w:sz w:val="18"/>
                <w:szCs w:val="18"/>
                <w:color w:val="auto"/>
              </w:rPr>
              <w:t>85,435</w:t>
            </w:r>
          </w:p>
        </w:tc>
        <w:tc>
          <w:tcPr>
            <w:tcW w:w="60" w:type="dxa"/>
            <w:vAlign w:val="bottom"/>
          </w:tcPr>
          <w:p>
            <w:pPr>
              <w:spacing w:after="0"/>
              <w:rPr>
                <w:sz w:val="18"/>
                <w:szCs w:val="18"/>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81,852</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34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6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Building improvements</w:t>
            </w:r>
          </w:p>
        </w:tc>
        <w:tc>
          <w:tcPr>
            <w:tcW w:w="3420" w:type="dxa"/>
            <w:vAlign w:val="bottom"/>
            <w:gridSpan w:val="4"/>
          </w:tcPr>
          <w:p>
            <w:pPr>
              <w:jc w:val="right"/>
              <w:spacing w:after="0"/>
              <w:rPr>
                <w:sz w:val="20"/>
                <w:szCs w:val="20"/>
                <w:color w:val="auto"/>
              </w:rPr>
            </w:pPr>
            <w:r>
              <w:rPr>
                <w:rFonts w:ascii="Arial" w:cs="Arial" w:eastAsia="Arial" w:hAnsi="Arial"/>
                <w:sz w:val="18"/>
                <w:szCs w:val="18"/>
                <w:color w:val="auto"/>
              </w:rPr>
              <w:t>42,124</w:t>
            </w:r>
          </w:p>
        </w:tc>
        <w:tc>
          <w:tcPr>
            <w:tcW w:w="60" w:type="dxa"/>
            <w:vAlign w:val="bottom"/>
          </w:tcPr>
          <w:p>
            <w:pPr>
              <w:spacing w:after="0"/>
              <w:rPr>
                <w:sz w:val="18"/>
                <w:szCs w:val="18"/>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42,083</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34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37,915</w:t>
            </w:r>
          </w:p>
        </w:tc>
        <w:tc>
          <w:tcPr>
            <w:tcW w:w="6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37,237</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Furniture and fixtures</w:t>
            </w:r>
          </w:p>
        </w:tc>
        <w:tc>
          <w:tcPr>
            <w:tcW w:w="3420" w:type="dxa"/>
            <w:vAlign w:val="bottom"/>
            <w:gridSpan w:val="4"/>
          </w:tcPr>
          <w:p>
            <w:pPr>
              <w:jc w:val="right"/>
              <w:spacing w:after="0"/>
              <w:rPr>
                <w:sz w:val="20"/>
                <w:szCs w:val="20"/>
                <w:color w:val="auto"/>
              </w:rPr>
            </w:pPr>
            <w:r>
              <w:rPr>
                <w:rFonts w:ascii="Arial" w:cs="Arial" w:eastAsia="Arial" w:hAnsi="Arial"/>
                <w:sz w:val="18"/>
                <w:szCs w:val="18"/>
                <w:color w:val="auto"/>
              </w:rPr>
              <w:t>22,160</w:t>
            </w:r>
          </w:p>
        </w:tc>
        <w:tc>
          <w:tcPr>
            <w:tcW w:w="60" w:type="dxa"/>
            <w:vAlign w:val="bottom"/>
          </w:tcPr>
          <w:p>
            <w:pPr>
              <w:spacing w:after="0"/>
              <w:rPr>
                <w:sz w:val="18"/>
                <w:szCs w:val="18"/>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24,450</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2700" w:type="dxa"/>
            <w:vAlign w:val="bottom"/>
            <w:shd w:val="clear" w:color="auto" w:fill="CCEEFF"/>
          </w:tcPr>
          <w:p>
            <w:pPr>
              <w:spacing w:after="0"/>
              <w:rPr>
                <w:sz w:val="18"/>
                <w:szCs w:val="18"/>
                <w:color w:val="auto"/>
              </w:rPr>
            </w:pPr>
          </w:p>
        </w:tc>
        <w:tc>
          <w:tcPr>
            <w:tcW w:w="72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6,887</w:t>
            </w:r>
          </w:p>
        </w:tc>
        <w:tc>
          <w:tcPr>
            <w:tcW w:w="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7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9,846</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900" w:type="dxa"/>
            <w:vAlign w:val="bottom"/>
          </w:tcPr>
          <w:p>
            <w:pPr>
              <w:spacing w:after="0"/>
              <w:rPr>
                <w:sz w:val="19"/>
                <w:szCs w:val="19"/>
                <w:color w:val="auto"/>
              </w:rPr>
            </w:pPr>
          </w:p>
        </w:tc>
        <w:tc>
          <w:tcPr>
            <w:tcW w:w="3420" w:type="dxa"/>
            <w:vAlign w:val="bottom"/>
            <w:gridSpan w:val="4"/>
          </w:tcPr>
          <w:p>
            <w:pPr>
              <w:jc w:val="right"/>
              <w:spacing w:after="0"/>
              <w:rPr>
                <w:sz w:val="20"/>
                <w:szCs w:val="20"/>
                <w:color w:val="auto"/>
              </w:rPr>
            </w:pPr>
            <w:r>
              <w:rPr>
                <w:rFonts w:ascii="Arial" w:cs="Arial" w:eastAsia="Arial" w:hAnsi="Arial"/>
                <w:sz w:val="18"/>
                <w:szCs w:val="18"/>
                <w:color w:val="auto"/>
              </w:rPr>
              <w:t>909,565</w:t>
            </w:r>
          </w:p>
        </w:tc>
        <w:tc>
          <w:tcPr>
            <w:tcW w:w="60" w:type="dxa"/>
            <w:vAlign w:val="bottom"/>
          </w:tcPr>
          <w:p>
            <w:pPr>
              <w:spacing w:after="0"/>
              <w:rPr>
                <w:sz w:val="19"/>
                <w:szCs w:val="19"/>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898,791</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w w:val="98"/>
              </w:rPr>
              <w:t>Less: Accumulated depreciation and amortization</w:t>
            </w:r>
          </w:p>
        </w:tc>
        <w:tc>
          <w:tcPr>
            <w:tcW w:w="2700" w:type="dxa"/>
            <w:vAlign w:val="bottom"/>
            <w:shd w:val="clear" w:color="auto" w:fill="CCEEFF"/>
          </w:tcPr>
          <w:p>
            <w:pPr>
              <w:spacing w:after="0"/>
              <w:rPr>
                <w:sz w:val="18"/>
                <w:szCs w:val="18"/>
                <w:color w:val="auto"/>
              </w:rPr>
            </w:pPr>
          </w:p>
        </w:tc>
        <w:tc>
          <w:tcPr>
            <w:tcW w:w="7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8"/>
              </w:rPr>
              <w:t>(527,191)</w:t>
            </w:r>
          </w:p>
        </w:tc>
        <w:tc>
          <w:tcPr>
            <w:tcW w:w="1300" w:type="dxa"/>
            <w:vAlign w:val="bottom"/>
            <w:gridSpan w:val="5"/>
            <w:shd w:val="clear" w:color="auto" w:fill="CCEEFF"/>
          </w:tcPr>
          <w:p>
            <w:pPr>
              <w:jc w:val="right"/>
              <w:ind w:right="60"/>
              <w:spacing w:after="0"/>
              <w:rPr>
                <w:sz w:val="20"/>
                <w:szCs w:val="20"/>
                <w:color w:val="auto"/>
              </w:rPr>
            </w:pPr>
            <w:r>
              <w:rPr>
                <w:rFonts w:ascii="Arial" w:cs="Arial" w:eastAsia="Arial" w:hAnsi="Arial"/>
                <w:sz w:val="18"/>
                <w:szCs w:val="18"/>
                <w:color w:val="auto"/>
              </w:rPr>
              <w:t>(514,990)</w:t>
            </w:r>
          </w:p>
        </w:tc>
        <w:tc>
          <w:tcPr>
            <w:tcW w:w="0" w:type="dxa"/>
            <w:vAlign w:val="bottom"/>
          </w:tcPr>
          <w:p>
            <w:pPr>
              <w:spacing w:after="0"/>
              <w:rPr>
                <w:sz w:val="1"/>
                <w:szCs w:val="1"/>
                <w:color w:val="auto"/>
              </w:rPr>
            </w:pPr>
          </w:p>
        </w:tc>
      </w:tr>
      <w:tr>
        <w:trPr>
          <w:trHeight w:val="20"/>
        </w:trPr>
        <w:tc>
          <w:tcPr>
            <w:tcW w:w="3900" w:type="dxa"/>
            <w:vAlign w:val="bottom"/>
            <w:vMerge w:val="restart"/>
          </w:tcPr>
          <w:p>
            <w:pPr>
              <w:spacing w:after="0"/>
              <w:rPr>
                <w:sz w:val="20"/>
                <w:szCs w:val="20"/>
                <w:color w:val="auto"/>
              </w:rPr>
            </w:pPr>
            <w:r>
              <w:rPr>
                <w:rFonts w:ascii="Arial" w:cs="Arial" w:eastAsia="Arial" w:hAnsi="Arial"/>
                <w:sz w:val="18"/>
                <w:szCs w:val="18"/>
                <w:color w:val="auto"/>
              </w:rPr>
              <w:t>Property and equipment, net</w:t>
            </w:r>
          </w:p>
        </w:tc>
        <w:tc>
          <w:tcPr>
            <w:tcW w:w="2700" w:type="dxa"/>
            <w:vAlign w:val="bottom"/>
          </w:tcPr>
          <w:p>
            <w:pPr>
              <w:spacing w:after="0" w:line="20" w:lineRule="exact"/>
              <w:rPr>
                <w:sz w:val="1"/>
                <w:szCs w:val="1"/>
                <w:color w:val="auto"/>
              </w:rPr>
            </w:pPr>
          </w:p>
        </w:tc>
        <w:tc>
          <w:tcPr>
            <w:tcW w:w="120" w:type="dxa"/>
            <w:vAlign w:val="bottom"/>
            <w:gridSpan w:val="2"/>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72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3900" w:type="dxa"/>
            <w:vAlign w:val="bottom"/>
            <w:vMerge w:val="continue"/>
          </w:tcPr>
          <w:p>
            <w:pPr>
              <w:spacing w:after="0"/>
              <w:rPr>
                <w:sz w:val="19"/>
                <w:szCs w:val="19"/>
                <w:color w:val="auto"/>
              </w:rPr>
            </w:pPr>
          </w:p>
        </w:tc>
        <w:tc>
          <w:tcPr>
            <w:tcW w:w="3420" w:type="dxa"/>
            <w:vAlign w:val="bottom"/>
            <w:gridSpan w:val="4"/>
          </w:tcPr>
          <w:p>
            <w:pPr>
              <w:jc w:val="right"/>
              <w:spacing w:after="0"/>
              <w:rPr>
                <w:sz w:val="20"/>
                <w:szCs w:val="20"/>
                <w:color w:val="auto"/>
              </w:rPr>
            </w:pPr>
            <w:r>
              <w:rPr>
                <w:rFonts w:ascii="Arial" w:cs="Arial" w:eastAsia="Arial" w:hAnsi="Arial"/>
                <w:sz w:val="18"/>
                <w:szCs w:val="18"/>
                <w:color w:val="auto"/>
              </w:rPr>
              <w:t>$ 382,374</w:t>
            </w:r>
          </w:p>
        </w:tc>
        <w:tc>
          <w:tcPr>
            <w:tcW w:w="60" w:type="dxa"/>
            <w:vAlign w:val="bottom"/>
          </w:tcPr>
          <w:p>
            <w:pPr>
              <w:spacing w:after="0"/>
              <w:rPr>
                <w:sz w:val="19"/>
                <w:szCs w:val="19"/>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$ 383,801</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390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6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94"/>
              </w:rPr>
              <w:t>April 28,</w:t>
            </w:r>
          </w:p>
        </w:tc>
        <w:tc>
          <w:tcPr>
            <w:tcW w:w="460" w:type="dxa"/>
            <w:vAlign w:val="bottom"/>
          </w:tcPr>
          <w:p>
            <w:pPr>
              <w:spacing w:after="0"/>
              <w:rPr>
                <w:sz w:val="24"/>
                <w:szCs w:val="24"/>
                <w:color w:val="auto"/>
              </w:rPr>
            </w:pPr>
          </w:p>
        </w:tc>
        <w:tc>
          <w:tcPr>
            <w:tcW w:w="840" w:type="dxa"/>
            <w:vAlign w:val="bottom"/>
            <w:gridSpan w:val="4"/>
          </w:tcPr>
          <w:p>
            <w:pPr>
              <w:jc w:val="center"/>
              <w:ind w:right="60"/>
              <w:spacing w:after="0"/>
              <w:rPr>
                <w:sz w:val="20"/>
                <w:szCs w:val="20"/>
                <w:color w:val="auto"/>
              </w:rPr>
            </w:pPr>
            <w:r>
              <w:rPr>
                <w:rFonts w:ascii="Arial" w:cs="Arial" w:eastAsia="Arial" w:hAnsi="Arial"/>
                <w:sz w:val="14"/>
                <w:szCs w:val="14"/>
                <w:b w:val="1"/>
                <w:bCs w:val="1"/>
                <w:color w:val="auto"/>
                <w:w w:val="90"/>
              </w:rPr>
              <w:t>January 28,</w:t>
            </w:r>
          </w:p>
        </w:tc>
        <w:tc>
          <w:tcPr>
            <w:tcW w:w="0" w:type="dxa"/>
            <w:vAlign w:val="bottom"/>
          </w:tcPr>
          <w:p>
            <w:pPr>
              <w:spacing w:after="0"/>
              <w:rPr>
                <w:sz w:val="1"/>
                <w:szCs w:val="1"/>
                <w:color w:val="auto"/>
              </w:rPr>
            </w:pPr>
          </w:p>
        </w:tc>
      </w:tr>
      <w:tr>
        <w:trPr>
          <w:trHeight w:val="161"/>
        </w:trPr>
        <w:tc>
          <w:tcPr>
            <w:tcW w:w="3900" w:type="dxa"/>
            <w:vAlign w:val="bottom"/>
          </w:tcPr>
          <w:p>
            <w:pPr>
              <w:spacing w:after="0"/>
              <w:rPr>
                <w:sz w:val="14"/>
                <w:szCs w:val="14"/>
                <w:color w:val="auto"/>
              </w:rPr>
            </w:pPr>
          </w:p>
        </w:tc>
        <w:tc>
          <w:tcPr>
            <w:tcW w:w="3420" w:type="dxa"/>
            <w:vAlign w:val="bottom"/>
            <w:gridSpan w:val="4"/>
          </w:tcPr>
          <w:p>
            <w:pPr>
              <w:jc w:val="center"/>
              <w:ind w:left="2775"/>
              <w:spacing w:after="0"/>
              <w:rPr>
                <w:sz w:val="20"/>
                <w:szCs w:val="20"/>
                <w:color w:val="auto"/>
              </w:rPr>
            </w:pPr>
            <w:r>
              <w:rPr>
                <w:rFonts w:ascii="Arial" w:cs="Arial" w:eastAsia="Arial" w:hAnsi="Arial"/>
                <w:sz w:val="14"/>
                <w:szCs w:val="14"/>
                <w:b w:val="1"/>
                <w:bCs w:val="1"/>
                <w:color w:val="auto"/>
                <w:w w:val="89"/>
              </w:rPr>
              <w:t>2012</w:t>
            </w:r>
          </w:p>
        </w:tc>
        <w:tc>
          <w:tcPr>
            <w:tcW w:w="60" w:type="dxa"/>
            <w:vAlign w:val="bottom"/>
          </w:tcPr>
          <w:p>
            <w:pPr>
              <w:spacing w:after="0"/>
              <w:rPr>
                <w:sz w:val="14"/>
                <w:szCs w:val="14"/>
                <w:color w:val="auto"/>
              </w:rPr>
            </w:pPr>
          </w:p>
        </w:tc>
        <w:tc>
          <w:tcPr>
            <w:tcW w:w="1180" w:type="dxa"/>
            <w:vAlign w:val="bottom"/>
            <w:gridSpan w:val="3"/>
          </w:tcPr>
          <w:p>
            <w:pPr>
              <w:jc w:val="center"/>
              <w:ind w:left="435"/>
              <w:spacing w:after="0"/>
              <w:rPr>
                <w:sz w:val="20"/>
                <w:szCs w:val="20"/>
                <w:color w:val="auto"/>
              </w:rPr>
            </w:pPr>
            <w:r>
              <w:rPr>
                <w:rFonts w:ascii="Arial" w:cs="Arial" w:eastAsia="Arial" w:hAnsi="Arial"/>
                <w:sz w:val="14"/>
                <w:szCs w:val="14"/>
                <w:b w:val="1"/>
                <w:bCs w:val="1"/>
                <w:color w:val="auto"/>
                <w:w w:val="83"/>
              </w:rPr>
              <w:t>2012</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27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3480" w:type="dxa"/>
            <w:vAlign w:val="bottom"/>
            <w:gridSpan w:val="5"/>
          </w:tcPr>
          <w:p>
            <w:pPr>
              <w:jc w:val="right"/>
              <w:spacing w:after="0"/>
              <w:rPr>
                <w:sz w:val="20"/>
                <w:szCs w:val="20"/>
                <w:color w:val="auto"/>
              </w:rPr>
            </w:pPr>
            <w:r>
              <w:rPr>
                <w:rFonts w:ascii="Arial" w:cs="Arial" w:eastAsia="Arial" w:hAnsi="Arial"/>
                <w:sz w:val="18"/>
                <w:szCs w:val="18"/>
                <w:color w:val="auto"/>
              </w:rPr>
              <w:t>$ 49,363</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  50,212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348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31,020</w:t>
            </w:r>
          </w:p>
        </w:tc>
        <w:tc>
          <w:tcPr>
            <w:tcW w:w="12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31,064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Deposits</w:t>
            </w:r>
          </w:p>
        </w:tc>
        <w:tc>
          <w:tcPr>
            <w:tcW w:w="3480" w:type="dxa"/>
            <w:vAlign w:val="bottom"/>
            <w:gridSpan w:val="5"/>
          </w:tcPr>
          <w:p>
            <w:pPr>
              <w:jc w:val="right"/>
              <w:spacing w:after="0"/>
              <w:rPr>
                <w:sz w:val="20"/>
                <w:szCs w:val="20"/>
                <w:color w:val="auto"/>
              </w:rPr>
            </w:pPr>
            <w:r>
              <w:rPr>
                <w:rFonts w:ascii="Arial" w:cs="Arial" w:eastAsia="Arial" w:hAnsi="Arial"/>
                <w:sz w:val="18"/>
                <w:szCs w:val="18"/>
                <w:color w:val="auto"/>
              </w:rPr>
              <w:t>11,217</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11,532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Investments in privately held companies</w:t>
            </w:r>
          </w:p>
        </w:tc>
        <w:tc>
          <w:tcPr>
            <w:tcW w:w="348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11,044</w:t>
            </w:r>
          </w:p>
        </w:tc>
        <w:tc>
          <w:tcPr>
            <w:tcW w:w="12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6,309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Deferred compensation</w:t>
            </w:r>
          </w:p>
        </w:tc>
        <w:tc>
          <w:tcPr>
            <w:tcW w:w="3480" w:type="dxa"/>
            <w:vAlign w:val="bottom"/>
            <w:gridSpan w:val="5"/>
          </w:tcPr>
          <w:p>
            <w:pPr>
              <w:jc w:val="right"/>
              <w:spacing w:after="0"/>
              <w:rPr>
                <w:sz w:val="20"/>
                <w:szCs w:val="20"/>
                <w:color w:val="auto"/>
              </w:rPr>
            </w:pPr>
            <w:r>
              <w:rPr>
                <w:rFonts w:ascii="Arial" w:cs="Arial" w:eastAsia="Arial" w:hAnsi="Arial"/>
                <w:sz w:val="18"/>
                <w:szCs w:val="18"/>
                <w:color w:val="auto"/>
              </w:rPr>
              <w:t>4,191</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5,419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820" w:type="dxa"/>
            <w:vAlign w:val="bottom"/>
            <w:gridSpan w:val="3"/>
            <w:shd w:val="clear" w:color="auto" w:fill="CCEEFF"/>
          </w:tcPr>
          <w:p>
            <w:pPr>
              <w:spacing w:after="0"/>
              <w:rPr>
                <w:sz w:val="18"/>
                <w:szCs w:val="18"/>
                <w:color w:val="auto"/>
              </w:rPr>
            </w:pPr>
          </w:p>
        </w:tc>
        <w:tc>
          <w:tcPr>
            <w:tcW w:w="6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5,334</w:t>
            </w:r>
          </w:p>
        </w:tc>
        <w:tc>
          <w:tcPr>
            <w:tcW w:w="520" w:type="dxa"/>
            <w:vAlign w:val="bottom"/>
            <w:gridSpan w:val="2"/>
            <w:shd w:val="clear" w:color="auto" w:fill="CCEEFF"/>
          </w:tcPr>
          <w:p>
            <w:pPr>
              <w:spacing w:after="0"/>
              <w:rPr>
                <w:sz w:val="18"/>
                <w:szCs w:val="18"/>
                <w:color w:val="auto"/>
              </w:rPr>
            </w:pPr>
          </w:p>
        </w:tc>
        <w:tc>
          <w:tcPr>
            <w:tcW w:w="6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3,610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90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3480" w:type="dxa"/>
            <w:vAlign w:val="bottom"/>
            <w:gridSpan w:val="5"/>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112,169</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$ 108,146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700" w:type="dxa"/>
            <w:vAlign w:val="bottom"/>
            <w:vMerge w:val="restart"/>
          </w:tcPr>
          <w:p>
            <w:pPr>
              <w:jc w:val="right"/>
              <w:ind w:right="2135"/>
              <w:spacing w:after="0"/>
              <w:rPr>
                <w:sz w:val="20"/>
                <w:szCs w:val="20"/>
                <w:color w:val="auto"/>
              </w:rPr>
            </w:pPr>
            <w:r>
              <w:rPr>
                <w:rFonts w:ascii="Arial" w:cs="Arial" w:eastAsia="Arial" w:hAnsi="Arial"/>
                <w:sz w:val="18"/>
                <w:szCs w:val="18"/>
                <w:color w:val="auto"/>
              </w:rPr>
              <w:t>9</w:t>
            </w: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900" w:type="dxa"/>
            <w:vAlign w:val="bottom"/>
          </w:tcPr>
          <w:p>
            <w:pPr>
              <w:spacing w:after="0"/>
              <w:rPr>
                <w:sz w:val="24"/>
                <w:szCs w:val="24"/>
                <w:color w:val="auto"/>
              </w:rPr>
            </w:pPr>
          </w:p>
        </w:tc>
        <w:tc>
          <w:tcPr>
            <w:tcW w:w="270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94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68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rPr>
              <w:t>April 28,</w:t>
            </w:r>
          </w:p>
        </w:tc>
        <w:tc>
          <w:tcPr>
            <w:tcW w:w="520" w:type="dxa"/>
            <w:vAlign w:val="bottom"/>
          </w:tcPr>
          <w:p>
            <w:pPr>
              <w:spacing w:after="0"/>
              <w:rPr>
                <w:sz w:val="14"/>
                <w:szCs w:val="14"/>
                <w:color w:val="auto"/>
              </w:rPr>
            </w:pPr>
          </w:p>
        </w:tc>
        <w:tc>
          <w:tcPr>
            <w:tcW w:w="780" w:type="dxa"/>
            <w:vAlign w:val="bottom"/>
            <w:gridSpan w:val="4"/>
          </w:tcPr>
          <w:p>
            <w:pPr>
              <w:spacing w:after="0"/>
              <w:rPr>
                <w:sz w:val="20"/>
                <w:szCs w:val="20"/>
                <w:color w:val="auto"/>
              </w:rPr>
            </w:pPr>
            <w:r>
              <w:rPr>
                <w:rFonts w:ascii="Arial" w:cs="Arial" w:eastAsia="Arial" w:hAnsi="Arial"/>
                <w:sz w:val="14"/>
                <w:szCs w:val="14"/>
                <w:b w:val="1"/>
                <w:bCs w:val="1"/>
                <w:color w:val="auto"/>
                <w:w w:val="98"/>
              </w:rPr>
              <w:t>January 28,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940" w:type="dxa"/>
            <w:vAlign w:val="bottom"/>
          </w:tcPr>
          <w:p>
            <w:pPr>
              <w:spacing w:after="0"/>
              <w:rPr>
                <w:sz w:val="14"/>
                <w:szCs w:val="14"/>
                <w:color w:val="auto"/>
              </w:rPr>
            </w:pPr>
          </w:p>
        </w:tc>
        <w:tc>
          <w:tcPr>
            <w:tcW w:w="2280" w:type="dxa"/>
            <w:vAlign w:val="bottom"/>
            <w:gridSpan w:val="3"/>
          </w:tcPr>
          <w:p>
            <w:pPr>
              <w:jc w:val="right"/>
              <w:spacing w:after="0"/>
              <w:rPr>
                <w:sz w:val="20"/>
                <w:szCs w:val="20"/>
                <w:color w:val="auto"/>
              </w:rPr>
            </w:pPr>
            <w:r>
              <w:rPr>
                <w:rFonts w:ascii="Arial" w:cs="Arial" w:eastAsia="Arial" w:hAnsi="Arial"/>
                <w:sz w:val="14"/>
                <w:szCs w:val="14"/>
                <w:b w:val="1"/>
                <w:bCs w:val="1"/>
                <w:color w:val="auto"/>
              </w:rPr>
              <w:t>2012</w:t>
            </w:r>
          </w:p>
        </w:tc>
        <w:tc>
          <w:tcPr>
            <w:tcW w:w="1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9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1740" w:type="dxa"/>
            <w:vAlign w:val="bottom"/>
            <w:tcBorders>
              <w:top w:val="single" w:sz="8" w:color="CCEEFF"/>
              <w:right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CCEEFF"/>
              <w:right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Accrued rebates</w:t>
            </w:r>
          </w:p>
        </w:tc>
        <w:tc>
          <w:tcPr>
            <w:tcW w:w="2420" w:type="dxa"/>
            <w:vAlign w:val="bottom"/>
            <w:gridSpan w:val="4"/>
          </w:tcPr>
          <w:p>
            <w:pPr>
              <w:jc w:val="right"/>
              <w:spacing w:after="0"/>
              <w:rPr>
                <w:sz w:val="20"/>
                <w:szCs w:val="20"/>
                <w:color w:val="auto"/>
              </w:rPr>
            </w:pPr>
            <w:r>
              <w:rPr>
                <w:rFonts w:ascii="Arial" w:cs="Arial" w:eastAsia="Arial" w:hAnsi="Arial"/>
                <w:sz w:val="18"/>
                <w:szCs w:val="18"/>
                <w:color w:val="auto"/>
              </w:rPr>
              <w:t>$ 42,400</w:t>
            </w:r>
          </w:p>
        </w:tc>
        <w:tc>
          <w:tcPr>
            <w:tcW w:w="64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w w:val="98"/>
              </w:rPr>
              <w:t>24,420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24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16,108</w:t>
            </w:r>
          </w:p>
        </w:tc>
        <w:tc>
          <w:tcPr>
            <w:tcW w:w="5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16,896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Accrued legal expense</w:t>
            </w:r>
          </w:p>
        </w:tc>
        <w:tc>
          <w:tcPr>
            <w:tcW w:w="2420" w:type="dxa"/>
            <w:vAlign w:val="bottom"/>
            <w:gridSpan w:val="4"/>
          </w:tcPr>
          <w:p>
            <w:pPr>
              <w:jc w:val="right"/>
              <w:spacing w:after="0"/>
              <w:rPr>
                <w:sz w:val="20"/>
                <w:szCs w:val="20"/>
                <w:color w:val="auto"/>
              </w:rPr>
            </w:pPr>
            <w:r>
              <w:rPr>
                <w:rFonts w:ascii="Arial" w:cs="Arial" w:eastAsia="Arial" w:hAnsi="Arial"/>
                <w:sz w:val="18"/>
                <w:szCs w:val="18"/>
                <w:color w:val="auto"/>
              </w:rPr>
              <w:t>14,353</w:t>
            </w: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w w:val="98"/>
              </w:rPr>
              <w:t>13,999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 obligations</w:t>
            </w:r>
          </w:p>
        </w:tc>
        <w:tc>
          <w:tcPr>
            <w:tcW w:w="24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8,250</w:t>
            </w:r>
          </w:p>
        </w:tc>
        <w:tc>
          <w:tcPr>
            <w:tcW w:w="5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Customer advances for NRE services</w:t>
            </w:r>
          </w:p>
        </w:tc>
        <w:tc>
          <w:tcPr>
            <w:tcW w:w="2420" w:type="dxa"/>
            <w:vAlign w:val="bottom"/>
            <w:gridSpan w:val="4"/>
          </w:tcPr>
          <w:p>
            <w:pPr>
              <w:jc w:val="right"/>
              <w:spacing w:after="0"/>
              <w:rPr>
                <w:sz w:val="20"/>
                <w:szCs w:val="20"/>
                <w:color w:val="auto"/>
              </w:rPr>
            </w:pPr>
            <w:r>
              <w:rPr>
                <w:rFonts w:ascii="Arial" w:cs="Arial" w:eastAsia="Arial" w:hAnsi="Arial"/>
                <w:sz w:val="18"/>
                <w:szCs w:val="18"/>
                <w:color w:val="auto"/>
              </w:rPr>
              <w:t>3,847</w:t>
            </w: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2,541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740" w:type="dxa"/>
            <w:vAlign w:val="bottom"/>
            <w:tcBorders>
              <w:right w:val="single" w:sz="8" w:color="CCEEFF"/>
            </w:tcBorders>
            <w:shd w:val="clear" w:color="auto" w:fill="CCEEFF"/>
          </w:tcPr>
          <w:p>
            <w:pPr>
              <w:spacing w:after="0"/>
              <w:rPr>
                <w:sz w:val="18"/>
                <w:szCs w:val="18"/>
                <w:color w:val="auto"/>
              </w:rPr>
            </w:pPr>
          </w:p>
        </w:tc>
        <w:tc>
          <w:tcPr>
            <w:tcW w:w="68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23,184</w:t>
            </w:r>
          </w:p>
        </w:tc>
        <w:tc>
          <w:tcPr>
            <w:tcW w:w="520" w:type="dxa"/>
            <w:vAlign w:val="bottom"/>
            <w:tcBorders>
              <w:right w:val="single" w:sz="8" w:color="CCEEFF"/>
            </w:tcBorders>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8"/>
              </w:rPr>
              <w:t>24,549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960" w:type="dxa"/>
            <w:vAlign w:val="bottom"/>
            <w:gridSpan w:val="2"/>
          </w:tcPr>
          <w:p>
            <w:pPr>
              <w:spacing w:after="0"/>
              <w:rPr>
                <w:sz w:val="20"/>
                <w:szCs w:val="20"/>
                <w:color w:val="auto"/>
              </w:rPr>
            </w:pPr>
            <w:r>
              <w:rPr>
                <w:rFonts w:ascii="Arial" w:cs="Arial" w:eastAsia="Arial" w:hAnsi="Arial"/>
                <w:sz w:val="18"/>
                <w:szCs w:val="18"/>
                <w:color w:val="auto"/>
              </w:rPr>
              <w:t>Accrued liabilities</w:t>
            </w:r>
          </w:p>
        </w:tc>
        <w:tc>
          <w:tcPr>
            <w:tcW w:w="2420" w:type="dxa"/>
            <w:vAlign w:val="bottom"/>
            <w:gridSpan w:val="4"/>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108,142</w:t>
            </w:r>
          </w:p>
        </w:tc>
        <w:tc>
          <w:tcPr>
            <w:tcW w:w="64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w w:val="98"/>
              </w:rPr>
              <w:t>87,655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40" w:type="dxa"/>
            <w:vAlign w:val="bottom"/>
          </w:tcPr>
          <w:p>
            <w:pPr>
              <w:spacing w:after="0" w:line="20" w:lineRule="exact"/>
              <w:rPr>
                <w:sz w:val="1"/>
                <w:szCs w:val="1"/>
                <w:color w:val="auto"/>
              </w:rPr>
            </w:pPr>
          </w:p>
        </w:tc>
        <w:tc>
          <w:tcPr>
            <w:tcW w:w="17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20" w:type="dxa"/>
            <w:vAlign w:val="bottom"/>
          </w:tcPr>
          <w:p>
            <w:pPr>
              <w:spacing w:after="0"/>
              <w:rPr>
                <w:sz w:val="24"/>
                <w:szCs w:val="24"/>
                <w:color w:val="auto"/>
              </w:rPr>
            </w:pPr>
          </w:p>
        </w:tc>
        <w:tc>
          <w:tcPr>
            <w:tcW w:w="494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gridSpan w:val="2"/>
          </w:tcPr>
          <w:p>
            <w:pPr>
              <w:jc w:val="right"/>
              <w:ind w:right="40"/>
              <w:spacing w:after="0"/>
              <w:rPr>
                <w:sz w:val="20"/>
                <w:szCs w:val="20"/>
                <w:color w:val="auto"/>
              </w:rPr>
            </w:pPr>
            <w:r>
              <w:rPr>
                <w:rFonts w:ascii="Arial" w:cs="Arial" w:eastAsia="Arial" w:hAnsi="Arial"/>
                <w:sz w:val="14"/>
                <w:szCs w:val="14"/>
                <w:b w:val="1"/>
                <w:bCs w:val="1"/>
                <w:color w:val="auto"/>
                <w:w w:val="94"/>
              </w:rPr>
              <w:t>April 28,</w:t>
            </w:r>
          </w:p>
        </w:tc>
        <w:tc>
          <w:tcPr>
            <w:tcW w:w="520" w:type="dxa"/>
            <w:vAlign w:val="bottom"/>
          </w:tcPr>
          <w:p>
            <w:pPr>
              <w:spacing w:after="0"/>
              <w:rPr>
                <w:sz w:val="24"/>
                <w:szCs w:val="24"/>
                <w:color w:val="auto"/>
              </w:rPr>
            </w:pPr>
          </w:p>
        </w:tc>
        <w:tc>
          <w:tcPr>
            <w:tcW w:w="780" w:type="dxa"/>
            <w:vAlign w:val="bottom"/>
            <w:gridSpan w:val="4"/>
          </w:tcPr>
          <w:p>
            <w:pPr>
              <w:spacing w:after="0"/>
              <w:rPr>
                <w:sz w:val="20"/>
                <w:szCs w:val="20"/>
                <w:color w:val="auto"/>
              </w:rPr>
            </w:pPr>
            <w:r>
              <w:rPr>
                <w:rFonts w:ascii="Arial" w:cs="Arial" w:eastAsia="Arial" w:hAnsi="Arial"/>
                <w:sz w:val="14"/>
                <w:szCs w:val="14"/>
                <w:b w:val="1"/>
                <w:bCs w:val="1"/>
                <w:color w:val="auto"/>
                <w:w w:val="98"/>
              </w:rPr>
              <w:t>January 28,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940" w:type="dxa"/>
            <w:vAlign w:val="bottom"/>
          </w:tcPr>
          <w:p>
            <w:pPr>
              <w:spacing w:after="0"/>
              <w:rPr>
                <w:sz w:val="14"/>
                <w:szCs w:val="14"/>
                <w:color w:val="auto"/>
              </w:rPr>
            </w:pPr>
          </w:p>
        </w:tc>
        <w:tc>
          <w:tcPr>
            <w:tcW w:w="2280" w:type="dxa"/>
            <w:vAlign w:val="bottom"/>
            <w:gridSpan w:val="3"/>
          </w:tcPr>
          <w:p>
            <w:pPr>
              <w:jc w:val="right"/>
              <w:spacing w:after="0"/>
              <w:rPr>
                <w:sz w:val="20"/>
                <w:szCs w:val="20"/>
                <w:color w:val="auto"/>
              </w:rPr>
            </w:pPr>
            <w:r>
              <w:rPr>
                <w:rFonts w:ascii="Arial" w:cs="Arial" w:eastAsia="Arial" w:hAnsi="Arial"/>
                <w:sz w:val="14"/>
                <w:szCs w:val="14"/>
                <w:b w:val="1"/>
                <w:bCs w:val="1"/>
                <w:color w:val="auto"/>
              </w:rPr>
              <w:t>2012</w:t>
            </w:r>
          </w:p>
        </w:tc>
        <w:tc>
          <w:tcPr>
            <w:tcW w:w="1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9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long-term liabilities:</w:t>
            </w:r>
          </w:p>
        </w:tc>
        <w:tc>
          <w:tcPr>
            <w:tcW w:w="1740" w:type="dxa"/>
            <w:vAlign w:val="bottom"/>
            <w:tcBorders>
              <w:top w:val="single" w:sz="8" w:color="CCEEFF"/>
              <w:right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44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CCEEFF"/>
              <w:right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2420" w:type="dxa"/>
            <w:vAlign w:val="bottom"/>
            <w:gridSpan w:val="4"/>
          </w:tcPr>
          <w:p>
            <w:pPr>
              <w:jc w:val="right"/>
              <w:spacing w:after="0"/>
              <w:rPr>
                <w:sz w:val="20"/>
                <w:szCs w:val="20"/>
                <w:color w:val="auto"/>
              </w:rPr>
            </w:pPr>
            <w:r>
              <w:rPr>
                <w:rFonts w:ascii="Arial" w:cs="Arial" w:eastAsia="Arial" w:hAnsi="Arial"/>
                <w:sz w:val="18"/>
                <w:szCs w:val="18"/>
                <w:color w:val="auto"/>
              </w:rPr>
              <w:t>$10,368</w:t>
            </w:r>
          </w:p>
        </w:tc>
        <w:tc>
          <w:tcPr>
            <w:tcW w:w="64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w w:val="98"/>
              </w:rPr>
              <w:t>11,255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24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10,231</w:t>
            </w:r>
          </w:p>
        </w:tc>
        <w:tc>
          <w:tcPr>
            <w:tcW w:w="5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10,059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Other</w:t>
            </w:r>
          </w:p>
        </w:tc>
        <w:tc>
          <w:tcPr>
            <w:tcW w:w="1840" w:type="dxa"/>
            <w:vAlign w:val="bottom"/>
            <w:gridSpan w:val="2"/>
          </w:tcPr>
          <w:p>
            <w:pPr>
              <w:spacing w:after="0"/>
              <w:rPr>
                <w:sz w:val="19"/>
                <w:szCs w:val="19"/>
                <w:color w:val="auto"/>
              </w:rPr>
            </w:pPr>
          </w:p>
        </w:tc>
        <w:tc>
          <w:tcPr>
            <w:tcW w:w="5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11,125</w:t>
            </w:r>
          </w:p>
        </w:tc>
        <w:tc>
          <w:tcPr>
            <w:tcW w:w="5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98"/>
              </w:rPr>
              <w:t>11,154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2420" w:type="dxa"/>
            <w:vAlign w:val="bottom"/>
            <w:gridSpan w:val="4"/>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31,724</w:t>
            </w:r>
          </w:p>
        </w:tc>
        <w:tc>
          <w:tcPr>
            <w:tcW w:w="64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32,468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40" w:type="dxa"/>
            <w:vAlign w:val="bottom"/>
          </w:tcPr>
          <w:p>
            <w:pPr>
              <w:spacing w:after="0" w:line="20" w:lineRule="exact"/>
              <w:rPr>
                <w:sz w:val="1"/>
                <w:szCs w:val="1"/>
                <w:color w:val="auto"/>
              </w:rPr>
            </w:pPr>
          </w:p>
        </w:tc>
        <w:tc>
          <w:tcPr>
            <w:tcW w:w="1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2"/>
        </w:trPr>
        <w:tc>
          <w:tcPr>
            <w:tcW w:w="20" w:type="dxa"/>
            <w:vAlign w:val="bottom"/>
          </w:tcPr>
          <w:p>
            <w:pPr>
              <w:spacing w:after="0"/>
              <w:rPr>
                <w:sz w:val="24"/>
                <w:szCs w:val="24"/>
                <w:color w:val="auto"/>
              </w:rPr>
            </w:pPr>
          </w:p>
        </w:tc>
        <w:tc>
          <w:tcPr>
            <w:tcW w:w="494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68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w w:val="86"/>
              </w:rPr>
              <w:t>April 28,</w:t>
            </w:r>
          </w:p>
        </w:tc>
        <w:tc>
          <w:tcPr>
            <w:tcW w:w="1300" w:type="dxa"/>
            <w:vAlign w:val="bottom"/>
            <w:gridSpan w:val="5"/>
          </w:tcPr>
          <w:p>
            <w:pPr>
              <w:ind w:left="50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940" w:type="dxa"/>
            <w:vAlign w:val="bottom"/>
          </w:tcPr>
          <w:p>
            <w:pPr>
              <w:spacing w:after="0"/>
              <w:rPr>
                <w:sz w:val="14"/>
                <w:szCs w:val="14"/>
                <w:color w:val="auto"/>
              </w:rPr>
            </w:pPr>
          </w:p>
        </w:tc>
        <w:tc>
          <w:tcPr>
            <w:tcW w:w="2280" w:type="dxa"/>
            <w:vAlign w:val="bottom"/>
            <w:gridSpan w:val="3"/>
          </w:tcPr>
          <w:p>
            <w:pPr>
              <w:jc w:val="right"/>
              <w:ind w:right="82"/>
              <w:spacing w:after="0"/>
              <w:rPr>
                <w:sz w:val="20"/>
                <w:szCs w:val="20"/>
                <w:color w:val="auto"/>
              </w:rPr>
            </w:pPr>
            <w:r>
              <w:rPr>
                <w:rFonts w:ascii="Arial" w:cs="Arial" w:eastAsia="Arial" w:hAnsi="Arial"/>
                <w:sz w:val="14"/>
                <w:szCs w:val="14"/>
                <w:b w:val="1"/>
                <w:bCs w:val="1"/>
                <w:color w:val="auto"/>
              </w:rPr>
              <w:t>2012</w:t>
            </w:r>
          </w:p>
        </w:tc>
        <w:tc>
          <w:tcPr>
            <w:tcW w:w="1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9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Accumulated other comprehensive income:</w:t>
            </w:r>
          </w:p>
        </w:tc>
        <w:tc>
          <w:tcPr>
            <w:tcW w:w="1740" w:type="dxa"/>
            <w:vAlign w:val="bottom"/>
            <w:tcBorders>
              <w:top w:val="single" w:sz="8" w:color="CCEEFF"/>
              <w:right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520" w:type="dxa"/>
            <w:vAlign w:val="bottom"/>
            <w:tcBorders>
              <w:top w:val="single" w:sz="8" w:color="CCEEFF"/>
              <w:right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Unrealized gain on marketable securities</w:t>
            </w:r>
          </w:p>
        </w:tc>
        <w:tc>
          <w:tcPr>
            <w:tcW w:w="2280" w:type="dxa"/>
            <w:vAlign w:val="bottom"/>
            <w:gridSpan w:val="3"/>
          </w:tcPr>
          <w:p>
            <w:pPr>
              <w:jc w:val="right"/>
              <w:spacing w:after="0"/>
              <w:rPr>
                <w:sz w:val="20"/>
                <w:szCs w:val="20"/>
                <w:color w:val="auto"/>
              </w:rPr>
            </w:pPr>
            <w:r>
              <w:rPr>
                <w:rFonts w:ascii="Arial" w:cs="Arial" w:eastAsia="Arial" w:hAnsi="Arial"/>
                <w:sz w:val="18"/>
                <w:szCs w:val="18"/>
                <w:color w:val="auto"/>
              </w:rPr>
              <w:t>$ 3,991</w:t>
            </w:r>
          </w:p>
        </w:tc>
        <w:tc>
          <w:tcPr>
            <w:tcW w:w="140" w:type="dxa"/>
            <w:vAlign w:val="bottom"/>
          </w:tcPr>
          <w:p>
            <w:pPr>
              <w:spacing w:after="0"/>
              <w:rPr>
                <w:sz w:val="18"/>
                <w:szCs w:val="18"/>
                <w:color w:val="auto"/>
              </w:rPr>
            </w:pPr>
          </w:p>
        </w:tc>
        <w:tc>
          <w:tcPr>
            <w:tcW w:w="64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3,702</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on auction rate securities</w:t>
            </w:r>
          </w:p>
        </w:tc>
        <w:tc>
          <w:tcPr>
            <w:tcW w:w="242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(1,285)</w:t>
            </w:r>
          </w:p>
        </w:tc>
        <w:tc>
          <w:tcPr>
            <w:tcW w:w="52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(1,285)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Unrealized loss on cash flow hedges</w:t>
            </w:r>
          </w:p>
        </w:tc>
        <w:tc>
          <w:tcPr>
            <w:tcW w:w="1740" w:type="dxa"/>
            <w:vAlign w:val="bottom"/>
          </w:tcPr>
          <w:p>
            <w:pPr>
              <w:spacing w:after="0"/>
              <w:rPr>
                <w:sz w:val="18"/>
                <w:szCs w:val="18"/>
                <w:color w:val="auto"/>
              </w:rPr>
            </w:pPr>
          </w:p>
        </w:tc>
        <w:tc>
          <w:tcPr>
            <w:tcW w:w="680" w:type="dxa"/>
            <w:vAlign w:val="bottom"/>
            <w:gridSpan w:val="3"/>
          </w:tcPr>
          <w:p>
            <w:pPr>
              <w:jc w:val="right"/>
              <w:ind w:right="100"/>
              <w:spacing w:after="0"/>
              <w:rPr>
                <w:sz w:val="20"/>
                <w:szCs w:val="20"/>
                <w:color w:val="auto"/>
              </w:rPr>
            </w:pPr>
            <w:r>
              <w:rPr>
                <w:rFonts w:ascii="Arial" w:cs="Arial" w:eastAsia="Arial" w:hAnsi="Arial"/>
                <w:sz w:val="18"/>
                <w:szCs w:val="18"/>
                <w:color w:val="auto"/>
              </w:rPr>
              <w:t>(389)</w:t>
            </w:r>
          </w:p>
        </w:tc>
        <w:tc>
          <w:tcPr>
            <w:tcW w:w="5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gridSpan w:val="3"/>
          </w:tcPr>
          <w:p>
            <w:pPr>
              <w:jc w:val="right"/>
              <w:ind w:right="60"/>
              <w:spacing w:after="0"/>
              <w:rPr>
                <w:sz w:val="20"/>
                <w:szCs w:val="20"/>
                <w:color w:val="auto"/>
              </w:rPr>
            </w:pPr>
            <w:r>
              <w:rPr>
                <w:rFonts w:ascii="Arial" w:cs="Arial" w:eastAsia="Arial" w:hAnsi="Arial"/>
                <w:sz w:val="18"/>
                <w:szCs w:val="18"/>
                <w:color w:val="auto"/>
              </w:rPr>
              <w:t>(1,641)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940" w:type="dxa"/>
            <w:vAlign w:val="bottom"/>
          </w:tcPr>
          <w:p>
            <w:pPr>
              <w:spacing w:after="0"/>
              <w:rPr>
                <w:sz w:val="2"/>
                <w:szCs w:val="2"/>
                <w:color w:val="auto"/>
              </w:rPr>
            </w:pPr>
          </w:p>
        </w:tc>
        <w:tc>
          <w:tcPr>
            <w:tcW w:w="1740" w:type="dxa"/>
            <w:vAlign w:val="bottom"/>
            <w:tcBorders>
              <w:right w:val="single" w:sz="8" w:color="auto"/>
            </w:tcBorders>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520" w:type="dxa"/>
            <w:vAlign w:val="bottom"/>
            <w:tcBorders>
              <w:right w:val="single" w:sz="8" w:color="auto"/>
            </w:tcBorders>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Accumulated other comprehensive income</w:t>
            </w:r>
          </w:p>
        </w:tc>
        <w:tc>
          <w:tcPr>
            <w:tcW w:w="22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$ 2,317</w:t>
            </w: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776</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40" w:type="dxa"/>
            <w:vAlign w:val="bottom"/>
          </w:tcPr>
          <w:p>
            <w:pPr>
              <w:spacing w:after="0" w:line="20" w:lineRule="exact"/>
              <w:rPr>
                <w:sz w:val="1"/>
                <w:szCs w:val="1"/>
                <w:color w:val="auto"/>
              </w:rPr>
            </w:pPr>
          </w:p>
        </w:tc>
        <w:tc>
          <w:tcPr>
            <w:tcW w:w="17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Net income per share:</w:t>
      </w:r>
    </w:p>
    <w:p>
      <w:pPr>
        <w:spacing w:after="0" w:line="9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Company reports both basic net income per share, which is based upon the weighted average number of common shares outstanding and diluted net income per share, which is based on the weighted average number of common shares outstanding and dilutive potential common shares. The computations of basic and diluted net income per share are presented in the following table (in thousands, except per share amounts):</w:t>
      </w:r>
    </w:p>
    <w:p>
      <w:pPr>
        <w:spacing w:after="0" w:line="143"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96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80" w:type="dxa"/>
            <w:vAlign w:val="bottom"/>
            <w:gridSpan w:val="5"/>
          </w:tcPr>
          <w:p>
            <w:pPr>
              <w:ind w:left="2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3960" w:type="dxa"/>
            <w:vAlign w:val="bottom"/>
          </w:tcPr>
          <w:p>
            <w:pPr>
              <w:spacing w:after="0"/>
              <w:rPr>
                <w:sz w:val="11"/>
                <w:szCs w:val="11"/>
                <w:color w:val="auto"/>
              </w:rPr>
            </w:pPr>
          </w:p>
        </w:tc>
        <w:tc>
          <w:tcPr>
            <w:tcW w:w="2760" w:type="dxa"/>
            <w:vAlign w:val="bottom"/>
          </w:tcPr>
          <w:p>
            <w:pPr>
              <w:spacing w:after="0"/>
              <w:rPr>
                <w:sz w:val="11"/>
                <w:szCs w:val="11"/>
                <w:color w:val="auto"/>
              </w:rPr>
            </w:pPr>
          </w:p>
        </w:tc>
        <w:tc>
          <w:tcPr>
            <w:tcW w:w="680" w:type="dxa"/>
            <w:vAlign w:val="bottom"/>
            <w:tcBorders>
              <w:top w:val="single" w:sz="8" w:color="auto"/>
            </w:tcBorders>
            <w:gridSpan w:val="2"/>
          </w:tcPr>
          <w:p>
            <w:pPr>
              <w:jc w:val="right"/>
              <w:ind w:right="17"/>
              <w:spacing w:after="0" w:line="129" w:lineRule="exact"/>
              <w:rPr>
                <w:sz w:val="20"/>
                <w:szCs w:val="20"/>
                <w:color w:val="auto"/>
              </w:rPr>
            </w:pPr>
            <w:r>
              <w:rPr>
                <w:rFonts w:ascii="Arial" w:cs="Arial" w:eastAsia="Arial" w:hAnsi="Arial"/>
                <w:sz w:val="14"/>
                <w:szCs w:val="14"/>
                <w:b w:val="1"/>
                <w:bCs w:val="1"/>
                <w:color w:val="auto"/>
              </w:rPr>
              <w:t>April 28,</w:t>
            </w:r>
          </w:p>
        </w:tc>
        <w:tc>
          <w:tcPr>
            <w:tcW w:w="5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rPr>
              <w:t>April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960" w:type="dxa"/>
            <w:vAlign w:val="bottom"/>
            <w:tcBorders>
              <w:bottom w:val="single" w:sz="8" w:color="CCEEFF"/>
            </w:tcBorders>
          </w:tcPr>
          <w:p>
            <w:pPr>
              <w:spacing w:after="0"/>
              <w:rPr>
                <w:sz w:val="14"/>
                <w:szCs w:val="14"/>
                <w:color w:val="auto"/>
              </w:rPr>
            </w:pPr>
          </w:p>
        </w:tc>
        <w:tc>
          <w:tcPr>
            <w:tcW w:w="27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2012</w:t>
            </w:r>
          </w:p>
        </w:tc>
        <w:tc>
          <w:tcPr>
            <w:tcW w:w="5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27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6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28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94,543</w:t>
            </w:r>
          </w:p>
        </w:tc>
        <w:tc>
          <w:tcPr>
            <w:tcW w:w="6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146,861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960" w:type="dxa"/>
            <w:vAlign w:val="bottom"/>
          </w:tcPr>
          <w:p>
            <w:pPr>
              <w:spacing w:after="0" w:line="20" w:lineRule="exact"/>
              <w:rPr>
                <w:sz w:val="1"/>
                <w:szCs w:val="1"/>
                <w:color w:val="auto"/>
              </w:rPr>
            </w:pPr>
          </w:p>
        </w:tc>
        <w:tc>
          <w:tcPr>
            <w:tcW w:w="27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27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60" w:type="dxa"/>
            <w:vAlign w:val="bottom"/>
          </w:tcPr>
          <w:p>
            <w:pPr>
              <w:ind w:left="440"/>
              <w:spacing w:after="0"/>
              <w:rPr>
                <w:sz w:val="20"/>
                <w:szCs w:val="20"/>
                <w:color w:val="auto"/>
              </w:rPr>
            </w:pPr>
            <w:r>
              <w:rPr>
                <w:rFonts w:ascii="Arial" w:cs="Arial" w:eastAsia="Arial" w:hAnsi="Arial"/>
                <w:sz w:val="18"/>
                <w:szCs w:val="18"/>
                <w:color w:val="auto"/>
                <w:w w:val="92"/>
              </w:rPr>
              <w:t>Weighted average common shares outstanding</w:t>
            </w:r>
          </w:p>
        </w:tc>
        <w:tc>
          <w:tcPr>
            <w:tcW w:w="27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580,024</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638,946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27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960" w:type="dxa"/>
            <w:vAlign w:val="bottom"/>
          </w:tcPr>
          <w:p>
            <w:pPr>
              <w:ind w:left="440"/>
              <w:spacing w:after="0"/>
              <w:rPr>
                <w:sz w:val="20"/>
                <w:szCs w:val="20"/>
                <w:color w:val="auto"/>
              </w:rPr>
            </w:pPr>
            <w:r>
              <w:rPr>
                <w:rFonts w:ascii="Arial" w:cs="Arial" w:eastAsia="Arial" w:hAnsi="Arial"/>
                <w:sz w:val="18"/>
                <w:szCs w:val="18"/>
                <w:color w:val="auto"/>
              </w:rPr>
              <w:t>Common share options and other</w:t>
            </w:r>
          </w:p>
        </w:tc>
        <w:tc>
          <w:tcPr>
            <w:tcW w:w="27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14,715</w:t>
            </w:r>
          </w:p>
        </w:tc>
        <w:tc>
          <w:tcPr>
            <w:tcW w:w="5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18,194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27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594,739</w:t>
            </w:r>
          </w:p>
        </w:tc>
        <w:tc>
          <w:tcPr>
            <w:tcW w:w="5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657,140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960" w:type="dxa"/>
            <w:vAlign w:val="bottom"/>
            <w:vMerge w:val="restart"/>
          </w:tcPr>
          <w:p>
            <w:pPr>
              <w:spacing w:after="0"/>
              <w:rPr>
                <w:sz w:val="20"/>
                <w:szCs w:val="20"/>
                <w:color w:val="auto"/>
              </w:rPr>
            </w:pPr>
            <w:r>
              <w:rPr>
                <w:rFonts w:ascii="Arial" w:cs="Arial" w:eastAsia="Arial" w:hAnsi="Arial"/>
                <w:sz w:val="18"/>
                <w:szCs w:val="18"/>
                <w:color w:val="auto"/>
              </w:rPr>
              <w:t>Net income per share:</w:t>
            </w:r>
          </w:p>
        </w:tc>
        <w:tc>
          <w:tcPr>
            <w:tcW w:w="27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3960" w:type="dxa"/>
            <w:vAlign w:val="bottom"/>
            <w:vMerge w:val="continue"/>
          </w:tcPr>
          <w:p>
            <w:pPr>
              <w:spacing w:after="0"/>
              <w:rPr>
                <w:sz w:val="18"/>
                <w:szCs w:val="18"/>
                <w:color w:val="auto"/>
              </w:rPr>
            </w:pPr>
          </w:p>
        </w:tc>
        <w:tc>
          <w:tcPr>
            <w:tcW w:w="27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39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2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960" w:type="dxa"/>
            <w:vAlign w:val="bottom"/>
            <w:vMerge w:val="restart"/>
          </w:tcPr>
          <w:p>
            <w:pPr>
              <w:ind w:left="440"/>
              <w:spacing w:after="0"/>
              <w:rPr>
                <w:sz w:val="20"/>
                <w:szCs w:val="20"/>
                <w:color w:val="auto"/>
              </w:rPr>
            </w:pPr>
            <w:r>
              <w:rPr>
                <w:rFonts w:ascii="Arial" w:cs="Arial" w:eastAsia="Arial" w:hAnsi="Arial"/>
                <w:sz w:val="18"/>
                <w:szCs w:val="18"/>
                <w:color w:val="auto"/>
              </w:rPr>
              <w:t>Diluted</w:t>
            </w:r>
          </w:p>
        </w:tc>
        <w:tc>
          <w:tcPr>
            <w:tcW w:w="27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3960" w:type="dxa"/>
            <w:vAlign w:val="bottom"/>
            <w:vMerge w:val="continue"/>
          </w:tcPr>
          <w:p>
            <w:pPr>
              <w:spacing w:after="0"/>
              <w:rPr>
                <w:sz w:val="18"/>
                <w:szCs w:val="18"/>
                <w:color w:val="auto"/>
              </w:rPr>
            </w:pPr>
          </w:p>
        </w:tc>
        <w:tc>
          <w:tcPr>
            <w:tcW w:w="28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0.16</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0.22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960" w:type="dxa"/>
            <w:vAlign w:val="bottom"/>
          </w:tcPr>
          <w:p>
            <w:pPr>
              <w:spacing w:after="0" w:line="20" w:lineRule="exact"/>
              <w:rPr>
                <w:sz w:val="1"/>
                <w:szCs w:val="1"/>
                <w:color w:val="auto"/>
              </w:rPr>
            </w:pPr>
          </w:p>
        </w:tc>
        <w:tc>
          <w:tcPr>
            <w:tcW w:w="2760" w:type="dxa"/>
            <w:vAlign w:val="bottom"/>
            <w:vMerge w:val="restart"/>
          </w:tcPr>
          <w:p>
            <w:pPr>
              <w:jc w:val="right"/>
              <w:ind w:right="2212"/>
              <w:spacing w:after="0"/>
              <w:rPr>
                <w:sz w:val="20"/>
                <w:szCs w:val="20"/>
                <w:color w:val="auto"/>
              </w:rPr>
            </w:pPr>
            <w:r>
              <w:rPr>
                <w:rFonts w:ascii="Arial" w:cs="Arial" w:eastAsia="Arial" w:hAnsi="Arial"/>
                <w:sz w:val="18"/>
                <w:szCs w:val="18"/>
                <w:color w:val="auto"/>
              </w:rPr>
              <w:t>10</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960" w:type="dxa"/>
            <w:vAlign w:val="bottom"/>
          </w:tcPr>
          <w:p>
            <w:pPr>
              <w:spacing w:after="0"/>
              <w:rPr>
                <w:sz w:val="24"/>
                <w:szCs w:val="24"/>
                <w:color w:val="auto"/>
              </w:rPr>
            </w:pPr>
          </w:p>
        </w:tc>
        <w:tc>
          <w:tcPr>
            <w:tcW w:w="276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80"/>
          </w:cols>
          <w:pgMar w:left="240" w:top="459" w:right="47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920" w:type="dxa"/>
            <w:vAlign w:val="bottom"/>
          </w:tcPr>
          <w:p>
            <w:pPr>
              <w:spacing w:after="0"/>
              <w:rPr>
                <w:sz w:val="14"/>
                <w:szCs w:val="14"/>
                <w:color w:val="auto"/>
              </w:rPr>
            </w:pPr>
          </w:p>
        </w:tc>
        <w:tc>
          <w:tcPr>
            <w:tcW w:w="1760" w:type="dxa"/>
            <w:vAlign w:val="bottom"/>
            <w:gridSpan w:val="4"/>
          </w:tcPr>
          <w:p>
            <w:pPr>
              <w:ind w:left="2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6920" w:type="dxa"/>
            <w:vAlign w:val="bottom"/>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4"/>
              </w:rPr>
              <w:t>April 28,</w:t>
            </w:r>
          </w:p>
        </w:tc>
        <w:tc>
          <w:tcPr>
            <w:tcW w:w="5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4"/>
              </w:rPr>
              <w:t>April 30,</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920" w:type="dxa"/>
            <w:vAlign w:val="bottom"/>
          </w:tcPr>
          <w:p>
            <w:pPr>
              <w:spacing w:after="0"/>
              <w:rPr>
                <w:sz w:val="14"/>
                <w:szCs w:val="14"/>
                <w:color w:val="auto"/>
              </w:rPr>
            </w:pPr>
          </w:p>
        </w:tc>
        <w:tc>
          <w:tcPr>
            <w:tcW w:w="580" w:type="dxa"/>
            <w:vAlign w:val="bottom"/>
          </w:tcPr>
          <w:p>
            <w:pPr>
              <w:jc w:val="right"/>
              <w:ind w:right="84"/>
              <w:spacing w:after="0"/>
              <w:rPr>
                <w:sz w:val="20"/>
                <w:szCs w:val="20"/>
                <w:color w:val="auto"/>
              </w:rPr>
            </w:pPr>
            <w:r>
              <w:rPr>
                <w:rFonts w:ascii="Arial" w:cs="Arial" w:eastAsia="Arial" w:hAnsi="Arial"/>
                <w:sz w:val="14"/>
                <w:szCs w:val="14"/>
                <w:b w:val="1"/>
                <w:bCs w:val="1"/>
                <w:color w:val="auto"/>
              </w:rPr>
              <w:t>2012</w:t>
            </w:r>
          </w:p>
        </w:tc>
        <w:tc>
          <w:tcPr>
            <w:tcW w:w="1080" w:type="dxa"/>
            <w:vAlign w:val="bottom"/>
            <w:gridSpan w:val="2"/>
          </w:tcPr>
          <w:p>
            <w:pPr>
              <w:jc w:val="right"/>
              <w:ind w:right="92"/>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69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Anti-dilutive potential common shares:</w:t>
            </w:r>
          </w:p>
        </w:tc>
        <w:tc>
          <w:tcPr>
            <w:tcW w:w="5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920" w:type="dxa"/>
            <w:vAlign w:val="bottom"/>
          </w:tcPr>
          <w:p>
            <w:pPr>
              <w:ind w:left="440"/>
              <w:spacing w:after="0"/>
              <w:rPr>
                <w:sz w:val="20"/>
                <w:szCs w:val="20"/>
                <w:color w:val="auto"/>
              </w:rPr>
            </w:pPr>
            <w:r>
              <w:rPr>
                <w:rFonts w:ascii="Arial" w:cs="Arial" w:eastAsia="Arial" w:hAnsi="Arial"/>
                <w:sz w:val="18"/>
                <w:szCs w:val="18"/>
                <w:color w:val="auto"/>
              </w:rPr>
              <w:t>Stock options:</w:t>
            </w: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9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outstanding</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22,120</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13,245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920" w:type="dxa"/>
            <w:vAlign w:val="bottom"/>
            <w:vMerge w:val="restart"/>
          </w:tcPr>
          <w:p>
            <w:pPr>
              <w:ind w:left="440"/>
              <w:spacing w:after="0"/>
              <w:rPr>
                <w:sz w:val="20"/>
                <w:szCs w:val="20"/>
                <w:color w:val="auto"/>
              </w:rPr>
            </w:pPr>
            <w:r>
              <w:rPr>
                <w:rFonts w:ascii="Arial" w:cs="Arial" w:eastAsia="Arial" w:hAnsi="Arial"/>
                <w:sz w:val="18"/>
                <w:szCs w:val="18"/>
                <w:color w:val="auto"/>
              </w:rPr>
              <w:t>Weighted-average exercise price:</w:t>
            </w: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920" w:type="dxa"/>
            <w:vAlign w:val="bottom"/>
            <w:vMerge w:val="continue"/>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3"/>
              </w:rPr>
              <w:t>$ 18.55</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$ 20.83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9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Anti-dilutive potential common shares for stock options are excluded from the calculation of diluted earnings per share for the periods reported above since the effect of these shares was anti-dilutive because their exercise price exceeded the average market price during the period. In addition, options to purchase</w:t>
      </w:r>
    </w:p>
    <w:p>
      <w:pPr>
        <w:spacing w:after="0" w:line="302" w:lineRule="auto"/>
        <w:rPr>
          <w:sz w:val="20"/>
          <w:szCs w:val="20"/>
          <w:color w:val="auto"/>
        </w:rPr>
      </w:pPr>
      <w:r>
        <w:rPr>
          <w:rFonts w:ascii="Arial" w:cs="Arial" w:eastAsia="Arial" w:hAnsi="Arial"/>
          <w:sz w:val="16"/>
          <w:szCs w:val="16"/>
          <w:color w:val="auto"/>
        </w:rPr>
        <w:t>3.1 million shares and 0.1 million shares for the three month ended April 28, 2012 and April 30, 2011, respectively, that contain market condition for vesting have been excluded from the calculation of diluted earnings per share since the market value of the Company’s shares as of April 28, 2012 and April 30, 2011 was lower than the required market condition. See Note 11 – Stock-Based Compensation” for additional details.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 term effect of currency fluctuations. The Company’s policy is to enter into foreign currency forward contracts with maturities generally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provided by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April 28, 2012 and January 28, 2012, the notional amounts of outstanding forward contracts were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46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gridSpan w:val="2"/>
          </w:tcPr>
          <w:p>
            <w:pPr>
              <w:ind w:left="40"/>
              <w:spacing w:after="0"/>
              <w:rPr>
                <w:sz w:val="20"/>
                <w:szCs w:val="20"/>
                <w:color w:val="auto"/>
              </w:rPr>
            </w:pPr>
            <w:r>
              <w:rPr>
                <w:rFonts w:ascii="Arial" w:cs="Arial" w:eastAsia="Arial" w:hAnsi="Arial"/>
                <w:sz w:val="14"/>
                <w:szCs w:val="14"/>
                <w:b w:val="1"/>
                <w:bCs w:val="1"/>
                <w:color w:val="auto"/>
              </w:rPr>
              <w:t>Buy Contracts</w:t>
            </w:r>
          </w:p>
        </w:tc>
        <w:tc>
          <w:tcPr>
            <w:tcW w:w="6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346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84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90"/>
              </w:rPr>
              <w:t>April 28, 2012</w:t>
            </w:r>
          </w:p>
        </w:tc>
        <w:tc>
          <w:tcPr>
            <w:tcW w:w="1760" w:type="dxa"/>
            <w:vAlign w:val="bottom"/>
            <w:gridSpan w:val="3"/>
          </w:tcPr>
          <w:p>
            <w:pPr>
              <w:ind w:left="760"/>
              <w:spacing w:after="0" w:line="142" w:lineRule="exact"/>
              <w:rPr>
                <w:sz w:val="20"/>
                <w:szCs w:val="20"/>
                <w:color w:val="auto"/>
              </w:rPr>
            </w:pPr>
            <w:r>
              <w:rPr>
                <w:rFonts w:ascii="Arial" w:cs="Arial" w:eastAsia="Arial" w:hAnsi="Arial"/>
                <w:sz w:val="14"/>
                <w:szCs w:val="14"/>
                <w:b w:val="1"/>
                <w:bCs w:val="1"/>
                <w:color w:val="auto"/>
                <w:w w:val="87"/>
              </w:rPr>
              <w:t>January 28, 2012</w:t>
            </w:r>
          </w:p>
        </w:tc>
        <w:tc>
          <w:tcPr>
            <w:tcW w:w="100" w:type="dxa"/>
            <w:vAlign w:val="bottom"/>
          </w:tcPr>
          <w:p>
            <w:pPr>
              <w:spacing w:after="0"/>
              <w:rPr>
                <w:sz w:val="12"/>
                <w:szCs w:val="12"/>
                <w:color w:val="auto"/>
              </w:rPr>
            </w:pPr>
          </w:p>
        </w:tc>
      </w:tr>
      <w:tr>
        <w:trPr>
          <w:trHeight w:val="210"/>
        </w:trPr>
        <w:tc>
          <w:tcPr>
            <w:tcW w:w="34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5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22,177</w:t>
            </w:r>
          </w:p>
        </w:tc>
        <w:tc>
          <w:tcPr>
            <w:tcW w:w="76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42,637</w:t>
            </w:r>
          </w:p>
        </w:tc>
        <w:tc>
          <w:tcPr>
            <w:tcW w:w="100" w:type="dxa"/>
            <w:vAlign w:val="bottom"/>
            <w:tcBorders>
              <w:top w:val="single" w:sz="8" w:color="CCEEFF"/>
            </w:tcBorders>
            <w:shd w:val="clear" w:color="auto" w:fill="CCEEFF"/>
          </w:tcPr>
          <w:p>
            <w:pPr>
              <w:spacing w:after="0"/>
              <w:rPr>
                <w:sz w:val="18"/>
                <w:szCs w:val="18"/>
                <w:color w:val="auto"/>
              </w:rPr>
            </w:pPr>
          </w:p>
        </w:tc>
      </w:tr>
      <w:tr>
        <w:trPr>
          <w:trHeight w:val="20"/>
        </w:trPr>
        <w:tc>
          <w:tcPr>
            <w:tcW w:w="3460" w:type="dxa"/>
            <w:vAlign w:val="bottom"/>
          </w:tcPr>
          <w:p>
            <w:pPr>
              <w:spacing w:after="0" w:line="20" w:lineRule="exact"/>
              <w:rPr>
                <w:sz w:val="1"/>
                <w:szCs w:val="1"/>
                <w:color w:val="auto"/>
              </w:rPr>
            </w:pPr>
          </w:p>
        </w:tc>
        <w:tc>
          <w:tcPr>
            <w:tcW w:w="25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2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denominated in Israeli shekels.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w:t>
      </w:r>
    </w:p>
    <w:p>
      <w:pPr>
        <w:spacing w:after="0" w:line="143" w:lineRule="exact"/>
        <w:rPr>
          <w:sz w:val="20"/>
          <w:szCs w:val="20"/>
          <w:color w:val="auto"/>
        </w:rPr>
      </w:pPr>
    </w:p>
    <w:p>
      <w:pPr>
        <w:jc w:val="both"/>
        <w:ind w:right="14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1 - Observable inputs that reflect quoted prices for identical assets or liabilities in active markets.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00"/>
          </w:cols>
          <w:pgMar w:left="240" w:top="459" w:right="25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Company’s Level 1 assets include its institutional money-market fund that are classified as cash equivalents and marketable investments in U.S. federal and state debt securities, which are valued primarily using quoted market prices utilizing market observable inputs. The Company’s Level 2 assets and liabilities include its marketable investments in corporate debt securities as the market inputs to value these instruments consist of market yields, reported trades and broker/dealer quotes, which are corroborated with observable market data. In addition, foreign currency exchange contracts are classified within Level 2 as the valuation inputs are based on quoted prices and market observable data of similar instruments. The Company’s Level 3 assets include its investments in auction rate securities, which are classified within Level 3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cash flow model are unobservable in the market. The total amount of assets measured using Level 3 valuation methodologies represented 0.4% of total assets as of April 28, 2012.</w:t>
      </w:r>
    </w:p>
    <w:p>
      <w:pPr>
        <w:spacing w:after="0" w:line="120"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The tables below set forth, by level, the Company’s financial assets that were accounted for at fair value as of April 28, 2012 and January 28, 2012. The tables do not include assets and liabilities that are measured at historical cost or any basis other than fair value (in thousands):</w:t>
      </w:r>
    </w:p>
    <w:p>
      <w:pPr>
        <w:spacing w:after="0" w:line="10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80" w:type="dxa"/>
            <w:vAlign w:val="bottom"/>
            <w:gridSpan w:val="4"/>
          </w:tcPr>
          <w:p>
            <w:pPr>
              <w:ind w:left="240"/>
              <w:spacing w:after="0"/>
              <w:rPr>
                <w:sz w:val="20"/>
                <w:szCs w:val="20"/>
                <w:color w:val="auto"/>
              </w:rPr>
            </w:pPr>
            <w:r>
              <w:rPr>
                <w:rFonts w:ascii="Arial" w:cs="Arial" w:eastAsia="Arial" w:hAnsi="Arial"/>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40" w:type="dxa"/>
            <w:vAlign w:val="bottom"/>
          </w:tcPr>
          <w:p>
            <w:pPr>
              <w:spacing w:after="0"/>
              <w:rPr>
                <w:sz w:val="12"/>
                <w:szCs w:val="12"/>
                <w:color w:val="auto"/>
              </w:rPr>
            </w:pPr>
          </w:p>
        </w:tc>
        <w:tc>
          <w:tcPr>
            <w:tcW w:w="1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1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w w:val="92"/>
              </w:rPr>
              <w:t>Level 1</w:t>
            </w: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54"/>
              <w:spacing w:after="0"/>
              <w:rPr>
                <w:sz w:val="20"/>
                <w:szCs w:val="20"/>
                <w:color w:val="auto"/>
              </w:rPr>
            </w:pPr>
            <w:r>
              <w:rPr>
                <w:rFonts w:ascii="Arial" w:cs="Arial" w:eastAsia="Arial" w:hAnsi="Arial"/>
                <w:sz w:val="14"/>
                <w:szCs w:val="14"/>
                <w:b w:val="1"/>
                <w:bCs w:val="1"/>
                <w:color w:val="auto"/>
                <w:w w:val="88"/>
              </w:rPr>
              <w:t>Level 2</w:t>
            </w:r>
          </w:p>
        </w:tc>
        <w:tc>
          <w:tcPr>
            <w:tcW w:w="460" w:type="dxa"/>
            <w:vAlign w:val="bottom"/>
          </w:tcPr>
          <w:p>
            <w:pPr>
              <w:spacing w:after="0"/>
              <w:rPr>
                <w:sz w:val="14"/>
                <w:szCs w:val="14"/>
                <w:color w:val="auto"/>
              </w:rPr>
            </w:pPr>
          </w:p>
        </w:tc>
        <w:tc>
          <w:tcPr>
            <w:tcW w:w="80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rPr>
              <w:t>Level 3</w:t>
            </w:r>
          </w:p>
        </w:tc>
        <w:tc>
          <w:tcPr>
            <w:tcW w:w="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0"/>
              </w:rPr>
              <w:t>at April 28, 2012</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4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Items measured at fair value on a recurring basis:</w:t>
            </w:r>
          </w:p>
        </w:tc>
        <w:tc>
          <w:tcPr>
            <w:tcW w:w="13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10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spacing w:after="0"/>
              <w:rPr>
                <w:sz w:val="20"/>
                <w:szCs w:val="20"/>
                <w:color w:val="auto"/>
              </w:rPr>
            </w:pPr>
            <w:r>
              <w:rPr>
                <w:rFonts w:ascii="Arial" w:cs="Arial" w:eastAsia="Arial" w:hAnsi="Arial"/>
                <w:sz w:val="18"/>
                <w:szCs w:val="18"/>
                <w:color w:val="auto"/>
              </w:rPr>
              <w:t>Assets</w:t>
            </w: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1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7,269</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320" w:type="dxa"/>
            <w:vAlign w:val="bottom"/>
            <w:gridSpan w:val="2"/>
          </w:tcPr>
          <w:p>
            <w:pPr>
              <w:ind w:left="240"/>
              <w:spacing w:after="0"/>
              <w:rPr>
                <w:sz w:val="20"/>
                <w:szCs w:val="20"/>
                <w:color w:val="auto"/>
              </w:rPr>
            </w:pPr>
            <w:r>
              <w:rPr>
                <w:rFonts w:ascii="Arial" w:cs="Arial" w:eastAsia="Arial" w:hAnsi="Arial"/>
                <w:sz w:val="15"/>
                <w:szCs w:val="15"/>
                <w:color w:val="auto"/>
                <w:w w:val="71"/>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7,269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63,491</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63,491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Time deposit</w:t>
            </w: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218,470</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218,470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U.S. federal and state debt securities</w:t>
            </w: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651,941</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651,941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668,149</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668,149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Foreign government</w:t>
            </w: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2,032</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2,032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220"/>
              <w:spacing w:after="0"/>
              <w:rPr>
                <w:sz w:val="20"/>
                <w:szCs w:val="20"/>
                <w:color w:val="auto"/>
              </w:rPr>
            </w:pPr>
            <w:r>
              <w:rPr>
                <w:rFonts w:ascii="Arial" w:cs="Arial" w:eastAsia="Arial" w:hAnsi="Arial"/>
                <w:sz w:val="18"/>
                <w:szCs w:val="18"/>
                <w:color w:val="auto"/>
                <w:w w:val="83"/>
              </w:rPr>
              <w:t>23,215</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3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1,810</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1,810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4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659,210</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953,952</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3"/>
              </w:rPr>
              <w:t>23,215</w:t>
            </w:r>
          </w:p>
        </w:tc>
        <w:tc>
          <w:tcPr>
            <w:tcW w:w="320" w:type="dxa"/>
            <w:vAlign w:val="bottom"/>
            <w:gridSpan w:val="2"/>
            <w:shd w:val="clear" w:color="auto" w:fill="CCEEFF"/>
          </w:tcPr>
          <w:p>
            <w:pPr>
              <w:ind w:left="240"/>
              <w:spacing w:after="0"/>
              <w:rPr>
                <w:sz w:val="20"/>
                <w:szCs w:val="20"/>
                <w:color w:val="auto"/>
              </w:rPr>
            </w:pPr>
            <w:r>
              <w:rPr>
                <w:rFonts w:ascii="Arial" w:cs="Arial" w:eastAsia="Arial" w:hAnsi="Arial"/>
                <w:sz w:val="15"/>
                <w:szCs w:val="15"/>
                <w:color w:val="auto"/>
                <w:w w:val="71"/>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1,636,377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60" w:type="dxa"/>
            <w:vAlign w:val="bottom"/>
            <w:gridSpan w:val="2"/>
            <w:vMerge w:val="restart"/>
          </w:tcPr>
          <w:p>
            <w:pPr>
              <w:spacing w:after="0"/>
              <w:rPr>
                <w:sz w:val="20"/>
                <w:szCs w:val="20"/>
                <w:color w:val="auto"/>
              </w:rPr>
            </w:pPr>
            <w:r>
              <w:rPr>
                <w:rFonts w:ascii="Arial" w:cs="Arial" w:eastAsia="Arial" w:hAnsi="Arial"/>
                <w:sz w:val="18"/>
                <w:szCs w:val="18"/>
                <w:color w:val="auto"/>
              </w:rPr>
              <w:t>Liabilities</w:t>
            </w:r>
          </w:p>
        </w:tc>
        <w:tc>
          <w:tcPr>
            <w:tcW w:w="1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460" w:type="dxa"/>
            <w:vAlign w:val="bottom"/>
            <w:gridSpan w:val="2"/>
            <w:vMerge w:val="continue"/>
          </w:tcPr>
          <w:p>
            <w:pPr>
              <w:spacing w:after="0"/>
              <w:rPr>
                <w:sz w:val="18"/>
                <w:szCs w:val="18"/>
                <w:color w:val="auto"/>
              </w:rPr>
            </w:pP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1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4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1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363</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320" w:type="dxa"/>
            <w:vAlign w:val="bottom"/>
            <w:gridSpan w:val="2"/>
          </w:tcPr>
          <w:p>
            <w:pPr>
              <w:ind w:left="240"/>
              <w:spacing w:after="0"/>
              <w:rPr>
                <w:sz w:val="20"/>
                <w:szCs w:val="20"/>
                <w:color w:val="auto"/>
              </w:rPr>
            </w:pPr>
            <w:r>
              <w:rPr>
                <w:rFonts w:ascii="Arial" w:cs="Arial" w:eastAsia="Arial" w:hAnsi="Arial"/>
                <w:sz w:val="15"/>
                <w:szCs w:val="15"/>
                <w:color w:val="auto"/>
                <w:w w:val="71"/>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363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40" w:type="dxa"/>
            <w:vAlign w:val="bottom"/>
          </w:tcPr>
          <w:p>
            <w:pPr>
              <w:spacing w:after="0" w:line="20" w:lineRule="exact"/>
              <w:rPr>
                <w:sz w:val="1"/>
                <w:szCs w:val="1"/>
                <w:color w:val="auto"/>
              </w:rPr>
            </w:pPr>
          </w:p>
        </w:tc>
        <w:tc>
          <w:tcPr>
            <w:tcW w:w="1360" w:type="dxa"/>
            <w:vAlign w:val="bottom"/>
            <w:vMerge w:val="restart"/>
          </w:tcPr>
          <w:p>
            <w:pPr>
              <w:jc w:val="right"/>
              <w:ind w:right="392"/>
              <w:spacing w:after="0"/>
              <w:rPr>
                <w:sz w:val="20"/>
                <w:szCs w:val="20"/>
                <w:color w:val="auto"/>
              </w:rPr>
            </w:pPr>
            <w:r>
              <w:rPr>
                <w:rFonts w:ascii="Arial" w:cs="Arial" w:eastAsia="Arial" w:hAnsi="Arial"/>
                <w:sz w:val="18"/>
                <w:szCs w:val="18"/>
                <w:color w:val="auto"/>
              </w:rPr>
              <w:t>12</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440" w:type="dxa"/>
            <w:vAlign w:val="bottom"/>
          </w:tcPr>
          <w:p>
            <w:pPr>
              <w:spacing w:after="0"/>
              <w:rPr>
                <w:sz w:val="24"/>
                <w:szCs w:val="24"/>
                <w:color w:val="auto"/>
              </w:rPr>
            </w:pPr>
          </w:p>
        </w:tc>
        <w:tc>
          <w:tcPr>
            <w:tcW w:w="13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60"/>
          </w:cols>
          <w:pgMar w:left="240" w:top="459" w:right="39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380" w:type="dxa"/>
            <w:vAlign w:val="bottom"/>
            <w:gridSpan w:val="6"/>
          </w:tcPr>
          <w:p>
            <w:pPr>
              <w:ind w:left="140"/>
              <w:spacing w:after="0"/>
              <w:rPr>
                <w:sz w:val="20"/>
                <w:szCs w:val="20"/>
                <w:color w:val="auto"/>
              </w:rPr>
            </w:pPr>
            <w:r>
              <w:rPr>
                <w:rFonts w:ascii="Arial" w:cs="Arial" w:eastAsia="Arial" w:hAnsi="Arial"/>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40" w:type="dxa"/>
            <w:vAlign w:val="bottom"/>
            <w:gridSpan w:val="5"/>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100" w:type="dxa"/>
            <w:vAlign w:val="bottom"/>
            <w:gridSpan w:val="4"/>
          </w:tcPr>
          <w:p>
            <w:pPr>
              <w:jc w:val="center"/>
              <w:ind w:right="240"/>
              <w:spacing w:after="0" w:line="149" w:lineRule="exact"/>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w w:val="92"/>
              </w:rPr>
              <w:t>Level 1</w:t>
            </w: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gridSpan w:val="3"/>
          </w:tcPr>
          <w:p>
            <w:pPr>
              <w:jc w:val="right"/>
              <w:ind w:right="62"/>
              <w:spacing w:after="0"/>
              <w:rPr>
                <w:sz w:val="20"/>
                <w:szCs w:val="20"/>
                <w:color w:val="auto"/>
              </w:rPr>
            </w:pPr>
            <w:r>
              <w:rPr>
                <w:rFonts w:ascii="Arial" w:cs="Arial" w:eastAsia="Arial" w:hAnsi="Arial"/>
                <w:sz w:val="14"/>
                <w:szCs w:val="14"/>
                <w:b w:val="1"/>
                <w:bCs w:val="1"/>
                <w:color w:val="auto"/>
                <w:w w:val="88"/>
              </w:rPr>
              <w:t>Level 2</w:t>
            </w:r>
          </w:p>
        </w:tc>
        <w:tc>
          <w:tcPr>
            <w:tcW w:w="460" w:type="dxa"/>
            <w:vAlign w:val="bottom"/>
          </w:tcPr>
          <w:p>
            <w:pPr>
              <w:spacing w:after="0"/>
              <w:rPr>
                <w:sz w:val="14"/>
                <w:szCs w:val="14"/>
                <w:color w:val="auto"/>
              </w:rPr>
            </w:pPr>
          </w:p>
        </w:tc>
        <w:tc>
          <w:tcPr>
            <w:tcW w:w="740" w:type="dxa"/>
            <w:vAlign w:val="bottom"/>
            <w:gridSpan w:val="4"/>
          </w:tcPr>
          <w:p>
            <w:pPr>
              <w:jc w:val="right"/>
              <w:ind w:right="240"/>
              <w:spacing w:after="0"/>
              <w:rPr>
                <w:sz w:val="20"/>
                <w:szCs w:val="20"/>
                <w:color w:val="auto"/>
              </w:rPr>
            </w:pPr>
            <w:r>
              <w:rPr>
                <w:rFonts w:ascii="Arial" w:cs="Arial" w:eastAsia="Arial" w:hAnsi="Arial"/>
                <w:sz w:val="14"/>
                <w:szCs w:val="14"/>
                <w:b w:val="1"/>
                <w:bCs w:val="1"/>
                <w:color w:val="auto"/>
              </w:rPr>
              <w:t>Level 3</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40" w:type="dxa"/>
            <w:vAlign w:val="bottom"/>
            <w:gridSpan w:val="5"/>
          </w:tcPr>
          <w:p>
            <w:pPr>
              <w:spacing w:after="0"/>
              <w:rPr>
                <w:sz w:val="20"/>
                <w:szCs w:val="20"/>
                <w:color w:val="auto"/>
              </w:rPr>
            </w:pPr>
            <w:r>
              <w:rPr>
                <w:rFonts w:ascii="Arial" w:cs="Arial" w:eastAsia="Arial" w:hAnsi="Arial"/>
                <w:sz w:val="14"/>
                <w:szCs w:val="14"/>
                <w:b w:val="1"/>
                <w:bCs w:val="1"/>
                <w:color w:val="auto"/>
                <w:w w:val="94"/>
              </w:rPr>
              <w:t>at January 28, 2012</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80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Items measured at fair value on a recurring basis:</w:t>
            </w: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3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gridSpan w:val="2"/>
          </w:tcPr>
          <w:p>
            <w:pPr>
              <w:spacing w:after="0"/>
              <w:rPr>
                <w:sz w:val="20"/>
                <w:szCs w:val="20"/>
                <w:color w:val="auto"/>
              </w:rPr>
            </w:pPr>
            <w:r>
              <w:rPr>
                <w:rFonts w:ascii="Arial" w:cs="Arial" w:eastAsia="Arial" w:hAnsi="Arial"/>
                <w:sz w:val="18"/>
                <w:szCs w:val="18"/>
                <w:color w:val="auto"/>
              </w:rPr>
              <w:t>Assets</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gridSpan w:val="2"/>
          </w:tcPr>
          <w:p>
            <w:pPr>
              <w:ind w:left="420"/>
              <w:spacing w:after="0"/>
              <w:rPr>
                <w:sz w:val="20"/>
                <w:szCs w:val="20"/>
                <w:color w:val="auto"/>
              </w:rPr>
            </w:pPr>
            <w:r>
              <w:rPr>
                <w:rFonts w:ascii="Arial" w:cs="Arial" w:eastAsia="Arial" w:hAnsi="Arial"/>
                <w:sz w:val="18"/>
                <w:szCs w:val="18"/>
                <w:color w:val="auto"/>
              </w:rPr>
              <w:t>Money market funds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64,247</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3"/>
          </w:tcPr>
          <w:p>
            <w:pPr>
              <w:jc w:val="center"/>
              <w:ind w:left="154"/>
              <w:spacing w:after="0"/>
              <w:rPr>
                <w:sz w:val="20"/>
                <w:szCs w:val="20"/>
                <w:color w:val="auto"/>
              </w:rPr>
            </w:pPr>
            <w:r>
              <w:rPr>
                <w:rFonts w:ascii="Arial" w:cs="Arial" w:eastAsia="Arial" w:hAnsi="Arial"/>
                <w:sz w:val="18"/>
                <w:szCs w:val="18"/>
                <w:color w:val="auto"/>
                <w:w w:val="99"/>
              </w:rPr>
              <w: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6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440" w:type="dxa"/>
            <w:vAlign w:val="bottom"/>
            <w:gridSpan w:val="3"/>
          </w:tcPr>
          <w:p>
            <w:pPr>
              <w:ind w:left="300"/>
              <w:spacing w:after="0"/>
              <w:rPr>
                <w:sz w:val="20"/>
                <w:szCs w:val="20"/>
                <w:color w:val="auto"/>
              </w:rPr>
            </w:pPr>
            <w:r>
              <w:rPr>
                <w:rFonts w:ascii="Arial" w:cs="Arial" w:eastAsia="Arial" w:hAnsi="Arial"/>
                <w:sz w:val="18"/>
                <w:szCs w:val="18"/>
                <w:color w:val="auto"/>
              </w:rPr>
              <w:t>$</w:t>
            </w: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64,247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gridSpan w:val="2"/>
          </w:tcPr>
          <w:p>
            <w:pPr>
              <w:ind w:left="420"/>
              <w:spacing w:after="0"/>
              <w:rPr>
                <w:sz w:val="20"/>
                <w:szCs w:val="20"/>
                <w:color w:val="auto"/>
              </w:rPr>
            </w:pPr>
            <w:r>
              <w:rPr>
                <w:rFonts w:ascii="Arial" w:cs="Arial" w:eastAsia="Arial" w:hAnsi="Arial"/>
                <w:sz w:val="18"/>
                <w:szCs w:val="18"/>
                <w:color w:val="auto"/>
              </w:rPr>
              <w:t>Time deposit</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3"/>
          </w:tcPr>
          <w:p>
            <w:pPr>
              <w:jc w:val="right"/>
              <w:spacing w:after="0"/>
              <w:rPr>
                <w:sz w:val="20"/>
                <w:szCs w:val="20"/>
                <w:color w:val="auto"/>
              </w:rPr>
            </w:pPr>
            <w:r>
              <w:rPr>
                <w:rFonts w:ascii="Arial" w:cs="Arial" w:eastAsia="Arial" w:hAnsi="Arial"/>
                <w:sz w:val="18"/>
                <w:szCs w:val="18"/>
                <w:color w:val="auto"/>
                <w:w w:val="86"/>
              </w:rPr>
              <w:t>205,060</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205,060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gridSpan w:val="2"/>
          </w:tcPr>
          <w:p>
            <w:pPr>
              <w:ind w:left="420"/>
              <w:spacing w:after="0"/>
              <w:rPr>
                <w:sz w:val="20"/>
                <w:szCs w:val="20"/>
                <w:color w:val="auto"/>
              </w:rPr>
            </w:pPr>
            <w:r>
              <w:rPr>
                <w:rFonts w:ascii="Arial" w:cs="Arial" w:eastAsia="Arial" w:hAnsi="Arial"/>
                <w:sz w:val="18"/>
                <w:szCs w:val="18"/>
                <w:color w:val="auto"/>
              </w:rPr>
              <w:t>U.S. federal and state debt securities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771,715</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3"/>
          </w:tcPr>
          <w:p>
            <w:pPr>
              <w:jc w:val="center"/>
              <w:ind w:left="154"/>
              <w:spacing w:after="0"/>
              <w:rPr>
                <w:sz w:val="20"/>
                <w:szCs w:val="20"/>
                <w:color w:val="auto"/>
              </w:rPr>
            </w:pPr>
            <w:r>
              <w:rPr>
                <w:rFonts w:ascii="Arial" w:cs="Arial" w:eastAsia="Arial" w:hAnsi="Arial"/>
                <w:sz w:val="18"/>
                <w:szCs w:val="18"/>
                <w:color w:val="auto"/>
                <w:w w:val="99"/>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771,715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6"/>
              </w:rPr>
              <w:t>687,845</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687,845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gridSpan w:val="2"/>
          </w:tcPr>
          <w:p>
            <w:pPr>
              <w:ind w:left="420"/>
              <w:spacing w:after="0"/>
              <w:rPr>
                <w:sz w:val="20"/>
                <w:szCs w:val="20"/>
                <w:color w:val="auto"/>
              </w:rPr>
            </w:pPr>
            <w:r>
              <w:rPr>
                <w:rFonts w:ascii="Arial" w:cs="Arial" w:eastAsia="Arial" w:hAnsi="Arial"/>
                <w:sz w:val="18"/>
                <w:szCs w:val="18"/>
                <w:color w:val="auto"/>
              </w:rPr>
              <w:t>Foreign government</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3"/>
          </w:tcPr>
          <w:p>
            <w:pPr>
              <w:jc w:val="right"/>
              <w:spacing w:after="0"/>
              <w:rPr>
                <w:sz w:val="20"/>
                <w:szCs w:val="20"/>
                <w:color w:val="auto"/>
              </w:rPr>
            </w:pPr>
            <w:r>
              <w:rPr>
                <w:rFonts w:ascii="Arial" w:cs="Arial" w:eastAsia="Arial" w:hAnsi="Arial"/>
                <w:sz w:val="18"/>
                <w:szCs w:val="18"/>
                <w:color w:val="auto"/>
              </w:rPr>
              <w:t>2,036</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2,036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gridSpan w:val="2"/>
          </w:tcPr>
          <w:p>
            <w:pPr>
              <w:ind w:left="420"/>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3"/>
          </w:tcPr>
          <w:p>
            <w:pPr>
              <w:jc w:val="center"/>
              <w:ind w:left="154"/>
              <w:spacing w:after="0"/>
              <w:rPr>
                <w:sz w:val="20"/>
                <w:szCs w:val="20"/>
                <w:color w:val="auto"/>
              </w:rPr>
            </w:pPr>
            <w:r>
              <w:rPr>
                <w:rFonts w:ascii="Arial" w:cs="Arial" w:eastAsia="Arial" w:hAnsi="Arial"/>
                <w:sz w:val="18"/>
                <w:szCs w:val="18"/>
                <w:color w:val="auto"/>
                <w:w w:val="99"/>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3"/>
          </w:tcPr>
          <w:p>
            <w:pPr>
              <w:jc w:val="right"/>
              <w:ind w:right="160"/>
              <w:spacing w:after="0"/>
              <w:rPr>
                <w:sz w:val="20"/>
                <w:szCs w:val="20"/>
                <w:color w:val="auto"/>
              </w:rPr>
            </w:pPr>
            <w:r>
              <w:rPr>
                <w:rFonts w:ascii="Arial" w:cs="Arial" w:eastAsia="Arial" w:hAnsi="Arial"/>
                <w:sz w:val="18"/>
                <w:szCs w:val="18"/>
                <w:color w:val="auto"/>
                <w:w w:val="83"/>
              </w:rPr>
              <w:t>23,215</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800" w:type="dxa"/>
            <w:vAlign w:val="bottom"/>
            <w:gridSpan w:val="2"/>
          </w:tcPr>
          <w:p>
            <w:pPr>
              <w:ind w:left="420"/>
              <w:spacing w:after="0"/>
              <w:rPr>
                <w:sz w:val="20"/>
                <w:szCs w:val="20"/>
                <w:color w:val="auto"/>
              </w:rPr>
            </w:pPr>
            <w:r>
              <w:rPr>
                <w:rFonts w:ascii="Arial" w:cs="Arial" w:eastAsia="Arial" w:hAnsi="Arial"/>
                <w:sz w:val="18"/>
                <w:szCs w:val="18"/>
                <w:color w:val="auto"/>
              </w:rPr>
              <w:t>Severance pay fund</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1,734</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0" w:type="dxa"/>
            <w:vAlign w:val="bottom"/>
            <w:tcBorders>
              <w:bottom w:val="single" w:sz="8" w:color="auto"/>
            </w:tcBorders>
          </w:tcPr>
          <w:p>
            <w:pPr>
              <w:spacing w:after="0"/>
              <w:rPr>
                <w:sz w:val="19"/>
                <w:szCs w:val="19"/>
                <w:color w:val="auto"/>
              </w:rPr>
            </w:pPr>
          </w:p>
        </w:tc>
        <w:tc>
          <w:tcPr>
            <w:tcW w:w="4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1,734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835,962</w:t>
            </w:r>
          </w:p>
        </w:tc>
        <w:tc>
          <w:tcPr>
            <w:tcW w:w="1260" w:type="dxa"/>
            <w:vAlign w:val="bottom"/>
            <w:gridSpan w:val="5"/>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909,175</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64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w w:val="83"/>
              </w:rPr>
              <w:t>23,215</w:t>
            </w:r>
          </w:p>
        </w:tc>
        <w:tc>
          <w:tcPr>
            <w:tcW w:w="440" w:type="dxa"/>
            <w:vAlign w:val="bottom"/>
            <w:gridSpan w:val="3"/>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1,768,352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820" w:type="dxa"/>
            <w:vAlign w:val="bottom"/>
            <w:gridSpan w:val="3"/>
            <w:vMerge w:val="restart"/>
          </w:tcPr>
          <w:p>
            <w:pPr>
              <w:spacing w:after="0"/>
              <w:rPr>
                <w:sz w:val="20"/>
                <w:szCs w:val="20"/>
                <w:color w:val="auto"/>
              </w:rPr>
            </w:pPr>
            <w:r>
              <w:rPr>
                <w:rFonts w:ascii="Arial" w:cs="Arial" w:eastAsia="Arial" w:hAnsi="Arial"/>
                <w:sz w:val="18"/>
                <w:szCs w:val="18"/>
                <w:color w:val="auto"/>
              </w:rPr>
              <w:t>Liabilities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5820" w:type="dxa"/>
            <w:vAlign w:val="bottom"/>
            <w:gridSpan w:val="3"/>
            <w:vMerge w:val="continue"/>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gridSpan w:val="2"/>
          </w:tcPr>
          <w:p>
            <w:pPr>
              <w:ind w:left="420"/>
              <w:spacing w:after="0"/>
              <w:rPr>
                <w:sz w:val="20"/>
                <w:szCs w:val="20"/>
                <w:color w:val="auto"/>
              </w:rPr>
            </w:pPr>
            <w:r>
              <w:rPr>
                <w:rFonts w:ascii="Arial" w:cs="Arial" w:eastAsia="Arial" w:hAnsi="Arial"/>
                <w:sz w:val="18"/>
                <w:szCs w:val="18"/>
                <w:color w:val="auto"/>
              </w:rPr>
              <w:t>Forward contracts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gridSpan w:val="3"/>
          </w:tcPr>
          <w:p>
            <w:pPr>
              <w:jc w:val="right"/>
              <w:spacing w:after="0"/>
              <w:rPr>
                <w:sz w:val="20"/>
                <w:szCs w:val="20"/>
                <w:color w:val="auto"/>
              </w:rPr>
            </w:pPr>
            <w:r>
              <w:rPr>
                <w:rFonts w:ascii="Arial" w:cs="Arial" w:eastAsia="Arial" w:hAnsi="Arial"/>
                <w:sz w:val="18"/>
                <w:szCs w:val="18"/>
                <w:color w:val="auto"/>
              </w:rPr>
              <w:t>1,520</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6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440" w:type="dxa"/>
            <w:vAlign w:val="bottom"/>
            <w:gridSpan w:val="3"/>
          </w:tcPr>
          <w:p>
            <w:pPr>
              <w:ind w:left="300"/>
              <w:spacing w:after="0"/>
              <w:rPr>
                <w:sz w:val="20"/>
                <w:szCs w:val="20"/>
                <w:color w:val="auto"/>
              </w:rPr>
            </w:pPr>
            <w:r>
              <w:rPr>
                <w:rFonts w:ascii="Arial" w:cs="Arial" w:eastAsia="Arial" w:hAnsi="Arial"/>
                <w:sz w:val="18"/>
                <w:szCs w:val="18"/>
                <w:color w:val="auto"/>
              </w:rPr>
              <w:t>$</w:t>
            </w: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1,520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gridSpan w:val="2"/>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6500" w:type="dxa"/>
            <w:vAlign w:val="bottom"/>
            <w:gridSpan w:val="5"/>
          </w:tcPr>
          <w:p>
            <w:pPr>
              <w:spacing w:after="0"/>
              <w:rPr>
                <w:sz w:val="20"/>
                <w:szCs w:val="20"/>
                <w:color w:val="auto"/>
              </w:rPr>
            </w:pPr>
            <w:r>
              <w:rPr>
                <w:rFonts w:ascii="Arial" w:cs="Arial" w:eastAsia="Arial" w:hAnsi="Arial"/>
                <w:sz w:val="18"/>
                <w:szCs w:val="18"/>
                <w:color w:val="auto"/>
                <w:w w:val="92"/>
              </w:rPr>
              <w:t>The following tables summarize the change in fair value for Level 3 items (in thousands):</w:t>
            </w: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640" w:type="dxa"/>
            <w:vAlign w:val="bottom"/>
            <w:tcBorders>
              <w:bottom w:val="single" w:sz="8" w:color="auto"/>
            </w:tcBorders>
            <w:gridSpan w:val="8"/>
          </w:tcPr>
          <w:p>
            <w:pPr>
              <w:ind w:left="380"/>
              <w:spacing w:after="0"/>
              <w:rPr>
                <w:sz w:val="20"/>
                <w:szCs w:val="20"/>
                <w:color w:val="auto"/>
              </w:rPr>
            </w:pPr>
            <w:r>
              <w:rPr>
                <w:rFonts w:ascii="Arial" w:cs="Arial" w:eastAsia="Arial" w:hAnsi="Arial"/>
                <w:sz w:val="14"/>
                <w:szCs w:val="14"/>
                <w:b w:val="1"/>
                <w:bCs w:val="1"/>
                <w:color w:val="auto"/>
                <w:w w:val="90"/>
              </w:rPr>
              <w:t>Three months ended</w:t>
            </w:r>
          </w:p>
        </w:tc>
        <w:tc>
          <w:tcPr>
            <w:tcW w:w="54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20" w:type="dxa"/>
            <w:vAlign w:val="bottom"/>
            <w:gridSpan w:val="6"/>
          </w:tcPr>
          <w:p>
            <w:pPr>
              <w:jc w:val="right"/>
              <w:ind w:right="620"/>
              <w:spacing w:after="0" w:line="142" w:lineRule="exact"/>
              <w:rPr>
                <w:sz w:val="20"/>
                <w:szCs w:val="20"/>
                <w:color w:val="auto"/>
              </w:rPr>
            </w:pPr>
            <w:r>
              <w:rPr>
                <w:rFonts w:ascii="Arial" w:cs="Arial" w:eastAsia="Arial" w:hAnsi="Arial"/>
                <w:sz w:val="14"/>
                <w:szCs w:val="14"/>
                <w:b w:val="1"/>
                <w:bCs w:val="1"/>
                <w:color w:val="auto"/>
                <w:w w:val="86"/>
              </w:rPr>
              <w:t>April 28, 2012</w:t>
            </w:r>
          </w:p>
        </w:tc>
        <w:tc>
          <w:tcPr>
            <w:tcW w:w="160" w:type="dxa"/>
            <w:vAlign w:val="bottom"/>
          </w:tcPr>
          <w:p>
            <w:pPr>
              <w:spacing w:after="0"/>
              <w:rPr>
                <w:sz w:val="12"/>
                <w:szCs w:val="12"/>
                <w:color w:val="auto"/>
              </w:rPr>
            </w:pPr>
          </w:p>
        </w:tc>
        <w:tc>
          <w:tcPr>
            <w:tcW w:w="820" w:type="dxa"/>
            <w:vAlign w:val="bottom"/>
            <w:gridSpan w:val="3"/>
          </w:tcPr>
          <w:p>
            <w:pPr>
              <w:spacing w:after="0" w:line="142" w:lineRule="exact"/>
              <w:rPr>
                <w:sz w:val="20"/>
                <w:szCs w:val="20"/>
                <w:color w:val="auto"/>
              </w:rPr>
            </w:pPr>
            <w:r>
              <w:rPr>
                <w:rFonts w:ascii="Arial" w:cs="Arial" w:eastAsia="Arial" w:hAnsi="Arial"/>
                <w:sz w:val="14"/>
                <w:szCs w:val="14"/>
                <w:b w:val="1"/>
                <w:bCs w:val="1"/>
                <w:color w:val="auto"/>
                <w:w w:val="88"/>
              </w:rPr>
              <w:t>April 30, 2011</w:t>
            </w:r>
          </w:p>
        </w:tc>
        <w:tc>
          <w:tcPr>
            <w:tcW w:w="560" w:type="dxa"/>
            <w:vAlign w:val="bottom"/>
            <w:gridSpan w:val="3"/>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3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Beginning balance</w:t>
            </w: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60" w:type="dxa"/>
            <w:vAlign w:val="bottom"/>
            <w:tcBorders>
              <w:top w:val="single" w:sz="8" w:color="CCEEFF"/>
            </w:tcBorders>
            <w:gridSpan w:val="2"/>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center"/>
              <w:ind w:right="62"/>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4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auto"/>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26,226</w:t>
            </w:r>
          </w:p>
        </w:tc>
        <w:tc>
          <w:tcPr>
            <w:tcW w:w="100" w:type="dxa"/>
            <w:vAlign w:val="bottom"/>
            <w:tcBorders>
              <w:top w:val="single" w:sz="8" w:color="CCEEFF"/>
            </w:tcBorders>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Sales and redemption</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(100)</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w w:val="95"/>
              </w:rPr>
              <w:t>Unrealized gain included in accumulated other comprehensive income</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(56)</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360" w:type="dxa"/>
            <w:vAlign w:val="bottom"/>
            <w:vMerge w:val="restart"/>
          </w:tcPr>
          <w:p>
            <w:pPr>
              <w:spacing w:after="0"/>
              <w:rPr>
                <w:sz w:val="20"/>
                <w:szCs w:val="20"/>
                <w:color w:val="auto"/>
              </w:rPr>
            </w:pPr>
            <w:r>
              <w:rPr>
                <w:rFonts w:ascii="Arial" w:cs="Arial" w:eastAsia="Arial" w:hAnsi="Arial"/>
                <w:sz w:val="18"/>
                <w:szCs w:val="18"/>
                <w:color w:val="auto"/>
              </w:rPr>
              <w:t>Ending balance</w:t>
            </w: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600" w:type="dxa"/>
            <w:vAlign w:val="bottom"/>
            <w:gridSpan w:val="3"/>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36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gridSpan w:val="3"/>
          </w:tcPr>
          <w:p>
            <w:pPr>
              <w:jc w:val="center"/>
              <w:ind w:left="114"/>
              <w:spacing w:after="0"/>
              <w:rPr>
                <w:sz w:val="20"/>
                <w:szCs w:val="20"/>
                <w:color w:val="auto"/>
              </w:rPr>
            </w:pPr>
            <w:r>
              <w:rPr>
                <w:rFonts w:ascii="Arial" w:cs="Arial" w:eastAsia="Arial" w:hAnsi="Arial"/>
                <w:sz w:val="18"/>
                <w:szCs w:val="18"/>
                <w:color w:val="auto"/>
                <w:w w:val="99"/>
              </w:rPr>
              <w:t>$</w:t>
            </w:r>
          </w:p>
        </w:tc>
        <w:tc>
          <w:tcPr>
            <w:tcW w:w="600" w:type="dxa"/>
            <w:vAlign w:val="bottom"/>
            <w:gridSpan w:val="3"/>
          </w:tcPr>
          <w:p>
            <w:pPr>
              <w:jc w:val="right"/>
              <w:spacing w:after="0"/>
              <w:rPr>
                <w:sz w:val="20"/>
                <w:szCs w:val="20"/>
                <w:color w:val="auto"/>
              </w:rPr>
            </w:pPr>
            <w:r>
              <w:rPr>
                <w:rFonts w:ascii="Arial" w:cs="Arial" w:eastAsia="Arial" w:hAnsi="Arial"/>
                <w:sz w:val="18"/>
                <w:szCs w:val="18"/>
                <w:color w:val="auto"/>
              </w:rPr>
              <w:t>23,215</w:t>
            </w:r>
          </w:p>
        </w:tc>
        <w:tc>
          <w:tcPr>
            <w:tcW w:w="4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30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w w:val="94"/>
              </w:rPr>
              <w:t>26,070</w:t>
            </w: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Goodwill and Acquired Intangible Assets, Net (in thousands)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was no change in goodwill during the three months ended April 28, 2012.</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0960"/>
          </w:cols>
          <w:pgMar w:left="240" w:top="459" w:right="69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4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gridSpan w:val="4"/>
          </w:tcPr>
          <w:p>
            <w:pPr>
              <w:ind w:left="280"/>
              <w:spacing w:after="0"/>
              <w:rPr>
                <w:sz w:val="20"/>
                <w:szCs w:val="20"/>
                <w:color w:val="auto"/>
              </w:rPr>
            </w:pPr>
            <w:r>
              <w:rPr>
                <w:rFonts w:ascii="Arial" w:cs="Arial" w:eastAsia="Arial" w:hAnsi="Arial"/>
                <w:sz w:val="14"/>
                <w:szCs w:val="14"/>
                <w:b w:val="1"/>
                <w:bCs w:val="1"/>
                <w:color w:val="auto"/>
              </w:rPr>
              <w:t>April 28, 2012</w:t>
            </w:r>
          </w:p>
        </w:tc>
        <w:tc>
          <w:tcPr>
            <w:tcW w:w="1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300" w:type="dxa"/>
            <w:vAlign w:val="bottom"/>
            <w:tcBorders>
              <w:bottom w:val="single" w:sz="8" w:color="auto"/>
            </w:tcBorders>
            <w:gridSpan w:val="4"/>
          </w:tcPr>
          <w:p>
            <w:pPr>
              <w:jc w:val="right"/>
              <w:ind w:right="220"/>
              <w:spacing w:after="0"/>
              <w:rPr>
                <w:sz w:val="20"/>
                <w:szCs w:val="20"/>
                <w:color w:val="auto"/>
              </w:rPr>
            </w:pPr>
            <w:r>
              <w:rPr>
                <w:rFonts w:ascii="Arial" w:cs="Arial" w:eastAsia="Arial" w:hAnsi="Arial"/>
                <w:sz w:val="14"/>
                <w:szCs w:val="14"/>
                <w:b w:val="1"/>
                <w:bCs w:val="1"/>
                <w:color w:val="auto"/>
                <w:w w:val="94"/>
              </w:rPr>
              <w:t>January 28, 2012</w:t>
            </w: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4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80" w:type="dxa"/>
            <w:vAlign w:val="bottom"/>
          </w:tcPr>
          <w:p>
            <w:pPr>
              <w:jc w:val="right"/>
              <w:ind w:right="79"/>
              <w:spacing w:after="0" w:line="129" w:lineRule="exact"/>
              <w:rPr>
                <w:sz w:val="20"/>
                <w:szCs w:val="20"/>
                <w:color w:val="auto"/>
              </w:rPr>
            </w:pPr>
            <w:r>
              <w:rPr>
                <w:rFonts w:ascii="Arial" w:cs="Arial" w:eastAsia="Arial" w:hAnsi="Arial"/>
                <w:sz w:val="14"/>
                <w:szCs w:val="14"/>
                <w:b w:val="1"/>
                <w:bCs w:val="1"/>
                <w:color w:val="auto"/>
              </w:rPr>
              <w:t>Gross</w:t>
            </w:r>
          </w:p>
        </w:tc>
        <w:tc>
          <w:tcPr>
            <w:tcW w:w="3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7"/>
              </w:rPr>
              <w:t>Net</w:t>
            </w:r>
          </w:p>
        </w:tc>
        <w:tc>
          <w:tcPr>
            <w:tcW w:w="1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gridSpan w:val="2"/>
          </w:tcPr>
          <w:p>
            <w:pPr>
              <w:jc w:val="center"/>
              <w:ind w:right="100"/>
              <w:spacing w:after="0" w:line="129" w:lineRule="exact"/>
              <w:rPr>
                <w:sz w:val="20"/>
                <w:szCs w:val="20"/>
                <w:color w:val="auto"/>
              </w:rPr>
            </w:pPr>
            <w:r>
              <w:rPr>
                <w:rFonts w:ascii="Arial" w:cs="Arial" w:eastAsia="Arial" w:hAnsi="Arial"/>
                <w:sz w:val="14"/>
                <w:szCs w:val="14"/>
                <w:b w:val="1"/>
                <w:bCs w:val="1"/>
                <w:color w:val="auto"/>
                <w:w w:val="78"/>
              </w:rPr>
              <w:t>Gross</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jc w:val="center"/>
              <w:ind w:right="17"/>
              <w:spacing w:after="0" w:line="129" w:lineRule="exact"/>
              <w:rPr>
                <w:sz w:val="20"/>
                <w:szCs w:val="20"/>
                <w:color w:val="auto"/>
              </w:rPr>
            </w:pPr>
            <w:r>
              <w:rPr>
                <w:rFonts w:ascii="Arial" w:cs="Arial" w:eastAsia="Arial" w:hAnsi="Arial"/>
                <w:sz w:val="14"/>
                <w:szCs w:val="14"/>
                <w:b w:val="1"/>
                <w:bCs w:val="1"/>
                <w:color w:val="auto"/>
                <w:w w:val="88"/>
              </w:rPr>
              <w:t>Net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4460" w:type="dxa"/>
            <w:vAlign w:val="bottom"/>
          </w:tcPr>
          <w:p>
            <w:pPr>
              <w:spacing w:after="0"/>
              <w:rPr>
                <w:sz w:val="12"/>
                <w:szCs w:val="12"/>
                <w:color w:val="auto"/>
              </w:rPr>
            </w:pPr>
          </w:p>
        </w:tc>
        <w:tc>
          <w:tcPr>
            <w:tcW w:w="10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Range of</w:t>
            </w:r>
          </w:p>
        </w:tc>
        <w:tc>
          <w:tcPr>
            <w:tcW w:w="6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rPr>
              <w:t>Carrying</w:t>
            </w:r>
          </w:p>
        </w:tc>
        <w:tc>
          <w:tcPr>
            <w:tcW w:w="300" w:type="dxa"/>
            <w:vAlign w:val="bottom"/>
          </w:tcPr>
          <w:p>
            <w:pPr>
              <w:spacing w:after="0"/>
              <w:rPr>
                <w:sz w:val="12"/>
                <w:szCs w:val="12"/>
                <w:color w:val="auto"/>
              </w:rPr>
            </w:pPr>
          </w:p>
        </w:tc>
        <w:tc>
          <w:tcPr>
            <w:tcW w:w="9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Accumulated</w:t>
            </w:r>
          </w:p>
        </w:tc>
        <w:tc>
          <w:tcPr>
            <w:tcW w:w="140" w:type="dxa"/>
            <w:vAlign w:val="bottom"/>
          </w:tcPr>
          <w:p>
            <w:pPr>
              <w:spacing w:after="0"/>
              <w:rPr>
                <w:sz w:val="12"/>
                <w:szCs w:val="12"/>
                <w:color w:val="auto"/>
              </w:rPr>
            </w:pPr>
          </w:p>
        </w:tc>
        <w:tc>
          <w:tcPr>
            <w:tcW w:w="820" w:type="dxa"/>
            <w:vAlign w:val="bottom"/>
            <w:gridSpan w:val="3"/>
          </w:tcPr>
          <w:p>
            <w:pPr>
              <w:jc w:val="center"/>
              <w:ind w:right="160"/>
              <w:spacing w:after="0" w:line="149" w:lineRule="exact"/>
              <w:rPr>
                <w:sz w:val="20"/>
                <w:szCs w:val="20"/>
                <w:color w:val="auto"/>
              </w:rPr>
            </w:pPr>
            <w:r>
              <w:rPr>
                <w:rFonts w:ascii="Arial" w:cs="Arial" w:eastAsia="Arial" w:hAnsi="Arial"/>
                <w:sz w:val="14"/>
                <w:szCs w:val="14"/>
                <w:b w:val="1"/>
                <w:bCs w:val="1"/>
                <w:color w:val="auto"/>
                <w:w w:val="93"/>
              </w:rPr>
              <w:t>Carrying</w:t>
            </w:r>
          </w:p>
        </w:tc>
        <w:tc>
          <w:tcPr>
            <w:tcW w:w="140" w:type="dxa"/>
            <w:vAlign w:val="bottom"/>
          </w:tcPr>
          <w:p>
            <w:pPr>
              <w:spacing w:after="0"/>
              <w:rPr>
                <w:sz w:val="12"/>
                <w:szCs w:val="12"/>
                <w:color w:val="auto"/>
              </w:rPr>
            </w:pPr>
          </w:p>
        </w:tc>
        <w:tc>
          <w:tcPr>
            <w:tcW w:w="7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0"/>
              </w:rPr>
              <w:t>Carrying</w:t>
            </w:r>
          </w:p>
        </w:tc>
        <w:tc>
          <w:tcPr>
            <w:tcW w:w="200" w:type="dxa"/>
            <w:vAlign w:val="bottom"/>
          </w:tcPr>
          <w:p>
            <w:pPr>
              <w:spacing w:after="0"/>
              <w:rPr>
                <w:sz w:val="12"/>
                <w:szCs w:val="12"/>
                <w:color w:val="auto"/>
              </w:rPr>
            </w:pPr>
          </w:p>
        </w:tc>
        <w:tc>
          <w:tcPr>
            <w:tcW w:w="11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Accumulated</w:t>
            </w:r>
          </w:p>
        </w:tc>
        <w:tc>
          <w:tcPr>
            <w:tcW w:w="76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61"/>
        </w:trPr>
        <w:tc>
          <w:tcPr>
            <w:tcW w:w="4460" w:type="dxa"/>
            <w:vAlign w:val="bottom"/>
          </w:tcPr>
          <w:p>
            <w:pPr>
              <w:spacing w:after="0"/>
              <w:rPr>
                <w:sz w:val="14"/>
                <w:szCs w:val="14"/>
                <w:color w:val="auto"/>
              </w:rPr>
            </w:pPr>
          </w:p>
        </w:tc>
        <w:tc>
          <w:tcPr>
            <w:tcW w:w="10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Useful Lives</w:t>
            </w:r>
          </w:p>
        </w:tc>
        <w:tc>
          <w:tcPr>
            <w:tcW w:w="680" w:type="dxa"/>
            <w:vAlign w:val="bottom"/>
          </w:tcPr>
          <w:p>
            <w:pPr>
              <w:jc w:val="right"/>
              <w:spacing w:after="0"/>
              <w:rPr>
                <w:sz w:val="20"/>
                <w:szCs w:val="20"/>
                <w:color w:val="auto"/>
              </w:rPr>
            </w:pPr>
            <w:r>
              <w:rPr>
                <w:rFonts w:ascii="Arial" w:cs="Arial" w:eastAsia="Arial" w:hAnsi="Arial"/>
                <w:sz w:val="14"/>
                <w:szCs w:val="14"/>
                <w:b w:val="1"/>
                <w:bCs w:val="1"/>
                <w:color w:val="auto"/>
                <w:w w:val="95"/>
              </w:rPr>
              <w:t>Amounts</w:t>
            </w:r>
          </w:p>
        </w:tc>
        <w:tc>
          <w:tcPr>
            <w:tcW w:w="300" w:type="dxa"/>
            <w:vAlign w:val="bottom"/>
          </w:tcPr>
          <w:p>
            <w:pPr>
              <w:spacing w:after="0"/>
              <w:rPr>
                <w:sz w:val="14"/>
                <w:szCs w:val="14"/>
                <w:color w:val="auto"/>
              </w:rPr>
            </w:pPr>
          </w:p>
        </w:tc>
        <w:tc>
          <w:tcPr>
            <w:tcW w:w="960" w:type="dxa"/>
            <w:vAlign w:val="bottom"/>
            <w:gridSpan w:val="3"/>
          </w:tcPr>
          <w:p>
            <w:pPr>
              <w:spacing w:after="0"/>
              <w:rPr>
                <w:sz w:val="20"/>
                <w:szCs w:val="20"/>
                <w:color w:val="auto"/>
              </w:rPr>
            </w:pPr>
            <w:r>
              <w:rPr>
                <w:rFonts w:ascii="Arial" w:cs="Arial" w:eastAsia="Arial" w:hAnsi="Arial"/>
                <w:sz w:val="14"/>
                <w:szCs w:val="14"/>
                <w:b w:val="1"/>
                <w:bCs w:val="1"/>
                <w:color w:val="auto"/>
              </w:rPr>
              <w:t>Amortization</w:t>
            </w: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6"/>
              </w:rPr>
              <w:t>Amount</w:t>
            </w:r>
          </w:p>
        </w:tc>
        <w:tc>
          <w:tcPr>
            <w:tcW w:w="140" w:type="dxa"/>
            <w:vAlign w:val="bottom"/>
          </w:tcPr>
          <w:p>
            <w:pPr>
              <w:spacing w:after="0"/>
              <w:rPr>
                <w:sz w:val="14"/>
                <w:szCs w:val="14"/>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Amounts</w:t>
            </w:r>
          </w:p>
        </w:tc>
        <w:tc>
          <w:tcPr>
            <w:tcW w:w="200" w:type="dxa"/>
            <w:vAlign w:val="bottom"/>
          </w:tcPr>
          <w:p>
            <w:pPr>
              <w:spacing w:after="0"/>
              <w:rPr>
                <w:sz w:val="14"/>
                <w:szCs w:val="14"/>
                <w:color w:val="auto"/>
              </w:rPr>
            </w:pPr>
          </w:p>
        </w:tc>
        <w:tc>
          <w:tcPr>
            <w:tcW w:w="1100" w:type="dxa"/>
            <w:vAlign w:val="bottom"/>
            <w:gridSpan w:val="3"/>
          </w:tcPr>
          <w:p>
            <w:pPr>
              <w:spacing w:after="0"/>
              <w:rPr>
                <w:sz w:val="20"/>
                <w:szCs w:val="20"/>
                <w:color w:val="auto"/>
              </w:rPr>
            </w:pPr>
            <w:r>
              <w:rPr>
                <w:rFonts w:ascii="Arial" w:cs="Arial" w:eastAsia="Arial" w:hAnsi="Arial"/>
                <w:sz w:val="14"/>
                <w:szCs w:val="14"/>
                <w:b w:val="1"/>
                <w:bCs w:val="1"/>
                <w:color w:val="auto"/>
              </w:rPr>
              <w:t>Amortization</w:t>
            </w:r>
          </w:p>
        </w:tc>
        <w:tc>
          <w:tcPr>
            <w:tcW w:w="80" w:type="dxa"/>
            <w:vAlign w:val="bottom"/>
          </w:tcPr>
          <w:p>
            <w:pPr>
              <w:spacing w:after="0"/>
              <w:rPr>
                <w:sz w:val="14"/>
                <w:szCs w:val="14"/>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6"/>
              </w:rPr>
              <w:t>Amount</w:t>
            </w:r>
          </w:p>
        </w:tc>
        <w:tc>
          <w:tcPr>
            <w:tcW w:w="0" w:type="dxa"/>
            <w:vAlign w:val="bottom"/>
          </w:tcPr>
          <w:p>
            <w:pPr>
              <w:spacing w:after="0"/>
              <w:rPr>
                <w:sz w:val="1"/>
                <w:szCs w:val="1"/>
                <w:color w:val="auto"/>
              </w:rPr>
            </w:pPr>
          </w:p>
        </w:tc>
      </w:tr>
      <w:tr>
        <w:trPr>
          <w:trHeight w:val="210"/>
        </w:trPr>
        <w:tc>
          <w:tcPr>
            <w:tcW w:w="44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Purchased technology</w:t>
            </w:r>
          </w:p>
        </w:tc>
        <w:tc>
          <w:tcPr>
            <w:tcW w:w="8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7"/>
              </w:rPr>
              <w:t>2.5 - 7 years</w:t>
            </w:r>
          </w:p>
        </w:tc>
        <w:tc>
          <w:tcPr>
            <w:tcW w:w="20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$103,490</w:t>
            </w:r>
          </w:p>
        </w:tc>
        <w:tc>
          <w:tcPr>
            <w:tcW w:w="3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(55,395)</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48,095</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$103,490</w:t>
            </w: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(50,906)</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52,584</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spacing w:after="0"/>
              <w:rPr>
                <w:sz w:val="20"/>
                <w:szCs w:val="20"/>
                <w:color w:val="auto"/>
              </w:rPr>
            </w:pPr>
            <w:r>
              <w:rPr>
                <w:rFonts w:ascii="Arial" w:cs="Arial" w:eastAsia="Arial" w:hAnsi="Arial"/>
                <w:sz w:val="18"/>
                <w:szCs w:val="18"/>
                <w:color w:val="auto"/>
              </w:rPr>
              <w:t>Core technology</w:t>
            </w:r>
          </w:p>
        </w:tc>
        <w:tc>
          <w:tcPr>
            <w:tcW w:w="1080" w:type="dxa"/>
            <w:vAlign w:val="bottom"/>
            <w:gridSpan w:val="2"/>
          </w:tcPr>
          <w:p>
            <w:pPr>
              <w:jc w:val="center"/>
              <w:ind w:right="180"/>
              <w:spacing w:after="0"/>
              <w:rPr>
                <w:sz w:val="20"/>
                <w:szCs w:val="20"/>
                <w:color w:val="auto"/>
              </w:rPr>
            </w:pPr>
            <w:r>
              <w:rPr>
                <w:rFonts w:ascii="Arial" w:cs="Arial" w:eastAsia="Arial" w:hAnsi="Arial"/>
                <w:sz w:val="18"/>
                <w:szCs w:val="18"/>
                <w:color w:val="auto"/>
                <w:w w:val="86"/>
              </w:rPr>
              <w:t>6 - 8 years</w:t>
            </w:r>
          </w:p>
        </w:tc>
        <w:tc>
          <w:tcPr>
            <w:tcW w:w="680" w:type="dxa"/>
            <w:vAlign w:val="bottom"/>
          </w:tcPr>
          <w:p>
            <w:pPr>
              <w:jc w:val="right"/>
              <w:spacing w:after="0"/>
              <w:rPr>
                <w:sz w:val="20"/>
                <w:szCs w:val="20"/>
                <w:color w:val="auto"/>
              </w:rPr>
            </w:pPr>
            <w:r>
              <w:rPr>
                <w:rFonts w:ascii="Arial" w:cs="Arial" w:eastAsia="Arial" w:hAnsi="Arial"/>
                <w:sz w:val="18"/>
                <w:szCs w:val="18"/>
                <w:color w:val="auto"/>
              </w:rPr>
              <w:t>178,000</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w w:val="90"/>
              </w:rPr>
              <w:t>(148,293)</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29,707</w:t>
            </w:r>
          </w:p>
        </w:tc>
        <w:tc>
          <w:tcPr>
            <w:tcW w:w="920" w:type="dxa"/>
            <w:vAlign w:val="bottom"/>
            <w:gridSpan w:val="3"/>
          </w:tcPr>
          <w:p>
            <w:pPr>
              <w:jc w:val="right"/>
              <w:ind w:right="100"/>
              <w:spacing w:after="0"/>
              <w:rPr>
                <w:sz w:val="20"/>
                <w:szCs w:val="20"/>
                <w:color w:val="auto"/>
              </w:rPr>
            </w:pPr>
            <w:r>
              <w:rPr>
                <w:rFonts w:ascii="Arial" w:cs="Arial" w:eastAsia="Arial" w:hAnsi="Arial"/>
                <w:sz w:val="18"/>
                <w:szCs w:val="18"/>
                <w:color w:val="auto"/>
              </w:rPr>
              <w:t>178,000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260"/>
              <w:spacing w:after="0"/>
              <w:rPr>
                <w:sz w:val="20"/>
                <w:szCs w:val="20"/>
                <w:color w:val="auto"/>
              </w:rPr>
            </w:pPr>
            <w:r>
              <w:rPr>
                <w:rFonts w:ascii="Arial" w:cs="Arial" w:eastAsia="Arial" w:hAnsi="Arial"/>
                <w:sz w:val="18"/>
                <w:szCs w:val="18"/>
                <w:color w:val="auto"/>
                <w:w w:val="90"/>
              </w:rPr>
              <w:t>(142,932)</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35,068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108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84"/>
              </w:rPr>
              <w:t>5 years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(307)</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1,193</w:t>
            </w:r>
          </w:p>
        </w:tc>
        <w:tc>
          <w:tcPr>
            <w:tcW w:w="9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1,500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(232)</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spacing w:after="0"/>
              <w:rPr>
                <w:sz w:val="20"/>
                <w:szCs w:val="20"/>
                <w:color w:val="auto"/>
              </w:rPr>
            </w:pPr>
            <w:r>
              <w:rPr>
                <w:rFonts w:ascii="Arial" w:cs="Arial" w:eastAsia="Arial" w:hAnsi="Arial"/>
                <w:sz w:val="18"/>
                <w:szCs w:val="18"/>
                <w:color w:val="auto"/>
              </w:rPr>
              <w:t>Customer contracts</w:t>
            </w:r>
          </w:p>
        </w:tc>
        <w:tc>
          <w:tcPr>
            <w:tcW w:w="1080" w:type="dxa"/>
            <w:vAlign w:val="bottom"/>
            <w:gridSpan w:val="2"/>
          </w:tcPr>
          <w:p>
            <w:pPr>
              <w:jc w:val="center"/>
              <w:ind w:right="180"/>
              <w:spacing w:after="0"/>
              <w:rPr>
                <w:sz w:val="20"/>
                <w:szCs w:val="20"/>
                <w:color w:val="auto"/>
              </w:rPr>
            </w:pPr>
            <w:r>
              <w:rPr>
                <w:rFonts w:ascii="Arial" w:cs="Arial" w:eastAsia="Arial" w:hAnsi="Arial"/>
                <w:sz w:val="18"/>
                <w:szCs w:val="18"/>
                <w:color w:val="auto"/>
                <w:w w:val="86"/>
              </w:rPr>
              <w:t>5 - 7 years</w:t>
            </w:r>
          </w:p>
        </w:tc>
        <w:tc>
          <w:tcPr>
            <w:tcW w:w="680" w:type="dxa"/>
            <w:vAlign w:val="bottom"/>
          </w:tcPr>
          <w:p>
            <w:pPr>
              <w:jc w:val="right"/>
              <w:spacing w:after="0"/>
              <w:rPr>
                <w:sz w:val="20"/>
                <w:szCs w:val="20"/>
                <w:color w:val="auto"/>
              </w:rPr>
            </w:pPr>
            <w:r>
              <w:rPr>
                <w:rFonts w:ascii="Arial" w:cs="Arial" w:eastAsia="Arial" w:hAnsi="Arial"/>
                <w:sz w:val="18"/>
                <w:szCs w:val="18"/>
                <w:color w:val="auto"/>
              </w:rPr>
              <w:t>89,900</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(51,445)</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38,455</w:t>
            </w:r>
          </w:p>
        </w:tc>
        <w:tc>
          <w:tcPr>
            <w:tcW w:w="920" w:type="dxa"/>
            <w:vAlign w:val="bottom"/>
            <w:gridSpan w:val="3"/>
          </w:tcPr>
          <w:p>
            <w:pPr>
              <w:jc w:val="right"/>
              <w:ind w:right="100"/>
              <w:spacing w:after="0"/>
              <w:rPr>
                <w:sz w:val="20"/>
                <w:szCs w:val="20"/>
                <w:color w:val="auto"/>
              </w:rPr>
            </w:pPr>
            <w:r>
              <w:rPr>
                <w:rFonts w:ascii="Arial" w:cs="Arial" w:eastAsia="Arial" w:hAnsi="Arial"/>
                <w:sz w:val="18"/>
                <w:szCs w:val="18"/>
                <w:color w:val="auto"/>
              </w:rPr>
              <w:t>89,900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260"/>
              <w:spacing w:after="0"/>
              <w:rPr>
                <w:sz w:val="20"/>
                <w:szCs w:val="20"/>
                <w:color w:val="auto"/>
              </w:rPr>
            </w:pPr>
            <w:r>
              <w:rPr>
                <w:rFonts w:ascii="Arial" w:cs="Arial" w:eastAsia="Arial" w:hAnsi="Arial"/>
                <w:sz w:val="18"/>
                <w:szCs w:val="18"/>
                <w:color w:val="auto"/>
              </w:rPr>
              <w:t>(47,856)</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42,044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In-process research and development</w:t>
            </w:r>
          </w:p>
        </w:tc>
        <w:tc>
          <w:tcPr>
            <w:tcW w:w="88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9,700</w:t>
            </w:r>
          </w:p>
        </w:tc>
        <w:tc>
          <w:tcPr>
            <w:tcW w:w="9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10,541</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10,541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60" w:type="dxa"/>
            <w:vAlign w:val="bottom"/>
            <w:vMerge w:val="restart"/>
          </w:tcPr>
          <w:p>
            <w:pPr>
              <w:ind w:left="440"/>
              <w:spacing w:after="0"/>
              <w:rPr>
                <w:sz w:val="20"/>
                <w:szCs w:val="20"/>
                <w:color w:val="auto"/>
              </w:rPr>
            </w:pPr>
            <w:r>
              <w:rPr>
                <w:rFonts w:ascii="Arial" w:cs="Arial" w:eastAsia="Arial" w:hAnsi="Arial"/>
                <w:sz w:val="18"/>
                <w:szCs w:val="18"/>
                <w:color w:val="auto"/>
              </w:rPr>
              <w:t>Total intangible assets, net</w:t>
            </w:r>
          </w:p>
        </w:tc>
        <w:tc>
          <w:tcPr>
            <w:tcW w:w="8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460" w:type="dxa"/>
            <w:vAlign w:val="bottom"/>
            <w:vMerge w:val="continue"/>
          </w:tcPr>
          <w:p>
            <w:pPr>
              <w:spacing w:after="0"/>
              <w:rPr>
                <w:sz w:val="19"/>
                <w:szCs w:val="19"/>
                <w:color w:val="auto"/>
              </w:rPr>
            </w:pPr>
          </w:p>
        </w:tc>
        <w:tc>
          <w:tcPr>
            <w:tcW w:w="8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382,590</w:t>
            </w: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w w:val="90"/>
              </w:rPr>
              <w:t>(255,440)</w:t>
            </w: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w w:val="86"/>
              </w:rPr>
              <w:t>127,150</w:t>
            </w:r>
          </w:p>
        </w:tc>
        <w:tc>
          <w:tcPr>
            <w:tcW w:w="920" w:type="dxa"/>
            <w:vAlign w:val="bottom"/>
            <w:gridSpan w:val="3"/>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383,431</w:t>
            </w:r>
          </w:p>
        </w:tc>
        <w:tc>
          <w:tcPr>
            <w:tcW w:w="320" w:type="dxa"/>
            <w:vAlign w:val="bottom"/>
            <w:gridSpan w:val="2"/>
          </w:tcPr>
          <w:p>
            <w:pPr>
              <w:ind w:left="200"/>
              <w:spacing w:after="0"/>
              <w:rPr>
                <w:sz w:val="20"/>
                <w:szCs w:val="20"/>
                <w:color w:val="auto"/>
              </w:rPr>
            </w:pPr>
            <w:r>
              <w:rPr>
                <w:rFonts w:ascii="Arial" w:cs="Arial" w:eastAsia="Arial" w:hAnsi="Arial"/>
                <w:sz w:val="18"/>
                <w:szCs w:val="18"/>
                <w:color w:val="auto"/>
                <w:w w:val="99"/>
              </w:rPr>
              <w:t>$</w:t>
            </w:r>
          </w:p>
        </w:tc>
        <w:tc>
          <w:tcPr>
            <w:tcW w:w="980" w:type="dxa"/>
            <w:vAlign w:val="bottom"/>
            <w:gridSpan w:val="2"/>
          </w:tcPr>
          <w:p>
            <w:pPr>
              <w:jc w:val="right"/>
              <w:ind w:right="260"/>
              <w:spacing w:after="0"/>
              <w:rPr>
                <w:sz w:val="20"/>
                <w:szCs w:val="20"/>
                <w:color w:val="auto"/>
              </w:rPr>
            </w:pPr>
            <w:r>
              <w:rPr>
                <w:rFonts w:ascii="Arial" w:cs="Arial" w:eastAsia="Arial" w:hAnsi="Arial"/>
                <w:sz w:val="18"/>
                <w:szCs w:val="18"/>
                <w:color w:val="auto"/>
                <w:w w:val="90"/>
              </w:rPr>
              <w:t>(241,926)</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141,505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4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220" w:right="220" w:hanging="212"/>
        <w:spacing w:after="0" w:line="259" w:lineRule="auto"/>
        <w:tabs>
          <w:tab w:leader="none" w:pos="220" w:val="left"/>
        </w:tabs>
        <w:numPr>
          <w:ilvl w:val="0"/>
          <w:numId w:val="3"/>
        </w:numPr>
        <w:rPr>
          <w:rFonts w:ascii="Arial" w:cs="Arial" w:eastAsia="Arial" w:hAnsi="Arial"/>
          <w:sz w:val="18"/>
          <w:szCs w:val="18"/>
          <w:color w:val="auto"/>
        </w:rPr>
      </w:pPr>
      <w:r>
        <w:rPr>
          <w:rFonts w:ascii="Arial" w:cs="Arial" w:eastAsia="Arial" w:hAnsi="Arial"/>
          <w:sz w:val="18"/>
          <w:szCs w:val="18"/>
          <w:color w:val="auto"/>
        </w:rPr>
        <w:t>Upon completion of the project, the related in-process research and development (“IPR&amp;D”) assets will be amortized over its estimated useful life. If any of the projects are abandoned or the forecast of the project indicates that the fair value is less than the carrying amount, the Company will be required to write down the related IPR&amp;D asset.</w:t>
      </w:r>
    </w:p>
    <w:p>
      <w:pPr>
        <w:spacing w:after="0" w:line="14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Based on the identified intangible assets recorded at April 28, 2012, the future amortization expense excluding IPR&amp;D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38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26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720" w:type="dxa"/>
            <w:vAlign w:val="bottom"/>
          </w:tcPr>
          <w:p>
            <w:pPr>
              <w:spacing w:after="0" w:line="20" w:lineRule="exact"/>
              <w:rPr>
                <w:sz w:val="1"/>
                <w:szCs w:val="1"/>
                <w:color w:val="auto"/>
              </w:rPr>
            </w:pPr>
          </w:p>
        </w:tc>
        <w:tc>
          <w:tcPr>
            <w:tcW w:w="26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Remainder of fiscal 2013</w:t>
            </w:r>
          </w:p>
        </w:tc>
        <w:tc>
          <w:tcPr>
            <w:tcW w:w="2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37,413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2014</w:t>
            </w:r>
          </w:p>
        </w:tc>
        <w:tc>
          <w:tcPr>
            <w:tcW w:w="3720" w:type="dxa"/>
            <w:vAlign w:val="bottom"/>
          </w:tcPr>
          <w:p>
            <w:pPr>
              <w:spacing w:after="0"/>
              <w:rPr>
                <w:sz w:val="18"/>
                <w:szCs w:val="18"/>
                <w:color w:val="auto"/>
              </w:rPr>
            </w:pPr>
          </w:p>
        </w:tc>
        <w:tc>
          <w:tcPr>
            <w:tcW w:w="2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36,254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2015</w:t>
            </w:r>
          </w:p>
        </w:tc>
        <w:tc>
          <w:tcPr>
            <w:tcW w:w="3720" w:type="dxa"/>
            <w:vAlign w:val="bottom"/>
            <w:shd w:val="clear" w:color="auto" w:fill="CCEEFF"/>
          </w:tcPr>
          <w:p>
            <w:pPr>
              <w:spacing w:after="0"/>
              <w:rPr>
                <w:sz w:val="18"/>
                <w:szCs w:val="18"/>
                <w:color w:val="auto"/>
              </w:rPr>
            </w:pPr>
          </w:p>
        </w:tc>
        <w:tc>
          <w:tcPr>
            <w:tcW w:w="2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2016</w:t>
            </w:r>
          </w:p>
        </w:tc>
        <w:tc>
          <w:tcPr>
            <w:tcW w:w="3720" w:type="dxa"/>
            <w:vAlign w:val="bottom"/>
          </w:tcPr>
          <w:p>
            <w:pPr>
              <w:spacing w:after="0"/>
              <w:rPr>
                <w:sz w:val="18"/>
                <w:szCs w:val="18"/>
                <w:color w:val="auto"/>
              </w:rPr>
            </w:pPr>
          </w:p>
        </w:tc>
        <w:tc>
          <w:tcPr>
            <w:tcW w:w="2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12,088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2017</w:t>
            </w:r>
          </w:p>
        </w:tc>
        <w:tc>
          <w:tcPr>
            <w:tcW w:w="3720" w:type="dxa"/>
            <w:vAlign w:val="bottom"/>
            <w:shd w:val="clear" w:color="auto" w:fill="CCEEFF"/>
          </w:tcPr>
          <w:p>
            <w:pPr>
              <w:spacing w:after="0"/>
              <w:rPr>
                <w:sz w:val="18"/>
                <w:szCs w:val="18"/>
                <w:color w:val="auto"/>
              </w:rPr>
            </w:pPr>
          </w:p>
        </w:tc>
        <w:tc>
          <w:tcPr>
            <w:tcW w:w="2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36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26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5,947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720" w:type="dxa"/>
            <w:vAlign w:val="bottom"/>
            <w:shd w:val="clear" w:color="auto" w:fill="CCEEFF"/>
          </w:tcPr>
          <w:p>
            <w:pPr>
              <w:spacing w:after="0"/>
              <w:rPr>
                <w:sz w:val="18"/>
                <w:szCs w:val="18"/>
                <w:color w:val="auto"/>
              </w:rPr>
            </w:pPr>
          </w:p>
        </w:tc>
        <w:tc>
          <w:tcPr>
            <w:tcW w:w="27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117,450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720" w:type="dxa"/>
            <w:vAlign w:val="bottom"/>
          </w:tcPr>
          <w:p>
            <w:pPr>
              <w:spacing w:after="0" w:line="20" w:lineRule="exact"/>
              <w:rPr>
                <w:sz w:val="1"/>
                <w:szCs w:val="1"/>
                <w:color w:val="auto"/>
              </w:rPr>
            </w:pPr>
          </w:p>
        </w:tc>
        <w:tc>
          <w:tcPr>
            <w:tcW w:w="26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Income Tax</w:t>
      </w:r>
    </w:p>
    <w:p>
      <w:pPr>
        <w:spacing w:after="0" w:line="96"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income tax provision for the three months ended April 28, 2012 included the current income tax liability of $3.2 million which was primarily offset by a net reduction in unrecognized tax benefits of $2.6 million primarily arising from the expiration of statute of limitations in non-U.S. jurisdictions less an increase in current unrecognized tax benefit estimates. The income tax provision for the three months ended April 30, 2011 was impacted by the current income tax liability of $3.4 million, partially offset by a net reduction in unrecognized tax benefits of $2.4 million primarily due to the expiration of the statute of limitations in non-U.S. jurisdictions.</w:t>
      </w:r>
    </w:p>
    <w:p>
      <w:pPr>
        <w:spacing w:after="0" w:line="143"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During the next 12 months, it is reasonably possible that the amount of unrecognized tax benefits could decrease due to potential settlement with tax authorities and the expiration of applicable statutes of limitations. However, the amount cannot be reasonably estimated as the Company will have negotiations with various tax authorities throughout the year.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payment of all costs and expenses incurred through the date of cancellation. As of April 28, 2012, these foundries had incurred approximately $264.2 million of manufacturing costs and expenses relating to the Company’s outstanding purchase orders.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 xml:space="preserve">Section 16(b) Litigation. </w:t>
      </w:r>
      <w:r>
        <w:rPr>
          <w:rFonts w:ascii="Arial" w:cs="Arial" w:eastAsia="Arial" w:hAnsi="Arial"/>
          <w:sz w:val="16"/>
          <w:szCs w:val="16"/>
          <w:color w:val="auto"/>
        </w:rPr>
        <w:t>On October 9, 2007, a purported shareholder of the Company filed a complaint for violation of Section 16(b) of the Exchange Act,</w:t>
      </w:r>
      <w:r>
        <w:rPr>
          <w:rFonts w:ascii="Arial" w:cs="Arial" w:eastAsia="Arial" w:hAnsi="Arial"/>
          <w:sz w:val="16"/>
          <w:szCs w:val="16"/>
          <w:i w:val="1"/>
          <w:iCs w:val="1"/>
          <w:color w:val="auto"/>
        </w:rPr>
        <w:t xml:space="preserve"> </w:t>
      </w:r>
      <w:r>
        <w:rPr>
          <w:rFonts w:ascii="Arial" w:cs="Arial" w:eastAsia="Arial" w:hAnsi="Arial"/>
          <w:sz w:val="16"/>
          <w:szCs w:val="16"/>
          <w:color w:val="auto"/>
        </w:rPr>
        <w:t>which prohibits short swing trading, against the Company’s IPO underwriters. The complaint Vanessa Simmonds v. The Goldman Sachs Group, et al., Case</w:t>
      </w:r>
    </w:p>
    <w:p>
      <w:pPr>
        <w:ind w:right="20"/>
        <w:spacing w:after="0" w:line="285" w:lineRule="auto"/>
        <w:rPr>
          <w:sz w:val="20"/>
          <w:szCs w:val="20"/>
          <w:color w:val="auto"/>
        </w:rPr>
      </w:pPr>
      <w:r>
        <w:rPr>
          <w:rFonts w:ascii="Arial" w:cs="Arial" w:eastAsia="Arial" w:hAnsi="Arial"/>
          <w:sz w:val="16"/>
          <w:szCs w:val="16"/>
          <w:color w:val="auto"/>
        </w:rPr>
        <w:t>No. C07-1632 filed in District Court for the Western District of Washington, seeks the recovery of short swing profits. The Company is named as a nominal defendant only, and no recovery is sought from the Company. In March 2009, the district court granted a motion to dismiss filed by the underwriter defendants, which caused the case against the Company to be dismissed. The plaintiff appealed to the U.S. Court of Appeals for the Ninth Circuit, and in December 2010, the Ninth Circuit reversed the dismissal and remanded to the district court. On January 25, 2011, the Ninth Circuit entered an order staying the mandate pending the filing of petitions for writ of certiorari in the United States Supreme Court by the underwriter defendants. No discovery has taken place. Both sides have filed petitions for writ of certiorari to the United States Supreme Court. The Supreme Court denied plaintiff’s writ, but granted the underwriters’ writ, which argued that the case should have been dismissed on statute of limitations grounds. On March 26, 2012, the U.S. Supreme Court issued its opinion in the case. The Court vacated and remanded the Ninth Circuit’s decision and held that the two-year statute of limitations for actions under Section 16(b) is not automatically subject to equitable tolling pending the filing of the public disclosure statement required by Section 16(a) of the Act. On May 15, 2012, the Ninth Circuit entered an order remanding the cases of the non-moving issuer defendants (including the Company) to the District Court for proceedings consistent with the opinion of the U.S. Supreme Court and dismissing with prejudice the cases of the moving issuer defendants. No further activity has taken place in the District Court. The Company is currently unable to predict the outcome of this lawsuit and therefore cannot determine the likelihood of loss nor estimate a range of possible loss.</w:t>
      </w:r>
    </w:p>
    <w:p>
      <w:pPr>
        <w:spacing w:after="0" w:line="127"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i w:val="1"/>
          <w:iCs w:val="1"/>
          <w:color w:val="auto"/>
        </w:rPr>
        <w:t>Jasmine Networks Litigation</w:t>
      </w:r>
      <w:r>
        <w:rPr>
          <w:rFonts w:ascii="Arial" w:cs="Arial" w:eastAsia="Arial" w:hAnsi="Arial"/>
          <w:sz w:val="16"/>
          <w:szCs w:val="16"/>
          <w:color w:val="auto"/>
        </w:rPr>
        <w:t>. 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Marvell Semiconductor, Inc. (“MSI”) and three of its officers for allegedly improperly obtaining and using information and technologies during the course of the negotiations with its personnel regarding the potential acquisition of certain Jasmine assets by MSI.</w:t>
      </w:r>
    </w:p>
    <w:p>
      <w:pPr>
        <w:spacing w:after="0" w:line="107"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The case proceeded to trial on September 20, 2010. On November 24, 2010, a Santa Clara County jury returned a verdict in favor of MSI on all claims. On January 7, 2011, the court entered judgment in MSI’s favor. Pursuant to California Civil Procedure provisions, Jasmine filed motions for a new trial and for a judgment notwithstanding the verdict. These motions were heard by the court on February 25, 2011 and denied in written orders. Jasmine has appealed and MSI is contesting the appeal vigorously. The Company is currently unable to predict the outcome of this lawsuit and therefore cannot determine the likelihood of loss nor estimate a range of possible loss.</w:t>
      </w:r>
    </w:p>
    <w:p>
      <w:pPr>
        <w:spacing w:after="0" w:line="143" w:lineRule="exact"/>
        <w:rPr>
          <w:sz w:val="20"/>
          <w:szCs w:val="20"/>
          <w:color w:val="auto"/>
        </w:rPr>
      </w:pPr>
    </w:p>
    <w:p>
      <w:pPr>
        <w:spacing w:after="0" w:line="286" w:lineRule="auto"/>
        <w:rPr>
          <w:sz w:val="20"/>
          <w:szCs w:val="20"/>
          <w:color w:val="auto"/>
        </w:rPr>
      </w:pPr>
      <w:r>
        <w:rPr>
          <w:rFonts w:ascii="Arial" w:cs="Arial" w:eastAsia="Arial" w:hAnsi="Arial"/>
          <w:sz w:val="16"/>
          <w:szCs w:val="16"/>
          <w:i w:val="1"/>
          <w:iCs w:val="1"/>
          <w:color w:val="auto"/>
        </w:rPr>
        <w:t>Wage and Hour Class Action</w:t>
      </w:r>
      <w:r>
        <w:rPr>
          <w:rFonts w:ascii="Arial" w:cs="Arial" w:eastAsia="Arial" w:hAnsi="Arial"/>
          <w:sz w:val="16"/>
          <w:szCs w:val="16"/>
          <w:color w:val="auto"/>
        </w:rPr>
        <w:t>. On October 18, 2006, Dan Holton (“Holton”), a former employee of MSI, filed a civil complaint in Santa Clara County Superior</w:t>
      </w:r>
      <w:r>
        <w:rPr>
          <w:rFonts w:ascii="Arial" w:cs="Arial" w:eastAsia="Arial" w:hAnsi="Arial"/>
          <w:sz w:val="16"/>
          <w:szCs w:val="16"/>
          <w:i w:val="1"/>
          <w:iCs w:val="1"/>
          <w:color w:val="auto"/>
        </w:rPr>
        <w:t xml:space="preserve"> </w:t>
      </w:r>
      <w:r>
        <w:rPr>
          <w:rFonts w:ascii="Arial" w:cs="Arial" w:eastAsia="Arial" w:hAnsi="Arial"/>
          <w:sz w:val="16"/>
          <w:szCs w:val="16"/>
          <w:color w:val="auto"/>
        </w:rPr>
        <w:t>Court. Holton alleges that MSI misclassified him as an exempt employee. Holton claims that due to its misclassification MSI owes him unpaid wages for overtime, penalties for missed meal periods, and various other penalties under the California Labor Code, as well as interest. Holton also pursues a cause of action for unfair business practices under the California Business &amp; Profession Code. Holton brought his complaint as a class action. On July 8, 2009, the court granted certification of the following class: “All Individual Contributor Engineers who held the title of PCB Designer, Associate Engineer, Engineer, Staff Engineer and Senior Engineers, who at any time during the class period while holding these positions did not have a degree above a baccalaureate degree nor a degree above a baccalaureate degree in a field of science related to the work performed, and worked for MSI in California, at any time from October 19, 2002 through the present.” MSI disputed all plaintiff’s class claims. On November 23, 2011, the parties executed a settlement agreement and plaintiffs filed their motion for preliminary approval of the settlement. The settlement was approved by the Court on March 16, 2012, and will become effective after three additional settlement class members are notified and have an opportunity to object to the approval. The final settlement approval hearing is set for July 6, 2012. The settlement amount, which was recorded in the Company’s financial statements in fiscal 2012, was not material to the Company’s results of operations.</w:t>
      </w:r>
    </w:p>
    <w:p>
      <w:pPr>
        <w:spacing w:after="0" w:line="127"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i w:val="1"/>
          <w:iCs w:val="1"/>
          <w:color w:val="auto"/>
        </w:rPr>
        <w:t xml:space="preserve">Carnegie Mellon Litigation. </w:t>
      </w:r>
      <w:r>
        <w:rPr>
          <w:rFonts w:ascii="Arial" w:cs="Arial" w:eastAsia="Arial" w:hAnsi="Arial"/>
          <w:sz w:val="18"/>
          <w:szCs w:val="18"/>
          <w:color w:val="auto"/>
        </w:rPr>
        <w:t>On March 6, 2009, Carnegie Mellon University (“CMU”) filed a complaint in the United States District Court for the Western</w:t>
      </w:r>
      <w:r>
        <w:rPr>
          <w:rFonts w:ascii="Arial" w:cs="Arial" w:eastAsia="Arial" w:hAnsi="Arial"/>
          <w:sz w:val="18"/>
          <w:szCs w:val="18"/>
          <w:i w:val="1"/>
          <w:iCs w:val="1"/>
          <w:color w:val="auto"/>
        </w:rPr>
        <w:t xml:space="preserve"> </w:t>
      </w:r>
      <w:r>
        <w:rPr>
          <w:rFonts w:ascii="Arial" w:cs="Arial" w:eastAsia="Arial" w:hAnsi="Arial"/>
          <w:sz w:val="18"/>
          <w:szCs w:val="18"/>
          <w:color w:val="auto"/>
        </w:rPr>
        <w:t>District of Pennsylvania naming MSI and the Company as defendants and alleging patent infringement. CMU has asserted two patents (U.S. Patent Nos. 6,201,839 and 6,438,180) purportedly relating to read-channel integrated circuit devices and the HDD products incorporating such devices. The complaint seeks unspecified damages and an injunction. On June 1, 2009, MSI and the Company</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filed their answers and MSI filed counterclaims to the complaint seeking declaratory judgments of non-infringement and invalidity as to both of the asserted patents. The claim construction hearing was held on April 12 and 13, 2010, and a ruling was issued on October 1, 2010. On April 29, 2010, MSI and the Company filed their amended answers and counterclaims. MSI and the Company filed a motion for partial summary judgment of invalidity on December 22, 2010, which was denied on September 28, 2011. MSI and the Company filed a second motion for partial summary judgment of invalidity on November 2, 2011, which was denied on April 10, 2012. On April 20, 2012, MSI and the Company filed a motion for partial summary judgment of no infringement and no damages with respect to extraterritorial conduct, a summary judgment motion of no infringement and no damages with respect to licensed use and a summary judgment motion of non-infringement regarding Group II claims. On the same day, CMU filed a motion for partial summary judgment of no inequitable conduct. Trial is set for November 26, 2012. MSI and the Company believe that they do not infringe any valid and enforceable claims of the asserted CMU patents in suit and intend to litigate this action vigorously. The Company is currently unable to predict the outcome of this lawsuit and therefore cannot determine the likelihood of loss nor estimate a range of possible loss.</w:t>
      </w:r>
    </w:p>
    <w:p>
      <w:pPr>
        <w:spacing w:after="0" w:line="123"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i w:val="1"/>
          <w:iCs w:val="1"/>
          <w:color w:val="auto"/>
        </w:rPr>
        <w:t>USEI Litigation</w:t>
      </w:r>
      <w:r>
        <w:rPr>
          <w:rFonts w:ascii="Arial" w:cs="Arial" w:eastAsia="Arial" w:hAnsi="Arial"/>
          <w:sz w:val="18"/>
          <w:szCs w:val="18"/>
          <w:color w:val="auto"/>
        </w:rPr>
        <w:t>. On October 9, 2009, U.S. Ethernet Innovations, LLC (“USEI”) filed a complaint in the Eastern District of Texas, in which USEI has</w:t>
      </w:r>
      <w:r>
        <w:rPr>
          <w:rFonts w:ascii="Arial" w:cs="Arial" w:eastAsia="Arial" w:hAnsi="Arial"/>
          <w:sz w:val="18"/>
          <w:szCs w:val="18"/>
          <w:i w:val="1"/>
          <w:iCs w:val="1"/>
          <w:color w:val="auto"/>
        </w:rPr>
        <w:t xml:space="preserve"> </w:t>
      </w:r>
      <w:r>
        <w:rPr>
          <w:rFonts w:ascii="Arial" w:cs="Arial" w:eastAsia="Arial" w:hAnsi="Arial"/>
          <w:sz w:val="18"/>
          <w:szCs w:val="18"/>
          <w:color w:val="auto"/>
        </w:rPr>
        <w:t>accused a number of system manufacturers, including the Company’s customers, of patent infringement (the “USEI litigation”). Specifically, USEI has asserted that these customers infringe U.S. Patent Nos. 5,307,459, 5,434,872, 5,732,094 and 5,299,313 (collectively, the “USEI patents in suit”), which purportedly relate to Ethernet technologies. The complaint seeks unspecified damages and an injunction.</w:t>
      </w:r>
    </w:p>
    <w:p>
      <w:pPr>
        <w:spacing w:after="0" w:line="14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court issued an order granting the Defendants’ motion to transfer the action to the Northern District of California; the case was formally transferred on August 23, 2010. On September 14, 2011, USEI withdrew its allegations against MSI for the ‘459 patent. On October 21, 2011, the court conducted a claim construction hearing, and a ruling was issued on January 31, 2012. A supplemental claim construction hearing was held on May 3, 2012. The court has not yet set dates for trial. MSI believes that it does not infringe any valid and enforceable claim of the USEI patents in suit, and intends to litigate this action vigorously. The Company is currently unable to predict the outcome of this lawsuit and therefore cannot determine the likelihood of loss nor estimate a range of possible loss.</w:t>
      </w:r>
    </w:p>
    <w:p>
      <w:pPr>
        <w:spacing w:after="0" w:line="12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i w:val="1"/>
          <w:iCs w:val="1"/>
          <w:color w:val="auto"/>
        </w:rPr>
        <w:t xml:space="preserve">Lake Cherokee Patent Litigation. </w:t>
      </w:r>
      <w:r>
        <w:rPr>
          <w:rFonts w:ascii="Arial" w:cs="Arial" w:eastAsia="Arial" w:hAnsi="Arial"/>
          <w:sz w:val="16"/>
          <w:szCs w:val="16"/>
          <w:color w:val="auto"/>
        </w:rPr>
        <w:t>On June 30, 2010, Lake Cherokee Hard Drive Technologies, L.L.C. filed a complaint in the United States District Court</w:t>
      </w:r>
      <w:r>
        <w:rPr>
          <w:rFonts w:ascii="Arial" w:cs="Arial" w:eastAsia="Arial" w:hAnsi="Arial"/>
          <w:sz w:val="16"/>
          <w:szCs w:val="16"/>
          <w:i w:val="1"/>
          <w:iCs w:val="1"/>
          <w:color w:val="auto"/>
        </w:rPr>
        <w:t xml:space="preserve"> </w:t>
      </w:r>
      <w:r>
        <w:rPr>
          <w:rFonts w:ascii="Arial" w:cs="Arial" w:eastAsia="Arial" w:hAnsi="Arial"/>
          <w:sz w:val="16"/>
          <w:szCs w:val="16"/>
          <w:color w:val="auto"/>
        </w:rPr>
        <w:t>in the Eastern District of Texas. The complaint names MSI and seven other defendants, and alleges infringement of U.S. Patent Nos. 5,844,738 and 5,978,162 (collectively, the “Lake Cherokee patents in suit”). The Lake Cherokee patents in suit purportedly relate to read-channel integrated circuit devices, and allegedly, to certain unspecified HDD products incorporating such devices. The complaint seeks unspecified damages and a permanent injunction. MSI filed its answer and counterclaims to the complaint on September 13, 2010. Defendants filed a motion to transfer on April 1, 2011, which was denied on February 13, 2012. Lake Cherokee filed an amended complaint on April 21, 2011. MSI filed its answer and counterclaims to the amended complaint on May 9, 2011. A claim construction hearing was held on May 14, 2012, and trial is set for August 5, 2013. MSI believes that it does not infringe any valid and enforceable claim of the Lake Cherokee patents in suit, and intends to litigate this action vigorously. The Company is currently unable to predict the outcome of this lawsuit and therefore cannot determine the likelihood of loss nor estimate a range of possible loss.</w:t>
      </w:r>
    </w:p>
    <w:p>
      <w:pPr>
        <w:spacing w:after="0" w:line="120"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i w:val="1"/>
          <w:iCs w:val="1"/>
          <w:color w:val="auto"/>
        </w:rPr>
        <w:t xml:space="preserve">APT Patent Litigations. </w:t>
      </w:r>
      <w:r>
        <w:rPr>
          <w:rFonts w:ascii="Arial" w:cs="Arial" w:eastAsia="Arial" w:hAnsi="Arial"/>
          <w:sz w:val="16"/>
          <w:szCs w:val="16"/>
          <w:color w:val="auto"/>
        </w:rPr>
        <w:t>On January 18, 2011, Advanced Processor Technologies, LLC (“APT”), a subsidiary of Acacia Research Corp., filed a complaint</w:t>
      </w:r>
      <w:r>
        <w:rPr>
          <w:rFonts w:ascii="Arial" w:cs="Arial" w:eastAsia="Arial" w:hAnsi="Arial"/>
          <w:sz w:val="16"/>
          <w:szCs w:val="16"/>
          <w:i w:val="1"/>
          <w:iCs w:val="1"/>
          <w:color w:val="auto"/>
        </w:rPr>
        <w:t xml:space="preserve"> </w:t>
      </w:r>
      <w:r>
        <w:rPr>
          <w:rFonts w:ascii="Arial" w:cs="Arial" w:eastAsia="Arial" w:hAnsi="Arial"/>
          <w:sz w:val="16"/>
          <w:szCs w:val="16"/>
          <w:color w:val="auto"/>
        </w:rPr>
        <w:t>in the United States District Court in the Eastern District of Texas. The complaint names MSI and eight other defendants and alleges infringement of U.S. Patent Nos. 6,047,354 (“’354 patent”) and 5,796,978 (“’978 patent”). The asserted patents purportedly relate to microprocessor technologies. The complaint seeks unspecified damages and a permanent injunction. A first amended complaint was filed on January 26, 2011. The first amended complaint continues to assert the ‘359 patent against MSI, but appears to no longer assert the ‘978 patent against MSI. MSI filed its answer and counterclaims on April 15, 2011. A claim construction hearing is scheduled for January 29, 2013, and jury selection is set for July 1, 2013.</w:t>
      </w:r>
    </w:p>
    <w:p>
      <w:pPr>
        <w:spacing w:after="0" w:line="120" w:lineRule="exact"/>
        <w:rPr>
          <w:sz w:val="20"/>
          <w:szCs w:val="20"/>
          <w:color w:val="auto"/>
        </w:rPr>
      </w:pPr>
    </w:p>
    <w:p>
      <w:pPr>
        <w:jc w:val="both"/>
        <w:ind w:right="320" w:firstLine="456"/>
        <w:spacing w:after="0" w:line="259" w:lineRule="auto"/>
        <w:rPr>
          <w:sz w:val="20"/>
          <w:szCs w:val="20"/>
          <w:color w:val="auto"/>
        </w:rPr>
      </w:pPr>
      <w:r>
        <w:rPr>
          <w:rFonts w:ascii="Arial" w:cs="Arial" w:eastAsia="Arial" w:hAnsi="Arial"/>
          <w:sz w:val="18"/>
          <w:szCs w:val="18"/>
          <w:color w:val="auto"/>
        </w:rPr>
        <w:t>On March 23, 2012, APT filed a separate complaint in the United States District Court in the Eastern District of Texas. The complaint alleges that MSI infringes U.S. Patent Nos. 6,092,172 and 6,629,207. The asserted patents purportedly relate to microprocessor technologies. The complaint seeks unspecified damages and a permanent injunction.</w:t>
      </w:r>
    </w:p>
    <w:p>
      <w:pPr>
        <w:spacing w:after="0" w:line="140" w:lineRule="exact"/>
        <w:rPr>
          <w:sz w:val="20"/>
          <w:szCs w:val="20"/>
          <w:color w:val="auto"/>
        </w:rPr>
      </w:pPr>
    </w:p>
    <w:p>
      <w:pPr>
        <w:jc w:val="both"/>
        <w:ind w:right="320" w:firstLine="456"/>
        <w:spacing w:after="0" w:line="370" w:lineRule="auto"/>
        <w:rPr>
          <w:sz w:val="20"/>
          <w:szCs w:val="20"/>
          <w:color w:val="auto"/>
        </w:rPr>
      </w:pPr>
      <w:r>
        <w:rPr>
          <w:rFonts w:ascii="Arial" w:cs="Arial" w:eastAsia="Arial" w:hAnsi="Arial"/>
          <w:sz w:val="15"/>
          <w:szCs w:val="15"/>
          <w:color w:val="auto"/>
        </w:rPr>
        <w:t>MSI believes that it does not infringe any valid and enforceable claim of the APT patents in suit, and intends to litigate this action vigorously. The Company is currently unable to predict the outcome of this lawsuit and therefore cannot determine the likelihood of loss nor estimate a range of possible loss.</w:t>
      </w:r>
    </w:p>
    <w:p>
      <w:pPr>
        <w:spacing w:after="0" w:line="62"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i w:val="1"/>
          <w:iCs w:val="1"/>
          <w:color w:val="auto"/>
        </w:rPr>
        <w:t>MOSAID Litigation</w:t>
      </w:r>
      <w:r>
        <w:rPr>
          <w:rFonts w:ascii="Arial" w:cs="Arial" w:eastAsia="Arial" w:hAnsi="Arial"/>
          <w:sz w:val="18"/>
          <w:szCs w:val="18"/>
          <w:color w:val="auto"/>
        </w:rPr>
        <w:t>. On March 16, 2011, MOSAID Technologies Inc. filed suit in the United States District for the Eastern District of Texas against MSI</w:t>
      </w:r>
      <w:r>
        <w:rPr>
          <w:rFonts w:ascii="Arial" w:cs="Arial" w:eastAsia="Arial" w:hAnsi="Arial"/>
          <w:sz w:val="18"/>
          <w:szCs w:val="18"/>
          <w:i w:val="1"/>
          <w:iCs w:val="1"/>
          <w:color w:val="auto"/>
        </w:rPr>
        <w:t xml:space="preserve"> </w:t>
      </w:r>
      <w:r>
        <w:rPr>
          <w:rFonts w:ascii="Arial" w:cs="Arial" w:eastAsia="Arial" w:hAnsi="Arial"/>
          <w:sz w:val="18"/>
          <w:szCs w:val="18"/>
          <w:color w:val="auto"/>
        </w:rPr>
        <w:t>and 16 other companies. The complaint alleges that defendants’ products, which operate in compliance with the IEEE 802.11a, 802.11b, 802.11g, and 802.11n standards, infringe the six asserted patents (U.S. Patent Nos. 5,131,006; 5,151,920; 5,422,887; 5,706,428; 6,563,768; 6,992,972). MSI filed its answer and counterclaims on June 9, 2011. On March 28, 2012, MSI and other defendants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00"/>
          </w:cols>
          <w:pgMar w:left="240" w:top="459" w:right="2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00"/>
        <w:spacing w:after="0" w:line="306" w:lineRule="auto"/>
        <w:rPr>
          <w:sz w:val="20"/>
          <w:szCs w:val="20"/>
          <w:color w:val="auto"/>
        </w:rPr>
      </w:pPr>
      <w:r>
        <w:rPr>
          <w:rFonts w:ascii="Arial" w:cs="Arial" w:eastAsia="Arial" w:hAnsi="Arial"/>
          <w:sz w:val="16"/>
          <w:szCs w:val="16"/>
          <w:color w:val="auto"/>
        </w:rPr>
        <w:t>filed a motion to transfer. A claim construction hearing is scheduled for February 18, 2014, and jury selection is set for August 4, 2014. MSI believes that it does not infringe any valid and enforceable claim of the MOSAID patents in suit, and intends to litigate this action vigorously. The Company is currently unable to predict the outcome of this lawsuit and therefore cannot determine the likelihood of loss nor estimate a range of possible loss.</w:t>
      </w:r>
    </w:p>
    <w:p>
      <w:pPr>
        <w:spacing w:after="0" w:line="107"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i w:val="1"/>
          <w:iCs w:val="1"/>
          <w:color w:val="auto"/>
        </w:rPr>
        <w:t>Azure Networks Litigation</w:t>
      </w:r>
      <w:r>
        <w:rPr>
          <w:rFonts w:ascii="Arial" w:cs="Arial" w:eastAsia="Arial" w:hAnsi="Arial"/>
          <w:sz w:val="16"/>
          <w:szCs w:val="16"/>
          <w:color w:val="auto"/>
        </w:rPr>
        <w:t>. On March 22, 2011, Azure Networks LLC and Tri-County Excelsior Foundation filed suit in the Eastern District of Texas</w:t>
      </w:r>
      <w:r>
        <w:rPr>
          <w:rFonts w:ascii="Arial" w:cs="Arial" w:eastAsia="Arial" w:hAnsi="Arial"/>
          <w:sz w:val="16"/>
          <w:szCs w:val="16"/>
          <w:i w:val="1"/>
          <w:iCs w:val="1"/>
          <w:color w:val="auto"/>
        </w:rPr>
        <w:t xml:space="preserve"> </w:t>
      </w:r>
      <w:r>
        <w:rPr>
          <w:rFonts w:ascii="Arial" w:cs="Arial" w:eastAsia="Arial" w:hAnsi="Arial"/>
          <w:sz w:val="16"/>
          <w:szCs w:val="16"/>
          <w:color w:val="auto"/>
        </w:rPr>
        <w:t>against MSI and eight other companies. The suit alleges that MSI’s Bluetooth products infringe its U.S. Patent No. 7,756,129. MSI filed its answer and counterclaims on July 20, 2011. On December 9, 2011, defendants filed a motion to dismiss or transfer venue to S.D.N.Y. or, alternatively, to N.D. Cal. A claim construction hearing is scheduled for November 29, 2012, and trial is set for November 12, 2013. MSI believes that it does not infringe any valid and enforceable claim of the Azure Networks patents in suit, and intends to litigate this action vigorously. The Company is currently unable to predict the outcome of this lawsuit and therefore cannot determine the likelihood of loss nor estimate a range of possible loss.</w:t>
      </w:r>
    </w:p>
    <w:p>
      <w:pPr>
        <w:spacing w:after="0" w:line="120"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i w:val="1"/>
          <w:iCs w:val="1"/>
          <w:color w:val="auto"/>
        </w:rPr>
        <w:t xml:space="preserve">Power Management Systems Litigation. </w:t>
      </w:r>
      <w:r>
        <w:rPr>
          <w:rFonts w:ascii="Arial" w:cs="Arial" w:eastAsia="Arial" w:hAnsi="Arial"/>
          <w:sz w:val="16"/>
          <w:szCs w:val="16"/>
          <w:color w:val="auto"/>
        </w:rPr>
        <w:t>On August 22, 2011, Power Management Systems LLC, a subsidiary of Acacia Research Corp., filed a complaint</w:t>
      </w:r>
      <w:r>
        <w:rPr>
          <w:rFonts w:ascii="Arial" w:cs="Arial" w:eastAsia="Arial" w:hAnsi="Arial"/>
          <w:sz w:val="16"/>
          <w:szCs w:val="16"/>
          <w:i w:val="1"/>
          <w:iCs w:val="1"/>
          <w:color w:val="auto"/>
        </w:rPr>
        <w:t xml:space="preserve"> </w:t>
      </w:r>
      <w:r>
        <w:rPr>
          <w:rFonts w:ascii="Arial" w:cs="Arial" w:eastAsia="Arial" w:hAnsi="Arial"/>
          <w:sz w:val="16"/>
          <w:szCs w:val="16"/>
          <w:color w:val="auto"/>
        </w:rPr>
        <w:t>against MSI and three other defendants, in the federal district court for the District of Delaware. The complaint asserts U.S. Patent No. 5,504,909, which purportedly relates to a power management apparatus, against various products. The complaint seeks unspecified damages. A claim construction hearing is scheduled for September 27, 2012 and trial is set for November 25, 2013. MSI believes that it does not infringe any valid and enforceable claim of the Power Management patents in suit, and intends to litigate this action vigorously. The Company is currently unable to predict the outcome of this lawsuit and therefore cannot determine the likelihood of loss nor estimate a range of possible loss.</w:t>
      </w:r>
    </w:p>
    <w:p>
      <w:pPr>
        <w:spacing w:after="0" w:line="120"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i w:val="1"/>
          <w:iCs w:val="1"/>
          <w:color w:val="auto"/>
        </w:rPr>
        <w:t xml:space="preserve">HSM/TPL Litigation. </w:t>
      </w:r>
      <w:r>
        <w:rPr>
          <w:rFonts w:ascii="Arial" w:cs="Arial" w:eastAsia="Arial" w:hAnsi="Arial"/>
          <w:sz w:val="18"/>
          <w:szCs w:val="18"/>
          <w:color w:val="auto"/>
        </w:rPr>
        <w:t>On September 1, 2011, HSM Portfolio, LLC and Technology Properties Limited, LLC filed a complaint against the Company and its</w:t>
      </w:r>
      <w:r>
        <w:rPr>
          <w:rFonts w:ascii="Arial" w:cs="Arial" w:eastAsia="Arial" w:hAnsi="Arial"/>
          <w:sz w:val="18"/>
          <w:szCs w:val="18"/>
          <w:i w:val="1"/>
          <w:iCs w:val="1"/>
          <w:color w:val="auto"/>
        </w:rPr>
        <w:t xml:space="preserve"> </w:t>
      </w:r>
      <w:r>
        <w:rPr>
          <w:rFonts w:ascii="Arial" w:cs="Arial" w:eastAsia="Arial" w:hAnsi="Arial"/>
          <w:sz w:val="18"/>
          <w:szCs w:val="18"/>
          <w:color w:val="auto"/>
        </w:rPr>
        <w:t>subsidiary, Marvell Semiconductor, Ltd. (“MSL”), in the federal district court for the District of Delaware. The complaint also named numerous other defendants. The complaint asserts U.S. Patent No. 5,030,853, purportedly relating to high speed logic and memory circuitry, against various products. The complaint seeks unspecified damages. On January 9, 2012, HSM/TPL filed an amended complaint adding MSI to the case. On February 15, 2012, the Company and MSL were dismissed from the case. MSI believes that it does not infringe any valid and enforceable claim of the HSM/TPL patents in suit, and intends to litigate this action vigorously. The Company is currently unable to predict the outcome of this lawsuit and therefore cannot determine the likelihood of loss nor estimate a range of possible loss.</w:t>
      </w:r>
    </w:p>
    <w:p>
      <w:pPr>
        <w:spacing w:after="0" w:line="147"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various other legal proceedings and claims arising in the normal course of business. The legal proceedings and</w:t>
      </w:r>
      <w:r>
        <w:rPr>
          <w:rFonts w:ascii="Arial" w:cs="Arial" w:eastAsia="Arial" w:hAnsi="Arial"/>
          <w:sz w:val="16"/>
          <w:szCs w:val="16"/>
          <w:i w:val="1"/>
          <w:iCs w:val="1"/>
          <w:color w:val="auto"/>
        </w:rPr>
        <w:t xml:space="preserve"> </w:t>
      </w:r>
      <w:r>
        <w:rPr>
          <w:rFonts w:ascii="Arial" w:cs="Arial" w:eastAsia="Arial" w:hAnsi="Arial"/>
          <w:sz w:val="16"/>
          <w:szCs w:val="16"/>
          <w:color w:val="auto"/>
        </w:rPr>
        <w:t>claims described above could result in substantial costs and could divert the attention and resources of the Company’s management. Although the legal responsibility and financial impact with respect to each of these proceedings and claims cannot currently be ascertained, an unfavorable outcome in any of such actions could have a material adverse effect on the Company’s cash flows. As to each of the ongoing legal matters mentioned above, the Company is unable to predict its outcome and therefore cannot determine the likelihood of loss nor estimate a range of possible loss. Litigation is subject to inherent uncertainties and unfavorable rulings could occur. An unfavorable ruling in litigation could require the Company to pay damages or one-time license fees or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 competes lawfully and that its marketing, business and intellectual property benefit is customers and shareholders, and it will continue to conduct a vigorous defense in these proceedings. There can be no assurance that these matters will be resolved in a manner that is not adverse to the Company’s business, financial condition, results of operations or cash flows.</w:t>
      </w:r>
    </w:p>
    <w:p>
      <w:pPr>
        <w:spacing w:after="0" w:line="20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unaudited condensed consolidated balance sheets as the amounts, if any, cannot be reasonably estimated. The Company does, however, accrue for losses for any known contingent liability, including those that may arise from indemnification provisions, when future payment is probable.</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45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5"/>
          <w:szCs w:val="15"/>
          <w:color w:val="auto"/>
        </w:rPr>
        <w:t>Activity under the Company’s stock option plans for the three months ended April 28, 2012 is summarized below (in thousands, except per share amounts):</w:t>
      </w:r>
    </w:p>
    <w:p>
      <w:pPr>
        <w:spacing w:after="0" w:line="2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20" w:type="dxa"/>
            <w:vAlign w:val="bottom"/>
          </w:tcPr>
          <w:p>
            <w:pPr>
              <w:spacing w:after="0"/>
              <w:rPr>
                <w:sz w:val="14"/>
                <w:szCs w:val="14"/>
                <w:color w:val="auto"/>
              </w:rPr>
            </w:pPr>
          </w:p>
        </w:tc>
        <w:tc>
          <w:tcPr>
            <w:tcW w:w="2440" w:type="dxa"/>
            <w:vAlign w:val="bottom"/>
            <w:gridSpan w:val="5"/>
          </w:tcPr>
          <w:p>
            <w:pPr>
              <w:ind w:left="400"/>
              <w:spacing w:after="0"/>
              <w:rPr>
                <w:sz w:val="20"/>
                <w:szCs w:val="20"/>
                <w:color w:val="auto"/>
              </w:rPr>
            </w:pPr>
            <w:r>
              <w:rPr>
                <w:rFonts w:ascii="Arial" w:cs="Arial" w:eastAsia="Arial" w:hAnsi="Arial"/>
                <w:sz w:val="14"/>
                <w:szCs w:val="14"/>
                <w:b w:val="1"/>
                <w:bCs w:val="1"/>
                <w:color w:val="auto"/>
              </w:rPr>
              <w:t>Time-Based Options</w:t>
            </w:r>
          </w:p>
        </w:tc>
        <w:tc>
          <w:tcPr>
            <w:tcW w:w="2440" w:type="dxa"/>
            <w:vAlign w:val="bottom"/>
            <w:gridSpan w:val="5"/>
          </w:tcPr>
          <w:p>
            <w:pPr>
              <w:ind w:left="340"/>
              <w:spacing w:after="0"/>
              <w:rPr>
                <w:sz w:val="20"/>
                <w:szCs w:val="20"/>
                <w:color w:val="auto"/>
              </w:rPr>
            </w:pPr>
            <w:r>
              <w:rPr>
                <w:rFonts w:ascii="Arial" w:cs="Arial" w:eastAsia="Arial" w:hAnsi="Arial"/>
                <w:sz w:val="14"/>
                <w:szCs w:val="14"/>
                <w:b w:val="1"/>
                <w:bCs w:val="1"/>
                <w:color w:val="auto"/>
              </w:rPr>
              <w:t>Market-Based Options</w:t>
            </w:r>
          </w:p>
        </w:tc>
        <w:tc>
          <w:tcPr>
            <w:tcW w:w="7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80" w:type="dxa"/>
            <w:vAlign w:val="bottom"/>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420" w:type="dxa"/>
            <w:vAlign w:val="bottom"/>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46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17"/>
              <w:spacing w:after="0" w:line="129" w:lineRule="exact"/>
              <w:rPr>
                <w:sz w:val="20"/>
                <w:szCs w:val="20"/>
                <w:color w:val="auto"/>
              </w:rPr>
            </w:pPr>
            <w:r>
              <w:rPr>
                <w:rFonts w:ascii="Arial" w:cs="Arial" w:eastAsia="Arial" w:hAnsi="Arial"/>
                <w:sz w:val="14"/>
                <w:szCs w:val="14"/>
                <w:b w:val="1"/>
                <w:bCs w:val="1"/>
                <w:color w:val="auto"/>
                <w:w w:val="85"/>
              </w:rPr>
              <w:t>Weighted</w:t>
            </w:r>
          </w:p>
        </w:tc>
        <w:tc>
          <w:tcPr>
            <w:tcW w:w="44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44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5"/>
              </w:rPr>
              <w:t>Weighted</w:t>
            </w:r>
          </w:p>
        </w:tc>
        <w:tc>
          <w:tcPr>
            <w:tcW w:w="440" w:type="dxa"/>
            <w:vAlign w:val="bottom"/>
          </w:tcPr>
          <w:p>
            <w:pPr>
              <w:spacing w:after="0"/>
              <w:rPr>
                <w:sz w:val="11"/>
                <w:szCs w:val="11"/>
                <w:color w:val="auto"/>
              </w:rPr>
            </w:pPr>
          </w:p>
        </w:tc>
        <w:tc>
          <w:tcPr>
            <w:tcW w:w="7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20" w:type="dxa"/>
            <w:vAlign w:val="bottom"/>
          </w:tcPr>
          <w:p>
            <w:pPr>
              <w:spacing w:after="0"/>
              <w:rPr>
                <w:sz w:val="12"/>
                <w:szCs w:val="12"/>
                <w:color w:val="auto"/>
              </w:rPr>
            </w:pPr>
          </w:p>
        </w:tc>
        <w:tc>
          <w:tcPr>
            <w:tcW w:w="1180" w:type="dxa"/>
            <w:vAlign w:val="bottom"/>
            <w:gridSpan w:val="2"/>
          </w:tcPr>
          <w:p>
            <w:pPr>
              <w:jc w:val="right"/>
              <w:ind w:right="580"/>
              <w:spacing w:after="0" w:line="149" w:lineRule="exact"/>
              <w:rPr>
                <w:sz w:val="20"/>
                <w:szCs w:val="20"/>
                <w:color w:val="auto"/>
              </w:rPr>
            </w:pPr>
            <w:r>
              <w:rPr>
                <w:rFonts w:ascii="Arial" w:cs="Arial" w:eastAsia="Arial" w:hAnsi="Arial"/>
                <w:sz w:val="14"/>
                <w:szCs w:val="14"/>
                <w:b w:val="1"/>
                <w:bCs w:val="1"/>
                <w:color w:val="auto"/>
              </w:rPr>
              <w:t>Options</w:t>
            </w:r>
          </w:p>
        </w:tc>
        <w:tc>
          <w:tcPr>
            <w:tcW w:w="100" w:type="dxa"/>
            <w:vAlign w:val="bottom"/>
          </w:tcPr>
          <w:p>
            <w:pPr>
              <w:spacing w:after="0"/>
              <w:rPr>
                <w:sz w:val="12"/>
                <w:szCs w:val="12"/>
                <w:color w:val="auto"/>
              </w:rPr>
            </w:pPr>
          </w:p>
        </w:tc>
        <w:tc>
          <w:tcPr>
            <w:tcW w:w="116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86"/>
              </w:rPr>
              <w:t>Average</w:t>
            </w:r>
          </w:p>
        </w:tc>
        <w:tc>
          <w:tcPr>
            <w:tcW w:w="1180" w:type="dxa"/>
            <w:vAlign w:val="bottom"/>
            <w:gridSpan w:val="2"/>
          </w:tcPr>
          <w:p>
            <w:pPr>
              <w:jc w:val="right"/>
              <w:ind w:right="580"/>
              <w:spacing w:after="0" w:line="149" w:lineRule="exact"/>
              <w:rPr>
                <w:sz w:val="20"/>
                <w:szCs w:val="20"/>
                <w:color w:val="auto"/>
              </w:rPr>
            </w:pPr>
            <w:r>
              <w:rPr>
                <w:rFonts w:ascii="Arial" w:cs="Arial" w:eastAsia="Arial" w:hAnsi="Arial"/>
                <w:sz w:val="14"/>
                <w:szCs w:val="14"/>
                <w:b w:val="1"/>
                <w:bCs w:val="1"/>
                <w:color w:val="auto"/>
              </w:rPr>
              <w:t>Options</w:t>
            </w:r>
          </w:p>
        </w:tc>
        <w:tc>
          <w:tcPr>
            <w:tcW w:w="120" w:type="dxa"/>
            <w:vAlign w:val="bottom"/>
          </w:tcPr>
          <w:p>
            <w:pPr>
              <w:spacing w:after="0"/>
              <w:rPr>
                <w:sz w:val="12"/>
                <w:szCs w:val="12"/>
                <w:color w:val="auto"/>
              </w:rPr>
            </w:pPr>
          </w:p>
        </w:tc>
        <w:tc>
          <w:tcPr>
            <w:tcW w:w="114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83"/>
              </w:rPr>
              <w:t>Average</w:t>
            </w:r>
          </w:p>
        </w:tc>
        <w:tc>
          <w:tcPr>
            <w:tcW w:w="820" w:type="dxa"/>
            <w:vAlign w:val="bottom"/>
            <w:gridSpan w:val="2"/>
          </w:tcPr>
          <w:p>
            <w:pPr>
              <w:jc w:val="right"/>
              <w:ind w:right="220"/>
              <w:spacing w:after="0" w:line="149" w:lineRule="exact"/>
              <w:rPr>
                <w:sz w:val="20"/>
                <w:szCs w:val="20"/>
                <w:color w:val="auto"/>
              </w:rPr>
            </w:pPr>
            <w:r>
              <w:rPr>
                <w:rFonts w:ascii="Arial" w:cs="Arial" w:eastAsia="Arial" w:hAnsi="Arial"/>
                <w:sz w:val="14"/>
                <w:szCs w:val="14"/>
                <w:b w:val="1"/>
                <w:bCs w:val="1"/>
                <w:color w:val="auto"/>
              </w:rPr>
              <w:t>Options</w:t>
            </w:r>
          </w:p>
        </w:tc>
        <w:tc>
          <w:tcPr>
            <w:tcW w:w="3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20" w:type="dxa"/>
            <w:vAlign w:val="bottom"/>
          </w:tcPr>
          <w:p>
            <w:pPr>
              <w:spacing w:after="0"/>
              <w:rPr>
                <w:sz w:val="14"/>
                <w:szCs w:val="14"/>
                <w:color w:val="auto"/>
              </w:rPr>
            </w:pPr>
          </w:p>
        </w:tc>
        <w:tc>
          <w:tcPr>
            <w:tcW w:w="118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w w:val="84"/>
              </w:rPr>
              <w:t>Outstanding</w:t>
            </w:r>
          </w:p>
        </w:tc>
        <w:tc>
          <w:tcPr>
            <w:tcW w:w="1260" w:type="dxa"/>
            <w:vAlign w:val="bottom"/>
            <w:gridSpan w:val="3"/>
          </w:tcPr>
          <w:p>
            <w:pPr>
              <w:spacing w:after="0"/>
              <w:rPr>
                <w:sz w:val="20"/>
                <w:szCs w:val="20"/>
                <w:color w:val="auto"/>
              </w:rPr>
            </w:pPr>
            <w:r>
              <w:rPr>
                <w:rFonts w:ascii="Arial" w:cs="Arial" w:eastAsia="Arial" w:hAnsi="Arial"/>
                <w:sz w:val="14"/>
                <w:szCs w:val="14"/>
                <w:b w:val="1"/>
                <w:bCs w:val="1"/>
                <w:color w:val="auto"/>
              </w:rPr>
              <w:t>Exercise Price</w:t>
            </w:r>
          </w:p>
        </w:tc>
        <w:tc>
          <w:tcPr>
            <w:tcW w:w="118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w w:val="84"/>
              </w:rPr>
              <w:t>Outstanding</w:t>
            </w:r>
          </w:p>
        </w:tc>
        <w:tc>
          <w:tcPr>
            <w:tcW w:w="1260" w:type="dxa"/>
            <w:vAlign w:val="bottom"/>
            <w:gridSpan w:val="3"/>
          </w:tcPr>
          <w:p>
            <w:pPr>
              <w:spacing w:after="0"/>
              <w:rPr>
                <w:sz w:val="20"/>
                <w:szCs w:val="20"/>
                <w:color w:val="auto"/>
              </w:rPr>
            </w:pPr>
            <w:r>
              <w:rPr>
                <w:rFonts w:ascii="Arial" w:cs="Arial" w:eastAsia="Arial" w:hAnsi="Arial"/>
                <w:sz w:val="14"/>
                <w:szCs w:val="14"/>
                <w:b w:val="1"/>
                <w:bCs w:val="1"/>
                <w:color w:val="auto"/>
              </w:rPr>
              <w:t>Exercise Price</w:t>
            </w:r>
          </w:p>
        </w:tc>
        <w:tc>
          <w:tcPr>
            <w:tcW w:w="820" w:type="dxa"/>
            <w:vAlign w:val="bottom"/>
            <w:gridSpan w:val="2"/>
          </w:tcPr>
          <w:p>
            <w:pPr>
              <w:jc w:val="right"/>
              <w:ind w:right="80"/>
              <w:spacing w:after="0"/>
              <w:rPr>
                <w:sz w:val="20"/>
                <w:szCs w:val="20"/>
                <w:color w:val="auto"/>
              </w:rPr>
            </w:pPr>
            <w:r>
              <w:rPr>
                <w:rFonts w:ascii="Arial" w:cs="Arial" w:eastAsia="Arial" w:hAnsi="Arial"/>
                <w:sz w:val="14"/>
                <w:szCs w:val="14"/>
                <w:b w:val="1"/>
                <w:bCs w:val="1"/>
                <w:color w:val="auto"/>
                <w:w w:val="87"/>
              </w:rPr>
              <w:t>Outstanding</w:t>
            </w:r>
          </w:p>
        </w:tc>
        <w:tc>
          <w:tcPr>
            <w:tcW w:w="360" w:type="dxa"/>
            <w:vAlign w:val="bottom"/>
          </w:tcPr>
          <w:p>
            <w:pPr>
              <w:spacing w:after="0"/>
              <w:rPr>
                <w:sz w:val="14"/>
                <w:szCs w:val="14"/>
                <w:color w:val="auto"/>
              </w:rPr>
            </w:pPr>
          </w:p>
        </w:tc>
        <w:tc>
          <w:tcPr>
            <w:tcW w:w="920" w:type="dxa"/>
            <w:vAlign w:val="bottom"/>
            <w:gridSpan w:val="3"/>
          </w:tcPr>
          <w:p>
            <w:pPr>
              <w:spacing w:after="0"/>
              <w:rPr>
                <w:sz w:val="20"/>
                <w:szCs w:val="20"/>
                <w:color w:val="auto"/>
              </w:rPr>
            </w:pPr>
            <w:r>
              <w:rPr>
                <w:rFonts w:ascii="Arial" w:cs="Arial" w:eastAsia="Arial" w:hAnsi="Arial"/>
                <w:sz w:val="14"/>
                <w:szCs w:val="14"/>
                <w:b w:val="1"/>
                <w:bCs w:val="1"/>
                <w:color w:val="auto"/>
                <w:w w:val="93"/>
              </w:rPr>
              <w:t>Exercise 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28, 2012</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52,467</w:t>
            </w:r>
          </w:p>
        </w:tc>
        <w:tc>
          <w:tcPr>
            <w:tcW w:w="4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12.53</w:t>
            </w:r>
          </w:p>
        </w:tc>
        <w:tc>
          <w:tcPr>
            <w:tcW w:w="44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3,124</w:t>
            </w:r>
          </w:p>
        </w:tc>
        <w:tc>
          <w:tcPr>
            <w:tcW w:w="4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15.43</w:t>
            </w:r>
          </w:p>
        </w:tc>
        <w:tc>
          <w:tcPr>
            <w:tcW w:w="44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55,591</w:t>
            </w:r>
          </w:p>
        </w:tc>
        <w:tc>
          <w:tcPr>
            <w:tcW w:w="80" w:type="dxa"/>
            <w:vAlign w:val="bottom"/>
            <w:tcBorders>
              <w:top w:val="single" w:sz="8" w:color="CCEEFF"/>
            </w:tcBorders>
            <w:shd w:val="clear" w:color="auto" w:fill="CCEEFF"/>
          </w:tcPr>
          <w:p>
            <w:pPr>
              <w:spacing w:after="0"/>
              <w:rPr>
                <w:sz w:val="18"/>
                <w:szCs w:val="18"/>
                <w:color w:val="auto"/>
              </w:rPr>
            </w:pPr>
          </w:p>
        </w:tc>
        <w:tc>
          <w:tcPr>
            <w:tcW w:w="3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12.70</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tcPr>
          <w:p>
            <w:pPr>
              <w:ind w:left="420"/>
              <w:spacing w:after="0"/>
              <w:rPr>
                <w:sz w:val="20"/>
                <w:szCs w:val="20"/>
                <w:color w:val="auto"/>
              </w:rPr>
            </w:pPr>
            <w:r>
              <w:rPr>
                <w:rFonts w:ascii="Arial" w:cs="Arial" w:eastAsia="Arial" w:hAnsi="Arial"/>
                <w:sz w:val="18"/>
                <w:szCs w:val="18"/>
                <w:color w:val="auto"/>
              </w:rPr>
              <w:t>Granted</w:t>
            </w:r>
          </w:p>
        </w:tc>
        <w:tc>
          <w:tcPr>
            <w:tcW w:w="720" w:type="dxa"/>
            <w:vAlign w:val="bottom"/>
          </w:tcPr>
          <w:p>
            <w:pPr>
              <w:jc w:val="right"/>
              <w:spacing w:after="0"/>
              <w:rPr>
                <w:sz w:val="20"/>
                <w:szCs w:val="20"/>
                <w:color w:val="auto"/>
              </w:rPr>
            </w:pPr>
            <w:r>
              <w:rPr>
                <w:rFonts w:ascii="Arial" w:cs="Arial" w:eastAsia="Arial" w:hAnsi="Arial"/>
                <w:sz w:val="18"/>
                <w:szCs w:val="18"/>
                <w:color w:val="auto"/>
              </w:rPr>
              <w:t>6,064</w:t>
            </w:r>
          </w:p>
        </w:tc>
        <w:tc>
          <w:tcPr>
            <w:tcW w:w="46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160" w:type="dxa"/>
            <w:vAlign w:val="bottom"/>
            <w:gridSpan w:val="2"/>
          </w:tcPr>
          <w:p>
            <w:pPr>
              <w:jc w:val="right"/>
              <w:ind w:right="440"/>
              <w:spacing w:after="0"/>
              <w:rPr>
                <w:sz w:val="20"/>
                <w:szCs w:val="20"/>
                <w:color w:val="auto"/>
              </w:rPr>
            </w:pPr>
            <w:r>
              <w:rPr>
                <w:rFonts w:ascii="Arial" w:cs="Arial" w:eastAsia="Arial" w:hAnsi="Arial"/>
                <w:sz w:val="18"/>
                <w:szCs w:val="18"/>
                <w:color w:val="auto"/>
              </w:rPr>
              <w:t>15.21</w:t>
            </w:r>
          </w:p>
        </w:tc>
        <w:tc>
          <w:tcPr>
            <w:tcW w:w="118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40" w:type="dxa"/>
            <w:vAlign w:val="bottom"/>
            <w:gridSpan w:val="2"/>
          </w:tcPr>
          <w:p>
            <w:pPr>
              <w:jc w:val="center"/>
              <w:ind w:right="80"/>
              <w:spacing w:after="0"/>
              <w:rPr>
                <w:sz w:val="20"/>
                <w:szCs w:val="20"/>
                <w:color w:val="auto"/>
              </w:rPr>
            </w:pPr>
            <w:r>
              <w:rPr>
                <w:rFonts w:ascii="Arial" w:cs="Arial" w:eastAsia="Arial" w:hAnsi="Arial"/>
                <w:sz w:val="18"/>
                <w:szCs w:val="18"/>
                <w:color w:val="auto"/>
                <w:w w:val="99"/>
              </w:rPr>
              <w:t>—</w:t>
            </w:r>
          </w:p>
        </w:tc>
        <w:tc>
          <w:tcPr>
            <w:tcW w:w="820" w:type="dxa"/>
            <w:vAlign w:val="bottom"/>
            <w:gridSpan w:val="2"/>
          </w:tcPr>
          <w:p>
            <w:pPr>
              <w:jc w:val="right"/>
              <w:ind w:right="80"/>
              <w:spacing w:after="0"/>
              <w:rPr>
                <w:sz w:val="20"/>
                <w:szCs w:val="20"/>
                <w:color w:val="auto"/>
              </w:rPr>
            </w:pPr>
            <w:r>
              <w:rPr>
                <w:rFonts w:ascii="Arial" w:cs="Arial" w:eastAsia="Arial" w:hAnsi="Arial"/>
                <w:sz w:val="18"/>
                <w:szCs w:val="18"/>
                <w:color w:val="auto"/>
              </w:rPr>
              <w:t>6,064</w:t>
            </w:r>
          </w:p>
        </w:tc>
        <w:tc>
          <w:tcPr>
            <w:tcW w:w="480" w:type="dxa"/>
            <w:vAlign w:val="bottom"/>
            <w:gridSpan w:val="2"/>
          </w:tcPr>
          <w:p>
            <w:pPr>
              <w:ind w:left="36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15.21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11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(2,286)</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7.79</w:t>
            </w:r>
          </w:p>
        </w:tc>
        <w:tc>
          <w:tcPr>
            <w:tcW w:w="11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40" w:type="dxa"/>
            <w:vAlign w:val="bottom"/>
            <w:gridSpan w:val="2"/>
            <w:shd w:val="clear" w:color="auto" w:fill="CCEEFF"/>
          </w:tcPr>
          <w:p>
            <w:pPr>
              <w:jc w:val="center"/>
              <w:ind w:right="80"/>
              <w:spacing w:after="0"/>
              <w:rPr>
                <w:sz w:val="20"/>
                <w:szCs w:val="20"/>
                <w:color w:val="auto"/>
              </w:rPr>
            </w:pPr>
            <w:r>
              <w:rPr>
                <w:rFonts w:ascii="Arial" w:cs="Arial" w:eastAsia="Arial" w:hAnsi="Arial"/>
                <w:sz w:val="18"/>
                <w:szCs w:val="18"/>
                <w:color w:val="auto"/>
                <w:w w:val="99"/>
              </w:rPr>
              <w:t>—</w:t>
            </w:r>
          </w:p>
        </w:tc>
        <w:tc>
          <w:tcPr>
            <w:tcW w:w="8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(2,286)</w:t>
            </w:r>
          </w:p>
        </w:tc>
        <w:tc>
          <w:tcPr>
            <w:tcW w:w="48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42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180" w:type="dxa"/>
            <w:vAlign w:val="bottom"/>
            <w:gridSpan w:val="2"/>
          </w:tcPr>
          <w:p>
            <w:pPr>
              <w:jc w:val="right"/>
              <w:ind w:right="400"/>
              <w:spacing w:after="0"/>
              <w:rPr>
                <w:sz w:val="20"/>
                <w:szCs w:val="20"/>
                <w:color w:val="auto"/>
              </w:rPr>
            </w:pPr>
            <w:r>
              <w:rPr>
                <w:rFonts w:ascii="Arial" w:cs="Arial" w:eastAsia="Arial" w:hAnsi="Arial"/>
                <w:sz w:val="18"/>
                <w:szCs w:val="18"/>
                <w:color w:val="auto"/>
              </w:rPr>
              <w:t>(384)</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160" w:type="dxa"/>
            <w:vAlign w:val="bottom"/>
            <w:gridSpan w:val="2"/>
          </w:tcPr>
          <w:p>
            <w:pPr>
              <w:jc w:val="right"/>
              <w:ind w:right="440"/>
              <w:spacing w:after="0"/>
              <w:rPr>
                <w:sz w:val="20"/>
                <w:szCs w:val="20"/>
                <w:color w:val="auto"/>
              </w:rPr>
            </w:pPr>
            <w:r>
              <w:rPr>
                <w:rFonts w:ascii="Arial" w:cs="Arial" w:eastAsia="Arial" w:hAnsi="Arial"/>
                <w:sz w:val="18"/>
                <w:szCs w:val="18"/>
                <w:color w:val="auto"/>
              </w:rPr>
              <w:t>18.12</w:t>
            </w:r>
          </w:p>
        </w:tc>
        <w:tc>
          <w:tcPr>
            <w:tcW w:w="1180" w:type="dxa"/>
            <w:vAlign w:val="bottom"/>
            <w:gridSpan w:val="2"/>
          </w:tcPr>
          <w:p>
            <w:pPr>
              <w:jc w:val="right"/>
              <w:ind w:right="380"/>
              <w:spacing w:after="0"/>
              <w:rPr>
                <w:sz w:val="20"/>
                <w:szCs w:val="20"/>
                <w:color w:val="auto"/>
              </w:rPr>
            </w:pPr>
            <w:r>
              <w:rPr>
                <w:rFonts w:ascii="Arial" w:cs="Arial" w:eastAsia="Arial" w:hAnsi="Arial"/>
                <w:sz w:val="18"/>
                <w:szCs w:val="18"/>
                <w:color w:val="auto"/>
              </w:rPr>
              <w:t>(4)</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40" w:type="dxa"/>
            <w:vAlign w:val="bottom"/>
            <w:gridSpan w:val="2"/>
          </w:tcPr>
          <w:p>
            <w:pPr>
              <w:jc w:val="center"/>
              <w:ind w:right="140"/>
              <w:spacing w:after="0"/>
              <w:rPr>
                <w:sz w:val="20"/>
                <w:szCs w:val="20"/>
                <w:color w:val="auto"/>
              </w:rPr>
            </w:pPr>
            <w:r>
              <w:rPr>
                <w:rFonts w:ascii="Arial" w:cs="Arial" w:eastAsia="Arial" w:hAnsi="Arial"/>
                <w:sz w:val="18"/>
                <w:szCs w:val="18"/>
                <w:color w:val="auto"/>
                <w:w w:val="88"/>
              </w:rPr>
              <w:t>15.43</w:t>
            </w: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(388)</w:t>
            </w:r>
          </w:p>
        </w:tc>
        <w:tc>
          <w:tcPr>
            <w:tcW w:w="480" w:type="dxa"/>
            <w:vAlign w:val="bottom"/>
            <w:gridSpan w:val="2"/>
          </w:tcPr>
          <w:p>
            <w:pPr>
              <w:ind w:left="36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18.09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Arial" w:cs="Arial" w:eastAsia="Arial" w:hAnsi="Arial"/>
                <w:sz w:val="18"/>
                <w:szCs w:val="18"/>
                <w:color w:val="auto"/>
              </w:rPr>
              <w:t>Balance at April 28, 2012</w:t>
            </w: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55,861</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12.98</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3,120</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40" w:type="dxa"/>
            <w:vAlign w:val="bottom"/>
            <w:gridSpan w:val="2"/>
            <w:shd w:val="clear" w:color="auto" w:fill="CCEEFF"/>
          </w:tcPr>
          <w:p>
            <w:pPr>
              <w:jc w:val="center"/>
              <w:ind w:right="140"/>
              <w:spacing w:after="0"/>
              <w:rPr>
                <w:sz w:val="20"/>
                <w:szCs w:val="20"/>
                <w:color w:val="auto"/>
              </w:rPr>
            </w:pPr>
            <w:r>
              <w:rPr>
                <w:rFonts w:ascii="Arial" w:cs="Arial" w:eastAsia="Arial" w:hAnsi="Arial"/>
                <w:sz w:val="18"/>
                <w:szCs w:val="18"/>
                <w:color w:val="auto"/>
                <w:w w:val="88"/>
              </w:rPr>
              <w:t>15.43</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58,981</w:t>
            </w:r>
          </w:p>
        </w:tc>
        <w:tc>
          <w:tcPr>
            <w:tcW w:w="80" w:type="dxa"/>
            <w:vAlign w:val="bottom"/>
            <w:shd w:val="clear" w:color="auto" w:fill="CCEEFF"/>
          </w:tcPr>
          <w:p>
            <w:pPr>
              <w:spacing w:after="0"/>
              <w:rPr>
                <w:sz w:val="18"/>
                <w:szCs w:val="18"/>
                <w:color w:val="auto"/>
              </w:rPr>
            </w:pPr>
          </w:p>
        </w:tc>
        <w:tc>
          <w:tcPr>
            <w:tcW w:w="48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4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April 28, 2012</w:t>
            </w:r>
          </w:p>
        </w:tc>
        <w:tc>
          <w:tcPr>
            <w:tcW w:w="72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vMerge w:val="restart"/>
          </w:tcPr>
          <w:p>
            <w:pPr>
              <w:spacing w:after="0"/>
              <w:rPr>
                <w:sz w:val="20"/>
                <w:szCs w:val="20"/>
                <w:color w:val="auto"/>
              </w:rPr>
            </w:pPr>
            <w:r>
              <w:rPr>
                <w:rFonts w:ascii="Arial" w:cs="Arial" w:eastAsia="Arial" w:hAnsi="Arial"/>
                <w:sz w:val="18"/>
                <w:szCs w:val="18"/>
                <w:color w:val="auto"/>
                <w:w w:val="79"/>
              </w:rPr>
              <w:t>$</w:t>
            </w:r>
          </w:p>
        </w:tc>
        <w:tc>
          <w:tcPr>
            <w:tcW w:w="1160" w:type="dxa"/>
            <w:vAlign w:val="bottom"/>
            <w:gridSpan w:val="2"/>
            <w:vMerge w:val="restart"/>
          </w:tcPr>
          <w:p>
            <w:pPr>
              <w:jc w:val="right"/>
              <w:ind w:right="440"/>
              <w:spacing w:after="0"/>
              <w:rPr>
                <w:sz w:val="20"/>
                <w:szCs w:val="20"/>
                <w:color w:val="auto"/>
              </w:rPr>
            </w:pPr>
            <w:r>
              <w:rPr>
                <w:rFonts w:ascii="Arial" w:cs="Arial" w:eastAsia="Arial" w:hAnsi="Arial"/>
                <w:sz w:val="18"/>
                <w:szCs w:val="18"/>
                <w:color w:val="auto"/>
              </w:rPr>
              <w:t>12.93</w:t>
            </w:r>
          </w:p>
        </w:tc>
        <w:tc>
          <w:tcPr>
            <w:tcW w:w="740" w:type="dxa"/>
            <w:vAlign w:val="bottom"/>
            <w:tcBorders>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440" w:type="dxa"/>
            <w:vAlign w:val="bottom"/>
            <w:gridSpan w:val="2"/>
            <w:vMerge w:val="continue"/>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54,192</w:t>
            </w:r>
          </w:p>
        </w:tc>
        <w:tc>
          <w:tcPr>
            <w:tcW w:w="460" w:type="dxa"/>
            <w:vAlign w:val="bottom"/>
          </w:tcPr>
          <w:p>
            <w:pPr>
              <w:spacing w:after="0"/>
              <w:rPr>
                <w:sz w:val="18"/>
                <w:szCs w:val="18"/>
                <w:color w:val="auto"/>
              </w:rPr>
            </w:pPr>
          </w:p>
        </w:tc>
        <w:tc>
          <w:tcPr>
            <w:tcW w:w="100" w:type="dxa"/>
            <w:vAlign w:val="bottom"/>
            <w:vMerge w:val="continue"/>
          </w:tcPr>
          <w:p>
            <w:pPr>
              <w:spacing w:after="0"/>
              <w:rPr>
                <w:sz w:val="18"/>
                <w:szCs w:val="18"/>
                <w:color w:val="auto"/>
              </w:rPr>
            </w:pPr>
          </w:p>
        </w:tc>
        <w:tc>
          <w:tcPr>
            <w:tcW w:w="1160" w:type="dxa"/>
            <w:vAlign w:val="bottom"/>
            <w:gridSpan w:val="2"/>
            <w:vMerge w:val="continue"/>
          </w:tcPr>
          <w:p>
            <w:pPr>
              <w:spacing w:after="0"/>
              <w:rPr>
                <w:sz w:val="18"/>
                <w:szCs w:val="18"/>
                <w:color w:val="auto"/>
              </w:rPr>
            </w:pPr>
          </w:p>
        </w:tc>
        <w:tc>
          <w:tcPr>
            <w:tcW w:w="7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2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April 28, 2012</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42,275</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16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12.76</w:t>
            </w:r>
          </w:p>
        </w:tc>
        <w:tc>
          <w:tcPr>
            <w:tcW w:w="7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2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The aggregate intrinsic value and weighted average remaining contractual term of time-based stock options vested and expected to vest at April 28, 2012 was $186.4 million and 4.9 years, respectively. The aggregate intrinsic value and weighted average remaining contractual term of time-based stock options exercisable at April 28, 2012 was $161.9 million and 3.9 years, respectively. There was no aggregate intrinsic value for market-based stock options at April 28, 2012 and the weighted average remaining contractual term of market-based stock options vested and expected to reach the end of the vesting period at April 28, 2012 was 9.0 years. The Company’s closing stock price as reported on the NASDAQ Global Select Market for all in-the-money options as of April 27, 2012 is used to calculate the aggregate intrinsic value.</w:t>
      </w:r>
    </w:p>
    <w:p>
      <w:pPr>
        <w:spacing w:after="0" w:line="12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As of April 28, 2012, the unamortized compensation expense for time-based and market-based stock options was $63.7 million and $9.5 million, respectively. The unamortized compensation expense for time-based and market-based stock options will be amortized on a straight-line basis and is expected to be recognized over a weighted-average period of 2.8 years and 1.7 years, respectively.</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following table is activity related to the non-vested portion of the restricted stock units as follows (in thousands, except for prices):</w:t>
      </w:r>
    </w:p>
    <w:p>
      <w:pPr>
        <w:spacing w:after="0" w:line="21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20" w:type="dxa"/>
            <w:vAlign w:val="bottom"/>
          </w:tcPr>
          <w:p>
            <w:pPr>
              <w:spacing w:after="0"/>
              <w:rPr>
                <w:sz w:val="14"/>
                <w:szCs w:val="14"/>
                <w:color w:val="auto"/>
              </w:rPr>
            </w:pPr>
          </w:p>
        </w:tc>
        <w:tc>
          <w:tcPr>
            <w:tcW w:w="3280" w:type="dxa"/>
            <w:vAlign w:val="bottom"/>
            <w:gridSpan w:val="3"/>
          </w:tcPr>
          <w:p>
            <w:pPr>
              <w:jc w:val="center"/>
              <w:ind w:left="1319"/>
              <w:spacing w:after="0"/>
              <w:rPr>
                <w:sz w:val="20"/>
                <w:szCs w:val="20"/>
                <w:color w:val="auto"/>
              </w:rPr>
            </w:pPr>
            <w:r>
              <w:rPr>
                <w:rFonts w:ascii="Arial" w:cs="Arial" w:eastAsia="Arial" w:hAnsi="Arial"/>
                <w:sz w:val="14"/>
                <w:szCs w:val="14"/>
                <w:b w:val="1"/>
                <w:bCs w:val="1"/>
                <w:color w:val="auto"/>
                <w:w w:val="86"/>
              </w:rPr>
              <w:t>Restricted Stock</w:t>
            </w:r>
          </w:p>
        </w:tc>
        <w:tc>
          <w:tcPr>
            <w:tcW w:w="1560" w:type="dxa"/>
            <w:vAlign w:val="bottom"/>
            <w:gridSpan w:val="4"/>
          </w:tcPr>
          <w:p>
            <w:pPr>
              <w:ind w:left="400"/>
              <w:spacing w:after="0"/>
              <w:rPr>
                <w:sz w:val="20"/>
                <w:szCs w:val="20"/>
                <w:color w:val="auto"/>
              </w:rPr>
            </w:pPr>
            <w:r>
              <w:rPr>
                <w:rFonts w:ascii="Arial" w:cs="Arial" w:eastAsia="Arial" w:hAnsi="Arial"/>
                <w:sz w:val="14"/>
                <w:szCs w:val="14"/>
                <w:b w:val="1"/>
                <w:bCs w:val="1"/>
                <w:color w:val="auto"/>
                <w:w w:val="93"/>
              </w:rPr>
              <w:t>Weighted Average</w:t>
            </w:r>
          </w:p>
        </w:tc>
      </w:tr>
      <w:tr>
        <w:trPr>
          <w:trHeight w:val="149"/>
        </w:trPr>
        <w:tc>
          <w:tcPr>
            <w:tcW w:w="20" w:type="dxa"/>
            <w:vAlign w:val="bottom"/>
          </w:tcPr>
          <w:p>
            <w:pPr>
              <w:spacing w:after="0"/>
              <w:rPr>
                <w:sz w:val="12"/>
                <w:szCs w:val="12"/>
                <w:color w:val="auto"/>
              </w:rPr>
            </w:pPr>
          </w:p>
        </w:tc>
        <w:tc>
          <w:tcPr>
            <w:tcW w:w="382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42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1"/>
              </w:rPr>
              <w:t>Units</w:t>
            </w:r>
          </w:p>
        </w:tc>
        <w:tc>
          <w:tcPr>
            <w:tcW w:w="400" w:type="dxa"/>
            <w:vAlign w:val="bottom"/>
          </w:tcPr>
          <w:p>
            <w:pPr>
              <w:spacing w:after="0"/>
              <w:rPr>
                <w:sz w:val="12"/>
                <w:szCs w:val="12"/>
                <w:color w:val="auto"/>
              </w:rPr>
            </w:pPr>
          </w:p>
        </w:tc>
        <w:tc>
          <w:tcPr>
            <w:tcW w:w="116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2"/>
              </w:rPr>
              <w:t>Grant Date Fair</w:t>
            </w:r>
          </w:p>
        </w:tc>
      </w:tr>
      <w:tr>
        <w:trPr>
          <w:trHeight w:val="161"/>
        </w:trPr>
        <w:tc>
          <w:tcPr>
            <w:tcW w:w="20" w:type="dxa"/>
            <w:vAlign w:val="bottom"/>
          </w:tcPr>
          <w:p>
            <w:pPr>
              <w:spacing w:after="0"/>
              <w:rPr>
                <w:sz w:val="14"/>
                <w:szCs w:val="14"/>
                <w:color w:val="auto"/>
              </w:rPr>
            </w:pPr>
          </w:p>
        </w:tc>
        <w:tc>
          <w:tcPr>
            <w:tcW w:w="382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42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7"/>
              </w:rPr>
              <w:t>Outstanding</w:t>
            </w:r>
          </w:p>
        </w:tc>
        <w:tc>
          <w:tcPr>
            <w:tcW w:w="4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4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Value</w:t>
            </w:r>
          </w:p>
        </w:tc>
      </w:tr>
      <w:tr>
        <w:trPr>
          <w:trHeight w:val="210"/>
        </w:trPr>
        <w:tc>
          <w:tcPr>
            <w:tcW w:w="20" w:type="dxa"/>
            <w:vAlign w:val="bottom"/>
          </w:tcPr>
          <w:p>
            <w:pPr>
              <w:spacing w:after="0"/>
              <w:rPr>
                <w:sz w:val="18"/>
                <w:szCs w:val="18"/>
                <w:color w:val="auto"/>
              </w:rPr>
            </w:pPr>
          </w:p>
        </w:tc>
        <w:tc>
          <w:tcPr>
            <w:tcW w:w="38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28, 2012</w:t>
            </w:r>
          </w:p>
        </w:tc>
        <w:tc>
          <w:tcPr>
            <w:tcW w:w="186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9,646</w:t>
            </w:r>
          </w:p>
        </w:tc>
        <w:tc>
          <w:tcPr>
            <w:tcW w:w="460" w:type="dxa"/>
            <w:vAlign w:val="bottom"/>
            <w:tcBorders>
              <w:top w:val="single" w:sz="8" w:color="CCEEFF"/>
            </w:tcBorders>
            <w:shd w:val="clear" w:color="auto" w:fill="CCEEFF"/>
          </w:tcPr>
          <w:p>
            <w:pPr>
              <w:spacing w:after="0"/>
              <w:rPr>
                <w:sz w:val="18"/>
                <w:szCs w:val="18"/>
                <w:color w:val="auto"/>
              </w:rPr>
            </w:pPr>
          </w:p>
        </w:tc>
        <w:tc>
          <w:tcPr>
            <w:tcW w:w="4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17.38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820" w:type="dxa"/>
            <w:vAlign w:val="bottom"/>
          </w:tcPr>
          <w:p>
            <w:pPr>
              <w:ind w:left="420"/>
              <w:spacing w:after="0"/>
              <w:rPr>
                <w:sz w:val="20"/>
                <w:szCs w:val="20"/>
                <w:color w:val="auto"/>
              </w:rPr>
            </w:pPr>
            <w:r>
              <w:rPr>
                <w:rFonts w:ascii="Arial" w:cs="Arial" w:eastAsia="Arial" w:hAnsi="Arial"/>
                <w:sz w:val="18"/>
                <w:szCs w:val="18"/>
                <w:color w:val="auto"/>
              </w:rPr>
              <w:t>Granted</w:t>
            </w:r>
          </w:p>
        </w:tc>
        <w:tc>
          <w:tcPr>
            <w:tcW w:w="2820" w:type="dxa"/>
            <w:vAlign w:val="bottom"/>
            <w:gridSpan w:val="2"/>
          </w:tcPr>
          <w:p>
            <w:pPr>
              <w:jc w:val="right"/>
              <w:spacing w:after="0"/>
              <w:rPr>
                <w:sz w:val="20"/>
                <w:szCs w:val="20"/>
                <w:color w:val="auto"/>
              </w:rPr>
            </w:pPr>
            <w:r>
              <w:rPr>
                <w:rFonts w:ascii="Arial" w:cs="Arial" w:eastAsia="Arial" w:hAnsi="Arial"/>
                <w:sz w:val="18"/>
                <w:szCs w:val="18"/>
                <w:color w:val="auto"/>
              </w:rPr>
              <w:t>6,588</w:t>
            </w:r>
          </w:p>
        </w:tc>
        <w:tc>
          <w:tcPr>
            <w:tcW w:w="460" w:type="dxa"/>
            <w:vAlign w:val="bottom"/>
          </w:tcPr>
          <w:p>
            <w:pPr>
              <w:spacing w:after="0"/>
              <w:rPr>
                <w:sz w:val="18"/>
                <w:szCs w:val="18"/>
                <w:color w:val="auto"/>
              </w:rPr>
            </w:pPr>
          </w:p>
        </w:tc>
        <w:tc>
          <w:tcPr>
            <w:tcW w:w="62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15.23</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8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328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(2,227)</w:t>
            </w:r>
          </w:p>
        </w:tc>
        <w:tc>
          <w:tcPr>
            <w:tcW w:w="62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18.09</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382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860" w:type="dxa"/>
            <w:vAlign w:val="bottom"/>
          </w:tcPr>
          <w:p>
            <w:pPr>
              <w:spacing w:after="0"/>
              <w:rPr>
                <w:sz w:val="19"/>
                <w:szCs w:val="19"/>
                <w:color w:val="auto"/>
              </w:rPr>
            </w:pPr>
          </w:p>
        </w:tc>
        <w:tc>
          <w:tcPr>
            <w:tcW w:w="1420" w:type="dxa"/>
            <w:vAlign w:val="bottom"/>
            <w:gridSpan w:val="2"/>
          </w:tcPr>
          <w:p>
            <w:pPr>
              <w:jc w:val="right"/>
              <w:ind w:right="400"/>
              <w:spacing w:after="0"/>
              <w:rPr>
                <w:sz w:val="20"/>
                <w:szCs w:val="20"/>
                <w:color w:val="auto"/>
              </w:rPr>
            </w:pPr>
            <w:r>
              <w:rPr>
                <w:rFonts w:ascii="Arial" w:cs="Arial" w:eastAsia="Arial" w:hAnsi="Arial"/>
                <w:sz w:val="18"/>
                <w:szCs w:val="18"/>
                <w:color w:val="auto"/>
              </w:rPr>
              <w:t>(481)</w:t>
            </w:r>
          </w:p>
        </w:tc>
        <w:tc>
          <w:tcPr>
            <w:tcW w:w="62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19.36</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Balance at April 28, 2012</w:t>
            </w:r>
          </w:p>
        </w:tc>
        <w:tc>
          <w:tcPr>
            <w:tcW w:w="1860" w:type="dxa"/>
            <w:vAlign w:val="bottom"/>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13,526</w:t>
            </w:r>
          </w:p>
        </w:tc>
        <w:tc>
          <w:tcPr>
            <w:tcW w:w="460" w:type="dxa"/>
            <w:vAlign w:val="bottom"/>
            <w:shd w:val="clear" w:color="auto" w:fill="CCEEFF"/>
          </w:tcPr>
          <w:p>
            <w:pPr>
              <w:spacing w:after="0"/>
              <w:rPr>
                <w:sz w:val="18"/>
                <w:szCs w:val="18"/>
                <w:color w:val="auto"/>
              </w:rPr>
            </w:pPr>
          </w:p>
        </w:tc>
        <w:tc>
          <w:tcPr>
            <w:tcW w:w="62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16.15</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382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color w:val="auto"/>
        </w:rPr>
        <w:t>As of April 28, 2012, compensation costs related to restricted stock units not yet recognized amounted to $179.3 million. The unamortized compensation expense for restricted stock units will be amortized on a straight-line basis and is expected to be recognized over a weighted-average period of 2.0 years.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Company issued no shares under the 2000 Employee Stock Purchase Plan, as amended and restated on October 31, 2011 (the “Restated Purchase Plan”) in the three months ended April 28, 2012 and April 30, 2011. As of April 28, 2012, there was $45.3 million of unrecognized compensation cost related to the Restated Purchase Plan.</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Company repurchased 14.6 million common shares for $223.2 million in cash during the three months ended April 28, 2012 and repurchased</w:t>
      </w:r>
    </w:p>
    <w:p>
      <w:pPr>
        <w:spacing w:after="0" w:line="38" w:lineRule="exact"/>
        <w:rPr>
          <w:sz w:val="20"/>
          <w:szCs w:val="20"/>
          <w:color w:val="auto"/>
        </w:rPr>
      </w:pPr>
    </w:p>
    <w:p>
      <w:pPr>
        <w:ind w:right="140"/>
        <w:spacing w:after="0" w:line="261" w:lineRule="auto"/>
        <w:rPr>
          <w:sz w:val="20"/>
          <w:szCs w:val="20"/>
          <w:color w:val="auto"/>
        </w:rPr>
      </w:pPr>
      <w:r>
        <w:rPr>
          <w:rFonts w:ascii="Arial" w:cs="Arial" w:eastAsia="Arial" w:hAnsi="Arial"/>
          <w:sz w:val="18"/>
          <w:szCs w:val="18"/>
          <w:color w:val="auto"/>
        </w:rPr>
        <w:t>50.3 million common shares for $803.5 million in cash during the three months ended April 30, 2011. The repurchased shares were retired immediately after the repurchases were completed.</w:t>
      </w:r>
    </w:p>
    <w:p>
      <w:pPr>
        <w:spacing w:after="0" w:line="138"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As of April 28, 2012, the Company had completed share repurchases totaling $1.7 billion under its share repurchase program, with $348.5 million remaining available for repurchase under the program.</w:t>
      </w:r>
    </w:p>
    <w:p>
      <w:pPr>
        <w:spacing w:after="0" w:line="132"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In May 2012, after the end of the three months ended April 28, 2012, the board of directors authorized an additional $500 million for a total $2.5 billion to be used to repurchase the Company’s common shares under the program. Subsequent to the end of the three months ended April 28, 2012 and through May 25, 2012, the Company repurchased an additional 10.0 million common shares for $130.1 million at an average price per share of $13.00, bringing its total repurchases under the repurchase program to $1.8 billion.</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 Program</w:t>
      </w:r>
    </w:p>
    <w:p>
      <w:pPr>
        <w:spacing w:after="0" w:line="90" w:lineRule="exact"/>
        <w:rPr>
          <w:sz w:val="20"/>
          <w:szCs w:val="20"/>
          <w:color w:val="auto"/>
        </w:rPr>
      </w:pPr>
    </w:p>
    <w:p>
      <w:pPr>
        <w:ind w:right="200" w:firstLine="456"/>
        <w:spacing w:after="0" w:line="255" w:lineRule="auto"/>
        <w:rPr>
          <w:sz w:val="20"/>
          <w:szCs w:val="20"/>
          <w:color w:val="auto"/>
        </w:rPr>
      </w:pPr>
      <w:r>
        <w:rPr>
          <w:rFonts w:ascii="Arial" w:cs="Arial" w:eastAsia="Arial" w:hAnsi="Arial"/>
          <w:sz w:val="18"/>
          <w:szCs w:val="18"/>
          <w:color w:val="auto"/>
        </w:rPr>
        <w:t>In May 2012, after the end of the three months ended April 28, 2012, the Company announced that it had declared the payment of its first quarterly dividend of $0.06 per share to be paid on July 11, 2012 to all shareholders of record as of June 21, 2012. The declared dividend will be paid from retained earnings. The Company intends to pay a regular quarterly cash dividend on its common shares subject to, among other things, the best interests of its shareholders, the Company’s results of operations, cash balances and future cash requirements, financial condition, statutory requirements of Bermuda law, and other factors that the board of directors may deem relevant.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Stock-Based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4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0" w:type="dxa"/>
            <w:vAlign w:val="bottom"/>
            <w:gridSpan w:val="5"/>
          </w:tcPr>
          <w:p>
            <w:pPr>
              <w:ind w:left="8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4440" w:type="dxa"/>
            <w:vAlign w:val="bottom"/>
          </w:tcPr>
          <w:p>
            <w:pPr>
              <w:spacing w:after="0"/>
              <w:rPr>
                <w:sz w:val="11"/>
                <w:szCs w:val="11"/>
                <w:color w:val="auto"/>
              </w:rPr>
            </w:pPr>
          </w:p>
        </w:tc>
        <w:tc>
          <w:tcPr>
            <w:tcW w:w="2540" w:type="dxa"/>
            <w:vAlign w:val="bottom"/>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4"/>
              </w:rPr>
              <w:t>April 28,</w:t>
            </w:r>
          </w:p>
        </w:tc>
        <w:tc>
          <w:tcPr>
            <w:tcW w:w="44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4"/>
              </w:rPr>
              <w:t>April 30,</w:t>
            </w:r>
          </w:p>
        </w:tc>
        <w:tc>
          <w:tcPr>
            <w:tcW w:w="100" w:type="dxa"/>
            <w:vAlign w:val="bottom"/>
          </w:tcPr>
          <w:p>
            <w:pPr>
              <w:spacing w:after="0"/>
              <w:rPr>
                <w:sz w:val="11"/>
                <w:szCs w:val="11"/>
                <w:color w:val="auto"/>
              </w:rPr>
            </w:pPr>
          </w:p>
        </w:tc>
      </w:tr>
      <w:tr>
        <w:trPr>
          <w:trHeight w:val="161"/>
        </w:trPr>
        <w:tc>
          <w:tcPr>
            <w:tcW w:w="4440" w:type="dxa"/>
            <w:vAlign w:val="bottom"/>
            <w:tcBorders>
              <w:bottom w:val="single" w:sz="8" w:color="CCEEFF"/>
            </w:tcBorders>
          </w:tcPr>
          <w:p>
            <w:pPr>
              <w:spacing w:after="0"/>
              <w:rPr>
                <w:sz w:val="14"/>
                <w:szCs w:val="14"/>
                <w:color w:val="auto"/>
              </w:rPr>
            </w:pPr>
          </w:p>
        </w:tc>
        <w:tc>
          <w:tcPr>
            <w:tcW w:w="25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w w:val="96"/>
              </w:rPr>
              <w:t>2012</w:t>
            </w:r>
          </w:p>
        </w:tc>
        <w:tc>
          <w:tcPr>
            <w:tcW w:w="4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r>
      <w:tr>
        <w:trPr>
          <w:trHeight w:val="210"/>
        </w:trPr>
        <w:tc>
          <w:tcPr>
            <w:tcW w:w="44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2,123</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1,695</w:t>
            </w:r>
          </w:p>
        </w:tc>
        <w:tc>
          <w:tcPr>
            <w:tcW w:w="100" w:type="dxa"/>
            <w:vAlign w:val="bottom"/>
            <w:shd w:val="clear" w:color="auto" w:fill="CCEEFF"/>
          </w:tcPr>
          <w:p>
            <w:pPr>
              <w:spacing w:after="0"/>
              <w:rPr>
                <w:sz w:val="18"/>
                <w:szCs w:val="18"/>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17,174</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19,593</w:t>
            </w:r>
          </w:p>
        </w:tc>
        <w:tc>
          <w:tcPr>
            <w:tcW w:w="100" w:type="dxa"/>
            <w:vAlign w:val="bottom"/>
          </w:tcPr>
          <w:p>
            <w:pPr>
              <w:spacing w:after="0"/>
              <w:rPr>
                <w:sz w:val="18"/>
                <w:szCs w:val="18"/>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3,036</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2,654</w:t>
            </w:r>
          </w:p>
        </w:tc>
        <w:tc>
          <w:tcPr>
            <w:tcW w:w="100" w:type="dxa"/>
            <w:vAlign w:val="bottom"/>
            <w:shd w:val="clear" w:color="auto" w:fill="CCEEFF"/>
          </w:tcPr>
          <w:p>
            <w:pPr>
              <w:spacing w:after="0"/>
              <w:rPr>
                <w:sz w:val="18"/>
                <w:szCs w:val="18"/>
                <w:color w:val="auto"/>
              </w:rPr>
            </w:pPr>
          </w:p>
        </w:tc>
      </w:tr>
      <w:tr>
        <w:trPr>
          <w:trHeight w:val="223"/>
        </w:trPr>
        <w:tc>
          <w:tcPr>
            <w:tcW w:w="44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4,859</w:t>
            </w:r>
          </w:p>
        </w:tc>
        <w:tc>
          <w:tcPr>
            <w:tcW w:w="4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3,538</w:t>
            </w:r>
          </w:p>
        </w:tc>
        <w:tc>
          <w:tcPr>
            <w:tcW w:w="100" w:type="dxa"/>
            <w:vAlign w:val="bottom"/>
          </w:tcPr>
          <w:p>
            <w:pPr>
              <w:spacing w:after="0"/>
              <w:rPr>
                <w:sz w:val="19"/>
                <w:szCs w:val="19"/>
                <w:color w:val="auto"/>
              </w:rPr>
            </w:pPr>
          </w:p>
        </w:tc>
      </w:tr>
      <w:tr>
        <w:trPr>
          <w:trHeight w:val="216"/>
        </w:trPr>
        <w:tc>
          <w:tcPr>
            <w:tcW w:w="4440" w:type="dxa"/>
            <w:vAlign w:val="bottom"/>
            <w:shd w:val="clear" w:color="auto" w:fill="CCEEFF"/>
          </w:tcPr>
          <w:p>
            <w:pPr>
              <w:spacing w:after="0"/>
              <w:rPr>
                <w:sz w:val="18"/>
                <w:szCs w:val="18"/>
                <w:color w:val="auto"/>
              </w:rPr>
            </w:pPr>
          </w:p>
        </w:tc>
        <w:tc>
          <w:tcPr>
            <w:tcW w:w="26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27,192</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27,480</w:t>
            </w:r>
          </w:p>
        </w:tc>
        <w:tc>
          <w:tcPr>
            <w:tcW w:w="100" w:type="dxa"/>
            <w:vAlign w:val="bottom"/>
            <w:shd w:val="clear" w:color="auto" w:fill="CCEEFF"/>
          </w:tcPr>
          <w:p>
            <w:pPr>
              <w:spacing w:after="0"/>
              <w:rPr>
                <w:sz w:val="18"/>
                <w:szCs w:val="18"/>
                <w:color w:val="auto"/>
              </w:rPr>
            </w:pPr>
          </w:p>
        </w:tc>
      </w:tr>
      <w:tr>
        <w:trPr>
          <w:trHeight w:val="20"/>
        </w:trPr>
        <w:tc>
          <w:tcPr>
            <w:tcW w:w="444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Stock-based compensation of $1.5 million and $2.1 million were capitalized in inventory as of April 28, 2012 and January 28, 2012.</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following weighted average assumptions were used for each respective period to calculate the fair value of each time-based equity award on the date of grant using the Black-Scholes option pricing model and of each market-based equity award using a Monte Carlo simulation model:</w:t>
      </w:r>
    </w:p>
    <w:p>
      <w:pPr>
        <w:spacing w:after="0" w:line="12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22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420" w:type="dxa"/>
            <w:vAlign w:val="bottom"/>
            <w:tcBorders>
              <w:bottom w:val="single" w:sz="8" w:color="auto"/>
            </w:tcBorders>
            <w:gridSpan w:val="3"/>
          </w:tcPr>
          <w:p>
            <w:pPr>
              <w:jc w:val="right"/>
              <w:ind w:right="92"/>
              <w:spacing w:after="0"/>
              <w:rPr>
                <w:sz w:val="20"/>
                <w:szCs w:val="20"/>
                <w:color w:val="auto"/>
              </w:rPr>
            </w:pPr>
            <w:r>
              <w:rPr>
                <w:rFonts w:ascii="Arial" w:cs="Arial" w:eastAsia="Arial" w:hAnsi="Arial"/>
                <w:sz w:val="14"/>
                <w:szCs w:val="14"/>
                <w:b w:val="1"/>
                <w:bCs w:val="1"/>
                <w:color w:val="auto"/>
                <w:w w:val="89"/>
              </w:rPr>
              <w:t>Three Months Ended</w:t>
            </w:r>
          </w:p>
        </w:tc>
        <w:tc>
          <w:tcPr>
            <w:tcW w:w="4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3220" w:type="dxa"/>
            <w:vAlign w:val="bottom"/>
          </w:tcPr>
          <w:p>
            <w:pPr>
              <w:spacing w:after="0"/>
              <w:rPr>
                <w:sz w:val="11"/>
                <w:szCs w:val="11"/>
                <w:color w:val="auto"/>
              </w:rPr>
            </w:pPr>
          </w:p>
        </w:tc>
        <w:tc>
          <w:tcPr>
            <w:tcW w:w="2940" w:type="dxa"/>
            <w:vAlign w:val="bottom"/>
          </w:tcPr>
          <w:p>
            <w:pPr>
              <w:spacing w:after="0"/>
              <w:rPr>
                <w:sz w:val="11"/>
                <w:szCs w:val="11"/>
                <w:color w:val="auto"/>
              </w:rPr>
            </w:pPr>
          </w:p>
        </w:tc>
        <w:tc>
          <w:tcPr>
            <w:tcW w:w="10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April 28,</w:t>
            </w:r>
          </w:p>
        </w:tc>
        <w:tc>
          <w:tcPr>
            <w:tcW w:w="380" w:type="dxa"/>
            <w:vAlign w:val="bottom"/>
          </w:tcPr>
          <w:p>
            <w:pPr>
              <w:spacing w:after="0"/>
              <w:rPr>
                <w:sz w:val="11"/>
                <w:szCs w:val="11"/>
                <w:color w:val="auto"/>
              </w:rPr>
            </w:pPr>
          </w:p>
        </w:tc>
        <w:tc>
          <w:tcPr>
            <w:tcW w:w="920" w:type="dxa"/>
            <w:vAlign w:val="bottom"/>
            <w:gridSpan w:val="2"/>
          </w:tcPr>
          <w:p>
            <w:pPr>
              <w:jc w:val="right"/>
              <w:ind w:right="135"/>
              <w:spacing w:after="0" w:line="129" w:lineRule="exact"/>
              <w:rPr>
                <w:sz w:val="20"/>
                <w:szCs w:val="20"/>
                <w:color w:val="auto"/>
              </w:rPr>
            </w:pPr>
            <w:r>
              <w:rPr>
                <w:rFonts w:ascii="Arial" w:cs="Arial" w:eastAsia="Arial" w:hAnsi="Arial"/>
                <w:sz w:val="14"/>
                <w:szCs w:val="14"/>
                <w:b w:val="1"/>
                <w:bCs w:val="1"/>
                <w:color w:val="auto"/>
              </w:rPr>
              <w:t>April 30,</w:t>
            </w:r>
          </w:p>
        </w:tc>
        <w:tc>
          <w:tcPr>
            <w:tcW w:w="200" w:type="dxa"/>
            <w:vAlign w:val="bottom"/>
          </w:tcPr>
          <w:p>
            <w:pPr>
              <w:spacing w:after="0"/>
              <w:rPr>
                <w:sz w:val="11"/>
                <w:szCs w:val="11"/>
                <w:color w:val="auto"/>
              </w:rPr>
            </w:pPr>
          </w:p>
        </w:tc>
      </w:tr>
      <w:tr>
        <w:trPr>
          <w:trHeight w:val="161"/>
        </w:trPr>
        <w:tc>
          <w:tcPr>
            <w:tcW w:w="322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20" w:type="dxa"/>
            <w:vAlign w:val="bottom"/>
          </w:tcPr>
          <w:p>
            <w:pPr>
              <w:jc w:val="right"/>
              <w:ind w:right="37"/>
              <w:spacing w:after="0"/>
              <w:rPr>
                <w:sz w:val="20"/>
                <w:szCs w:val="20"/>
                <w:color w:val="auto"/>
              </w:rPr>
            </w:pPr>
            <w:r>
              <w:rPr>
                <w:rFonts w:ascii="Arial" w:cs="Arial" w:eastAsia="Arial" w:hAnsi="Arial"/>
                <w:sz w:val="14"/>
                <w:szCs w:val="14"/>
                <w:b w:val="1"/>
                <w:bCs w:val="1"/>
                <w:color w:val="auto"/>
                <w:w w:val="89"/>
              </w:rPr>
              <w:t>2012</w:t>
            </w:r>
          </w:p>
        </w:tc>
        <w:tc>
          <w:tcPr>
            <w:tcW w:w="520" w:type="dxa"/>
            <w:vAlign w:val="bottom"/>
          </w:tcPr>
          <w:p>
            <w:pPr>
              <w:spacing w:after="0"/>
              <w:rPr>
                <w:sz w:val="14"/>
                <w:szCs w:val="14"/>
                <w:color w:val="auto"/>
              </w:rPr>
            </w:pPr>
          </w:p>
        </w:tc>
        <w:tc>
          <w:tcPr>
            <w:tcW w:w="1300" w:type="dxa"/>
            <w:vAlign w:val="bottom"/>
            <w:gridSpan w:val="3"/>
          </w:tcPr>
          <w:p>
            <w:pPr>
              <w:jc w:val="right"/>
              <w:ind w:right="255"/>
              <w:spacing w:after="0"/>
              <w:rPr>
                <w:sz w:val="20"/>
                <w:szCs w:val="20"/>
                <w:color w:val="auto"/>
              </w:rPr>
            </w:pPr>
            <w:r>
              <w:rPr>
                <w:rFonts w:ascii="Arial" w:cs="Arial" w:eastAsia="Arial" w:hAnsi="Arial"/>
                <w:sz w:val="14"/>
                <w:szCs w:val="14"/>
                <w:b w:val="1"/>
                <w:bCs w:val="1"/>
                <w:color w:val="auto"/>
              </w:rPr>
              <w:t>2011</w:t>
            </w:r>
          </w:p>
        </w:tc>
        <w:tc>
          <w:tcPr>
            <w:tcW w:w="200" w:type="dxa"/>
            <w:vAlign w:val="bottom"/>
          </w:tcPr>
          <w:p>
            <w:pPr>
              <w:spacing w:after="0"/>
              <w:rPr>
                <w:sz w:val="14"/>
                <w:szCs w:val="14"/>
                <w:color w:val="auto"/>
              </w:rPr>
            </w:pPr>
          </w:p>
        </w:tc>
      </w:tr>
      <w:tr>
        <w:trPr>
          <w:trHeight w:val="196"/>
        </w:trPr>
        <w:tc>
          <w:tcPr>
            <w:tcW w:w="32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29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3020" w:type="dxa"/>
            <w:vAlign w:val="bottom"/>
            <w:gridSpan w:val="2"/>
          </w:tcPr>
          <w:p>
            <w:pPr>
              <w:ind w:left="2920"/>
              <w:spacing w:after="0"/>
              <w:rPr>
                <w:sz w:val="20"/>
                <w:szCs w:val="20"/>
                <w:color w:val="auto"/>
              </w:rPr>
            </w:pPr>
            <w:r>
              <w:rPr>
                <w:rFonts w:ascii="Arial" w:cs="Arial" w:eastAsia="Arial" w:hAnsi="Arial"/>
                <w:sz w:val="18"/>
                <w:szCs w:val="18"/>
                <w:color w:val="auto"/>
                <w:w w:val="79"/>
              </w:rPr>
              <w:t>$</w:t>
            </w:r>
          </w:p>
        </w:tc>
        <w:tc>
          <w:tcPr>
            <w:tcW w:w="420" w:type="dxa"/>
            <w:vAlign w:val="bottom"/>
          </w:tcPr>
          <w:p>
            <w:pPr>
              <w:jc w:val="right"/>
              <w:spacing w:after="0"/>
              <w:rPr>
                <w:sz w:val="20"/>
                <w:szCs w:val="20"/>
                <w:color w:val="auto"/>
              </w:rPr>
            </w:pPr>
            <w:r>
              <w:rPr>
                <w:rFonts w:ascii="Arial" w:cs="Arial" w:eastAsia="Arial" w:hAnsi="Arial"/>
                <w:sz w:val="18"/>
                <w:szCs w:val="18"/>
                <w:color w:val="auto"/>
              </w:rPr>
              <w:t>5.84</w:t>
            </w:r>
          </w:p>
        </w:tc>
        <w:tc>
          <w:tcPr>
            <w:tcW w:w="520" w:type="dxa"/>
            <w:vAlign w:val="bottom"/>
          </w:tcPr>
          <w:p>
            <w:pPr>
              <w:spacing w:after="0"/>
              <w:rPr>
                <w:sz w:val="18"/>
                <w:szCs w:val="18"/>
                <w:color w:val="auto"/>
              </w:rPr>
            </w:pPr>
          </w:p>
        </w:tc>
        <w:tc>
          <w:tcPr>
            <w:tcW w:w="900" w:type="dxa"/>
            <w:vAlign w:val="bottom"/>
            <w:gridSpan w:val="2"/>
          </w:tcPr>
          <w:p>
            <w:pPr>
              <w:jc w:val="right"/>
              <w:ind w:right="372"/>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6.06</w:t>
            </w:r>
          </w:p>
        </w:tc>
        <w:tc>
          <w:tcPr>
            <w:tcW w:w="200" w:type="dxa"/>
            <w:vAlign w:val="bottom"/>
          </w:tcPr>
          <w:p>
            <w:pPr>
              <w:spacing w:after="0"/>
              <w:rPr>
                <w:sz w:val="18"/>
                <w:szCs w:val="18"/>
                <w:color w:val="auto"/>
              </w:rPr>
            </w:pPr>
          </w:p>
        </w:tc>
      </w:tr>
      <w:tr>
        <w:trPr>
          <w:trHeight w:val="216"/>
        </w:trPr>
        <w:tc>
          <w:tcPr>
            <w:tcW w:w="322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2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12"/>
              <w:spacing w:after="0"/>
              <w:rPr>
                <w:sz w:val="20"/>
                <w:szCs w:val="20"/>
                <w:color w:val="auto"/>
              </w:rPr>
            </w:pPr>
            <w:r>
              <w:rPr>
                <w:rFonts w:ascii="Arial" w:cs="Arial" w:eastAsia="Arial" w:hAnsi="Arial"/>
                <w:sz w:val="18"/>
                <w:szCs w:val="18"/>
                <w:color w:val="auto"/>
              </w:rPr>
              <w:t>44%</w:t>
            </w:r>
          </w:p>
        </w:tc>
        <w:tc>
          <w:tcPr>
            <w:tcW w:w="3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42%</w:t>
            </w: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rPr>
              <w:t>Expected term (in years)</w:t>
            </w:r>
          </w:p>
        </w:tc>
        <w:tc>
          <w:tcPr>
            <w:tcW w:w="2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4.8</w:t>
            </w:r>
          </w:p>
        </w:tc>
        <w:tc>
          <w:tcPr>
            <w:tcW w:w="5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4.8</w:t>
            </w:r>
          </w:p>
        </w:tc>
        <w:tc>
          <w:tcPr>
            <w:tcW w:w="200" w:type="dxa"/>
            <w:vAlign w:val="bottom"/>
          </w:tcPr>
          <w:p>
            <w:pPr>
              <w:spacing w:after="0"/>
              <w:rPr>
                <w:sz w:val="18"/>
                <w:szCs w:val="18"/>
                <w:color w:val="auto"/>
              </w:rPr>
            </w:pPr>
          </w:p>
        </w:tc>
      </w:tr>
      <w:tr>
        <w:trPr>
          <w:trHeight w:val="216"/>
        </w:trPr>
        <w:tc>
          <w:tcPr>
            <w:tcW w:w="322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2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12"/>
              <w:spacing w:after="0"/>
              <w:rPr>
                <w:sz w:val="20"/>
                <w:szCs w:val="20"/>
                <w:color w:val="auto"/>
              </w:rPr>
            </w:pPr>
            <w:r>
              <w:rPr>
                <w:rFonts w:ascii="Arial" w:cs="Arial" w:eastAsia="Arial" w:hAnsi="Arial"/>
                <w:sz w:val="18"/>
                <w:szCs w:val="18"/>
                <w:color w:val="auto"/>
              </w:rPr>
              <w:t>0.9%</w:t>
            </w:r>
          </w:p>
        </w:tc>
        <w:tc>
          <w:tcPr>
            <w:tcW w:w="3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2.2%</w:t>
            </w:r>
          </w:p>
        </w:tc>
      </w:tr>
      <w:tr>
        <w:trPr>
          <w:trHeight w:val="365"/>
        </w:trPr>
        <w:tc>
          <w:tcPr>
            <w:tcW w:w="3220" w:type="dxa"/>
            <w:vAlign w:val="bottom"/>
          </w:tcPr>
          <w:p>
            <w:pPr>
              <w:spacing w:after="0"/>
              <w:rPr>
                <w:sz w:val="24"/>
                <w:szCs w:val="24"/>
                <w:color w:val="auto"/>
              </w:rPr>
            </w:pPr>
          </w:p>
        </w:tc>
        <w:tc>
          <w:tcPr>
            <w:tcW w:w="294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1420" w:type="dxa"/>
            <w:vAlign w:val="bottom"/>
            <w:tcBorders>
              <w:bottom w:val="single" w:sz="8" w:color="auto"/>
            </w:tcBorders>
            <w:gridSpan w:val="3"/>
          </w:tcPr>
          <w:p>
            <w:pPr>
              <w:jc w:val="right"/>
              <w:ind w:right="92"/>
              <w:spacing w:after="0"/>
              <w:rPr>
                <w:sz w:val="20"/>
                <w:szCs w:val="20"/>
                <w:color w:val="auto"/>
              </w:rPr>
            </w:pPr>
            <w:r>
              <w:rPr>
                <w:rFonts w:ascii="Arial" w:cs="Arial" w:eastAsia="Arial" w:hAnsi="Arial"/>
                <w:sz w:val="14"/>
                <w:szCs w:val="14"/>
                <w:b w:val="1"/>
                <w:bCs w:val="1"/>
                <w:color w:val="auto"/>
                <w:w w:val="89"/>
              </w:rPr>
              <w:t>Three Months Ended</w:t>
            </w:r>
          </w:p>
        </w:tc>
        <w:tc>
          <w:tcPr>
            <w:tcW w:w="400" w:type="dxa"/>
            <w:vAlign w:val="bottom"/>
            <w:tcBorders>
              <w:bottom w:val="single" w:sz="8" w:color="auto"/>
            </w:tcBorders>
          </w:tcPr>
          <w:p>
            <w:pPr>
              <w:spacing w:after="0"/>
              <w:rPr>
                <w:sz w:val="24"/>
                <w:szCs w:val="24"/>
                <w:color w:val="auto"/>
              </w:rPr>
            </w:pPr>
          </w:p>
        </w:tc>
        <w:tc>
          <w:tcPr>
            <w:tcW w:w="200" w:type="dxa"/>
            <w:vAlign w:val="bottom"/>
          </w:tcPr>
          <w:p>
            <w:pPr>
              <w:spacing w:after="0"/>
              <w:rPr>
                <w:sz w:val="24"/>
                <w:szCs w:val="24"/>
                <w:color w:val="auto"/>
              </w:rPr>
            </w:pPr>
          </w:p>
        </w:tc>
      </w:tr>
      <w:tr>
        <w:trPr>
          <w:trHeight w:val="129"/>
        </w:trPr>
        <w:tc>
          <w:tcPr>
            <w:tcW w:w="3220" w:type="dxa"/>
            <w:vAlign w:val="bottom"/>
          </w:tcPr>
          <w:p>
            <w:pPr>
              <w:spacing w:after="0"/>
              <w:rPr>
                <w:sz w:val="11"/>
                <w:szCs w:val="11"/>
                <w:color w:val="auto"/>
              </w:rPr>
            </w:pPr>
          </w:p>
        </w:tc>
        <w:tc>
          <w:tcPr>
            <w:tcW w:w="2940" w:type="dxa"/>
            <w:vAlign w:val="bottom"/>
          </w:tcPr>
          <w:p>
            <w:pPr>
              <w:spacing w:after="0"/>
              <w:rPr>
                <w:sz w:val="11"/>
                <w:szCs w:val="11"/>
                <w:color w:val="auto"/>
              </w:rPr>
            </w:pPr>
          </w:p>
        </w:tc>
        <w:tc>
          <w:tcPr>
            <w:tcW w:w="10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April 28,</w:t>
            </w:r>
          </w:p>
        </w:tc>
        <w:tc>
          <w:tcPr>
            <w:tcW w:w="380" w:type="dxa"/>
            <w:vAlign w:val="bottom"/>
          </w:tcPr>
          <w:p>
            <w:pPr>
              <w:spacing w:after="0"/>
              <w:rPr>
                <w:sz w:val="11"/>
                <w:szCs w:val="11"/>
                <w:color w:val="auto"/>
              </w:rPr>
            </w:pPr>
          </w:p>
        </w:tc>
        <w:tc>
          <w:tcPr>
            <w:tcW w:w="520" w:type="dxa"/>
            <w:vAlign w:val="bottom"/>
          </w:tcPr>
          <w:p>
            <w:pPr>
              <w:jc w:val="right"/>
              <w:spacing w:after="0" w:line="129" w:lineRule="exact"/>
              <w:rPr>
                <w:sz w:val="20"/>
                <w:szCs w:val="20"/>
                <w:color w:val="auto"/>
              </w:rPr>
            </w:pPr>
            <w:r>
              <w:rPr>
                <w:rFonts w:ascii="Arial" w:cs="Arial" w:eastAsia="Arial" w:hAnsi="Arial"/>
                <w:sz w:val="14"/>
                <w:szCs w:val="14"/>
                <w:b w:val="1"/>
                <w:bCs w:val="1"/>
                <w:color w:val="auto"/>
              </w:rPr>
              <w:t>April</w:t>
            </w:r>
          </w:p>
        </w:tc>
        <w:tc>
          <w:tcPr>
            <w:tcW w:w="400" w:type="dxa"/>
            <w:vAlign w:val="bottom"/>
          </w:tcPr>
          <w:p>
            <w:pPr>
              <w:jc w:val="right"/>
              <w:ind w:right="115"/>
              <w:spacing w:after="0" w:line="129" w:lineRule="exact"/>
              <w:rPr>
                <w:sz w:val="20"/>
                <w:szCs w:val="20"/>
                <w:color w:val="auto"/>
              </w:rPr>
            </w:pPr>
            <w:r>
              <w:rPr>
                <w:rFonts w:ascii="Arial" w:cs="Arial" w:eastAsia="Arial" w:hAnsi="Arial"/>
                <w:sz w:val="14"/>
                <w:szCs w:val="14"/>
                <w:b w:val="1"/>
                <w:bCs w:val="1"/>
                <w:color w:val="auto"/>
                <w:w w:val="92"/>
              </w:rPr>
              <w:t>30,</w:t>
            </w:r>
          </w:p>
        </w:tc>
        <w:tc>
          <w:tcPr>
            <w:tcW w:w="200" w:type="dxa"/>
            <w:vAlign w:val="bottom"/>
          </w:tcPr>
          <w:p>
            <w:pPr>
              <w:spacing w:after="0"/>
              <w:rPr>
                <w:sz w:val="11"/>
                <w:szCs w:val="11"/>
                <w:color w:val="auto"/>
              </w:rPr>
            </w:pPr>
          </w:p>
        </w:tc>
      </w:tr>
      <w:tr>
        <w:trPr>
          <w:trHeight w:val="161"/>
        </w:trPr>
        <w:tc>
          <w:tcPr>
            <w:tcW w:w="322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20" w:type="dxa"/>
            <w:vAlign w:val="bottom"/>
          </w:tcPr>
          <w:p>
            <w:pPr>
              <w:jc w:val="right"/>
              <w:ind w:right="37"/>
              <w:spacing w:after="0"/>
              <w:rPr>
                <w:sz w:val="20"/>
                <w:szCs w:val="20"/>
                <w:color w:val="auto"/>
              </w:rPr>
            </w:pPr>
            <w:r>
              <w:rPr>
                <w:rFonts w:ascii="Arial" w:cs="Arial" w:eastAsia="Arial" w:hAnsi="Arial"/>
                <w:sz w:val="14"/>
                <w:szCs w:val="14"/>
                <w:b w:val="1"/>
                <w:bCs w:val="1"/>
                <w:color w:val="auto"/>
                <w:w w:val="89"/>
              </w:rPr>
              <w:t>2012</w:t>
            </w:r>
          </w:p>
        </w:tc>
        <w:tc>
          <w:tcPr>
            <w:tcW w:w="520" w:type="dxa"/>
            <w:vAlign w:val="bottom"/>
          </w:tcPr>
          <w:p>
            <w:pPr>
              <w:spacing w:after="0"/>
              <w:rPr>
                <w:sz w:val="14"/>
                <w:szCs w:val="14"/>
                <w:color w:val="auto"/>
              </w:rPr>
            </w:pPr>
          </w:p>
        </w:tc>
        <w:tc>
          <w:tcPr>
            <w:tcW w:w="1300" w:type="dxa"/>
            <w:vAlign w:val="bottom"/>
            <w:gridSpan w:val="3"/>
          </w:tcPr>
          <w:p>
            <w:pPr>
              <w:jc w:val="right"/>
              <w:ind w:right="255"/>
              <w:spacing w:after="0"/>
              <w:rPr>
                <w:sz w:val="20"/>
                <w:szCs w:val="20"/>
                <w:color w:val="auto"/>
              </w:rPr>
            </w:pPr>
            <w:r>
              <w:rPr>
                <w:rFonts w:ascii="Arial" w:cs="Arial" w:eastAsia="Arial" w:hAnsi="Arial"/>
                <w:sz w:val="14"/>
                <w:szCs w:val="14"/>
                <w:b w:val="1"/>
                <w:bCs w:val="1"/>
                <w:color w:val="auto"/>
              </w:rPr>
              <w:t>2011</w:t>
            </w:r>
          </w:p>
        </w:tc>
        <w:tc>
          <w:tcPr>
            <w:tcW w:w="200" w:type="dxa"/>
            <w:vAlign w:val="bottom"/>
          </w:tcPr>
          <w:p>
            <w:pPr>
              <w:spacing w:after="0"/>
              <w:rPr>
                <w:sz w:val="14"/>
                <w:szCs w:val="14"/>
                <w:color w:val="auto"/>
              </w:rPr>
            </w:pPr>
          </w:p>
        </w:tc>
      </w:tr>
      <w:tr>
        <w:trPr>
          <w:trHeight w:val="196"/>
        </w:trPr>
        <w:tc>
          <w:tcPr>
            <w:tcW w:w="32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Market-based Stock Options:</w:t>
            </w:r>
          </w:p>
        </w:tc>
        <w:tc>
          <w:tcPr>
            <w:tcW w:w="29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3020" w:type="dxa"/>
            <w:vAlign w:val="bottom"/>
            <w:gridSpan w:val="2"/>
          </w:tcPr>
          <w:p>
            <w:pPr>
              <w:ind w:left="2920"/>
              <w:spacing w:after="0"/>
              <w:rPr>
                <w:sz w:val="20"/>
                <w:szCs w:val="20"/>
                <w:color w:val="auto"/>
              </w:rPr>
            </w:pPr>
            <w:r>
              <w:rPr>
                <w:rFonts w:ascii="Arial" w:cs="Arial" w:eastAsia="Arial" w:hAnsi="Arial"/>
                <w:sz w:val="18"/>
                <w:szCs w:val="18"/>
                <w:color w:val="auto"/>
                <w:w w:val="79"/>
              </w:rPr>
              <w:t>$</w:t>
            </w:r>
          </w:p>
        </w:tc>
        <w:tc>
          <w:tcPr>
            <w:tcW w:w="940" w:type="dxa"/>
            <w:vAlign w:val="bottom"/>
            <w:gridSpan w:val="2"/>
          </w:tcPr>
          <w:p>
            <w:pPr>
              <w:jc w:val="right"/>
              <w:ind w:right="552"/>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372"/>
              <w:spacing w:after="0"/>
              <w:rPr>
                <w:sz w:val="20"/>
                <w:szCs w:val="20"/>
                <w:color w:val="auto"/>
              </w:rPr>
            </w:pPr>
            <w:r>
              <w:rPr>
                <w:rFonts w:ascii="Arial" w:cs="Arial" w:eastAsia="Arial" w:hAnsi="Arial"/>
                <w:sz w:val="18"/>
                <w:szCs w:val="18"/>
                <w:color w:val="auto"/>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5.08</w:t>
            </w:r>
          </w:p>
        </w:tc>
        <w:tc>
          <w:tcPr>
            <w:tcW w:w="200" w:type="dxa"/>
            <w:vAlign w:val="bottom"/>
          </w:tcPr>
          <w:p>
            <w:pPr>
              <w:spacing w:after="0"/>
              <w:rPr>
                <w:sz w:val="18"/>
                <w:szCs w:val="18"/>
                <w:color w:val="auto"/>
              </w:rPr>
            </w:pPr>
          </w:p>
        </w:tc>
      </w:tr>
      <w:tr>
        <w:trPr>
          <w:trHeight w:val="216"/>
        </w:trPr>
        <w:tc>
          <w:tcPr>
            <w:tcW w:w="322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2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12"/>
              <w:spacing w:after="0"/>
              <w:rPr>
                <w:sz w:val="20"/>
                <w:szCs w:val="20"/>
                <w:color w:val="auto"/>
              </w:rPr>
            </w:pPr>
            <w:r>
              <w:rPr>
                <w:rFonts w:ascii="Arial" w:cs="Arial" w:eastAsia="Arial" w:hAnsi="Arial"/>
                <w:sz w:val="18"/>
                <w:szCs w:val="18"/>
                <w:color w:val="auto"/>
              </w:rPr>
              <w:t>— %</w:t>
            </w:r>
          </w:p>
        </w:tc>
        <w:tc>
          <w:tcPr>
            <w:tcW w:w="3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42%</w:t>
            </w:r>
          </w:p>
        </w:tc>
      </w:tr>
      <w:tr>
        <w:trPr>
          <w:trHeight w:val="222"/>
        </w:trPr>
        <w:tc>
          <w:tcPr>
            <w:tcW w:w="3220" w:type="dxa"/>
            <w:vAlign w:val="bottom"/>
          </w:tcPr>
          <w:p>
            <w:pPr>
              <w:spacing w:after="0"/>
              <w:rPr>
                <w:sz w:val="20"/>
                <w:szCs w:val="20"/>
                <w:color w:val="auto"/>
              </w:rPr>
            </w:pPr>
            <w:r>
              <w:rPr>
                <w:rFonts w:ascii="Arial" w:cs="Arial" w:eastAsia="Arial" w:hAnsi="Arial"/>
                <w:sz w:val="18"/>
                <w:szCs w:val="18"/>
                <w:color w:val="auto"/>
              </w:rPr>
              <w:t>Risk-free interest rate</w:t>
            </w:r>
          </w:p>
        </w:tc>
        <w:tc>
          <w:tcPr>
            <w:tcW w:w="29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940" w:type="dxa"/>
            <w:vAlign w:val="bottom"/>
            <w:gridSpan w:val="2"/>
          </w:tcPr>
          <w:p>
            <w:pPr>
              <w:jc w:val="right"/>
              <w:ind w:right="312"/>
              <w:spacing w:after="0"/>
              <w:rPr>
                <w:sz w:val="20"/>
                <w:szCs w:val="20"/>
                <w:color w:val="auto"/>
              </w:rPr>
            </w:pPr>
            <w:r>
              <w:rPr>
                <w:rFonts w:ascii="Arial" w:cs="Arial" w:eastAsia="Arial" w:hAnsi="Arial"/>
                <w:sz w:val="18"/>
                <w:szCs w:val="18"/>
                <w:color w:val="auto"/>
              </w:rPr>
              <w:t>— %</w:t>
            </w:r>
          </w:p>
        </w:tc>
        <w:tc>
          <w:tcPr>
            <w:tcW w:w="1500" w:type="dxa"/>
            <w:vAlign w:val="bottom"/>
            <w:gridSpan w:val="4"/>
          </w:tcPr>
          <w:p>
            <w:pPr>
              <w:jc w:val="right"/>
              <w:ind w:right="60"/>
              <w:spacing w:after="0"/>
              <w:rPr>
                <w:sz w:val="20"/>
                <w:szCs w:val="20"/>
                <w:color w:val="auto"/>
              </w:rPr>
            </w:pPr>
            <w:r>
              <w:rPr>
                <w:rFonts w:ascii="Arial" w:cs="Arial" w:eastAsia="Arial" w:hAnsi="Arial"/>
                <w:sz w:val="18"/>
                <w:szCs w:val="18"/>
                <w:color w:val="auto"/>
              </w:rPr>
              <w:t>0.85 - 3.59 %</w:t>
            </w:r>
          </w:p>
        </w:tc>
      </w:tr>
      <w:tr>
        <w:trPr>
          <w:trHeight w:val="356"/>
        </w:trPr>
        <w:tc>
          <w:tcPr>
            <w:tcW w:w="3220" w:type="dxa"/>
            <w:vAlign w:val="bottom"/>
          </w:tcPr>
          <w:p>
            <w:pPr>
              <w:spacing w:after="0"/>
              <w:rPr>
                <w:sz w:val="24"/>
                <w:szCs w:val="24"/>
                <w:color w:val="auto"/>
              </w:rPr>
            </w:pPr>
          </w:p>
        </w:tc>
        <w:tc>
          <w:tcPr>
            <w:tcW w:w="2940" w:type="dxa"/>
            <w:vAlign w:val="bottom"/>
          </w:tcPr>
          <w:p>
            <w:pPr>
              <w:jc w:val="right"/>
              <w:ind w:right="1652"/>
              <w:spacing w:after="0"/>
              <w:rPr>
                <w:sz w:val="20"/>
                <w:szCs w:val="20"/>
                <w:color w:val="auto"/>
              </w:rPr>
            </w:pPr>
            <w:r>
              <w:rPr>
                <w:rFonts w:ascii="Arial" w:cs="Arial" w:eastAsia="Arial" w:hAnsi="Arial"/>
                <w:sz w:val="18"/>
                <w:szCs w:val="18"/>
                <w:color w:val="auto"/>
              </w:rPr>
              <w:t>19</w:t>
            </w: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fair value of each market-based stock option award is estimated on the date of grant using a Monte Carlo simulation model that uses the assumptions noted in the above table, including the same volatility applied to the Company’s time-based options. Because a Monte Carlo simulation model incorporates ranges of assumptions for inputs, those ranges are disclosed where applicable. The Company uses historical data to estimate employee termination within the valuation model. The expected term of 2.66 years for market-based stock options granted during the three months ended April 30, 2011 was derived from the output of the valuation model and represents the period of time that options granted are expected to be outstanding. There were no market-based stock options granted during the three months ended April 28, 2012.</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45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spacing w:after="0" w:line="283"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“believes,” “seeks,” “estimates,” “can,” and similar expressions identify such forward-looking statements. We make a number of forward-looking statements that relate to future periods and include statements relating to our anticipation that the rate of new orders and shipments may vary significantly from quarter to quarter; our expectations regarding industry trends; our expectations regarding the impact of the flooding in Thailand; our expectations regarding our inventory levels; our expectations regarding the amount of our future sales in Asia; our expectations regarding TD handset growth in China; our expectations regarding competition; our expectations relating to the protection of our intellectual property; our expectations regarding the amount of customer concentration in the future; our plans and expectations regarding our auction rate securities; our expectations regarding acquisitions, investments, strategic alliances and joint ventures; our expectations regarding net revenue, cost of goods sold as a percentage of revenue and operating expenses for the second quarter ending July 28, 2012 compared with the first quarter ended April 28, 2012; our expectations regarding the impact of legal proceedings and claims; our ability to meet our capital needs for at least the next 12 months; our ability to attract and retain highly skilled personnel; our expectations regarding future growth opportunities; our plan regarding forward exchange contracts and the effect of foreign exchange rates; our expectations regarding unrecognized tax benefits; the effect of recent accounting pronouncements and changes in taxation rules; our expectation regarding the effectiveness of our hedges of foreign currency exposures; our expectations that quarterly operating results will fluctuate from quarter to quarter; our expectations regarding the current economic environment; our expectations regarding arrangements with suppliers; our expectations regarding our ability to develop and introduce new products and achieve market acceptance of our products; our expectations regarding pricing; our expectations regarding demand for our products and the impact of seasonality on demand; our expectations regarding defects; our expectations regarding the implementation and improvement of operational and financial systems, as well as the implementation of additional procedures and other internal management systems; our expectations regarding gross margin and the events that may cause gross margin to fluctuate; our expectations to transition our semiconductor products to increasingly smaller line width geometries; our expectations regarding the portion of our operations and sales outside of the United States; our expectations regarding the adequacy of our internal control over financial reporting; our expectations regarding future impairment review of our goodwill and intangible assets; and the anticipated features and benefits of our technology solutions.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our dependence upon the hard disk drive and mobile and wireless markets, which are highly cyclical and intensely competitive; the impact of the flooding in Thailand; our ability to successfully compete in the markets in which we serve; our ability to scale our operations in response to changes in demand for existing or new products and services; our maintenance of an effective system of internal controls; our dependence on a small number of customers; our ability and our customers’ ability to develop new and enhanced products; our success in integrating businesses we acquire and the impact such acquisitions may have on our operating results; our ability to estimate customer demand and future sales accurately; the success of our strategic relationships;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lengthy and expensive product sales cycles; and the outcome of pending or future litigation and legal proceedings. 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We are a leading global semiconductor provider of high-performance application-specific standard products. Our core strength of expertise is the development of complex System-on-a-Chip devices leveraging our extensive portfolio of technology intellectual property in the areas of analog, mixed-signal, digital signal processing and embedded ARM-based microprocessor integrated circuits. We also develop platforms that we define as integrated hardware along with software that incorporates digital computing technologies designed and configured to provide an optimized computing solution compared to individual components. Our broad product portfolio includes devices for data storage, enterprise-class Ethernet data switching, Ethernet PHY, mobile handsets and other consumer electronics,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00" w:firstLine="456"/>
        <w:spacing w:after="0" w:line="306" w:lineRule="auto"/>
        <w:rPr>
          <w:sz w:val="20"/>
          <w:szCs w:val="20"/>
          <w:color w:val="auto"/>
        </w:rPr>
      </w:pPr>
      <w:r>
        <w:rPr>
          <w:rFonts w:ascii="Arial" w:cs="Arial" w:eastAsia="Arial" w:hAnsi="Arial"/>
          <w:sz w:val="16"/>
          <w:szCs w:val="16"/>
          <w:color w:val="auto"/>
        </w:rPr>
        <w:t>An increasing number of our products are being incorporated into consumer electronics products, including gaming devices, which are subject to significant seasonality and fluctuations in demand. Due to holiday and back to school buying trends, these seasonal demand patterns generally will negatively impact our results in the first and fourth quarter and positively impact our results in the second and third quarter of our fiscal years.</w:t>
      </w:r>
    </w:p>
    <w:p>
      <w:pPr>
        <w:spacing w:after="0" w:line="107"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43"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In this Quarterly Report on Form 10-Q, we refer to the fiscal year ended February 2, 2008 as fiscal 2008, the fiscal year ended January 29, 2009 as fiscal 2009, the fiscal year ended January 30, 2010 as fiscal 2010 the fiscal year ended January 29, 2011 as fiscal 2011, the fiscal year ended January 28, 2012 as fiscal 2012 and the fiscal year ending February 2, 2013 as fiscal 2013.</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40" w:firstLine="456"/>
        <w:spacing w:after="0" w:line="318" w:lineRule="auto"/>
        <w:rPr>
          <w:sz w:val="20"/>
          <w:szCs w:val="20"/>
          <w:color w:val="auto"/>
        </w:rPr>
      </w:pPr>
      <w:r>
        <w:rPr>
          <w:rFonts w:ascii="Arial" w:cs="Arial" w:eastAsia="Arial" w:hAnsi="Arial"/>
          <w:sz w:val="15"/>
          <w:szCs w:val="15"/>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28, 2012.</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Net revenue for the three months ended April 28, 2012 was slightly lower as compared to the three months ended April 30, 2011 as our storage revenues have not yet fully recovered from the impact of the Thailand floods in October 2011. However, the growth in our revenue for products serving the TD phone market in China grew significantly over the last year helping to offset some of the storage impact.</w:t>
      </w:r>
    </w:p>
    <w:p>
      <w:pPr>
        <w:spacing w:after="0" w:line="59" w:lineRule="exact"/>
        <w:rPr>
          <w:sz w:val="20"/>
          <w:szCs w:val="20"/>
          <w:color w:val="auto"/>
        </w:rPr>
      </w:pPr>
    </w:p>
    <w:p>
      <w:pPr>
        <w:ind w:left="900" w:hanging="325"/>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We are on a path to full recovery from the impact of the natural disasters in the past year. Part of this recovery was seen in the first quarter of fiscal 2013, where our revenues in the storage end market increased sequentially, and we expect continued improvement in this end market in the second quarter of fiscal 2013. In fact, we expect revenues for the storage end market in the second half of the year to be at or above the pre-flood levels. This is partially due to the introduction of 500G per platter hard-disk drive products, which give us a lead over our competition.</w:t>
      </w:r>
    </w:p>
    <w:p>
      <w:pPr>
        <w:spacing w:after="0" w:line="31" w:lineRule="exact"/>
        <w:rPr>
          <w:rFonts w:ascii="Arial" w:cs="Arial" w:eastAsia="Arial" w:hAnsi="Arial"/>
          <w:sz w:val="16"/>
          <w:szCs w:val="16"/>
          <w:color w:val="auto"/>
        </w:rPr>
      </w:pPr>
    </w:p>
    <w:p>
      <w:pPr>
        <w:ind w:left="900" w:right="40" w:hanging="325"/>
        <w:spacing w:after="0" w:line="256"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 the networking end market, we have outperformed the market during the past year, maintaining flat revenues by introducing new products in what we believe are growth areas. This has offset the sluggish results in the overall networking end market. Our new products include our recently introduced PON products and 10 gigabyte switching, as well as the programmable network processers introduced following our acquisition of Xelerated.</w:t>
      </w:r>
    </w:p>
    <w:p>
      <w:pPr>
        <w:spacing w:after="0" w:line="62" w:lineRule="exact"/>
        <w:rPr>
          <w:rFonts w:ascii="Arial" w:cs="Arial" w:eastAsia="Arial" w:hAnsi="Arial"/>
          <w:sz w:val="18"/>
          <w:szCs w:val="18"/>
          <w:color w:val="auto"/>
        </w:rPr>
      </w:pPr>
    </w:p>
    <w:p>
      <w:pPr>
        <w:ind w:left="900" w:right="100" w:hanging="325"/>
        <w:spacing w:after="0" w:line="332"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Our investments in designing products for the TD smartphone market in China have led to a significant increase in revenue compared to the prior year. While we expect increased competition in this market in the second half of fiscal 2013, we expect this will continue to be a growth area for us.</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We have a pipeline of growth opportunities, including solid-state drive controllers (“SSD”), digital entertainment, cloud computing and smart energy.</w:t>
      </w:r>
    </w:p>
    <w:p>
      <w:pPr>
        <w:spacing w:after="0" w:line="113" w:lineRule="exact"/>
        <w:rPr>
          <w:rFonts w:ascii="Arial" w:cs="Arial" w:eastAsia="Arial" w:hAnsi="Arial"/>
          <w:sz w:val="16"/>
          <w:szCs w:val="16"/>
          <w:color w:val="auto"/>
        </w:rPr>
      </w:pPr>
    </w:p>
    <w:p>
      <w:pPr>
        <w:ind w:left="900" w:right="560" w:hanging="325"/>
        <w:spacing w:after="0" w:line="306"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May 2012, we announced our first quarterly dividend of $0.06. In addition, we continue to return value to shareholders through our stock repurchase program, with $1.7 billion repurchased over the last seven quarters. We recently increased the total available under the repurchase program by an additional $500 million, bringing the total available under the program to $2.5 billion.</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00"/>
          </w:cols>
          <w:pgMar w:left="240" w:top="45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400" w:type="dxa"/>
            <w:vAlign w:val="bottom"/>
            <w:gridSpan w:val="7"/>
          </w:tcPr>
          <w:p>
            <w:pPr>
              <w:ind w:left="26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140" w:type="dxa"/>
            <w:vAlign w:val="bottom"/>
            <w:tcBorders>
              <w:top w:val="single" w:sz="8" w:color="auto"/>
            </w:tcBorders>
            <w:gridSpan w:val="2"/>
          </w:tcPr>
          <w:p>
            <w:pPr>
              <w:jc w:val="right"/>
              <w:ind w:right="572"/>
              <w:spacing w:after="0" w:line="129" w:lineRule="exact"/>
              <w:rPr>
                <w:sz w:val="20"/>
                <w:szCs w:val="20"/>
                <w:color w:val="auto"/>
              </w:rPr>
            </w:pPr>
            <w:r>
              <w:rPr>
                <w:rFonts w:ascii="Arial" w:cs="Arial" w:eastAsia="Arial" w:hAnsi="Arial"/>
                <w:sz w:val="14"/>
                <w:szCs w:val="14"/>
                <w:b w:val="1"/>
                <w:bCs w:val="1"/>
                <w:color w:val="auto"/>
                <w:w w:val="86"/>
              </w:rPr>
              <w:t>April 28,</w:t>
            </w:r>
          </w:p>
        </w:tc>
        <w:tc>
          <w:tcPr>
            <w:tcW w:w="62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rPr>
              <w:t>April 30,</w:t>
            </w:r>
          </w:p>
        </w:tc>
        <w:tc>
          <w:tcPr>
            <w:tcW w:w="340" w:type="dxa"/>
            <w:vAlign w:val="bottom"/>
            <w:gridSpan w:val="2"/>
          </w:tcPr>
          <w:p>
            <w:pPr>
              <w:spacing w:after="0"/>
              <w:rPr>
                <w:sz w:val="11"/>
                <w:szCs w:val="11"/>
                <w:color w:val="auto"/>
              </w:rPr>
            </w:pPr>
          </w:p>
        </w:tc>
        <w:tc>
          <w:tcPr>
            <w:tcW w:w="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180" w:type="dxa"/>
            <w:vAlign w:val="bottom"/>
            <w:tcBorders>
              <w:bottom w:val="single" w:sz="8" w:color="CCEEFF"/>
            </w:tcBorders>
          </w:tcPr>
          <w:p>
            <w:pPr>
              <w:spacing w:after="0"/>
              <w:rPr>
                <w:sz w:val="14"/>
                <w:szCs w:val="14"/>
                <w:color w:val="auto"/>
              </w:rPr>
            </w:pPr>
          </w:p>
        </w:tc>
        <w:tc>
          <w:tcPr>
            <w:tcW w:w="820" w:type="dxa"/>
            <w:vAlign w:val="bottom"/>
            <w:tcBorders>
              <w:bottom w:val="single" w:sz="8" w:color="CCEEFF"/>
            </w:tcBorders>
          </w:tcPr>
          <w:p>
            <w:pPr>
              <w:spacing w:after="0"/>
              <w:rPr>
                <w:sz w:val="14"/>
                <w:szCs w:val="14"/>
                <w:color w:val="auto"/>
              </w:rPr>
            </w:pPr>
          </w:p>
        </w:tc>
        <w:tc>
          <w:tcPr>
            <w:tcW w:w="7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520" w:type="dxa"/>
            <w:vAlign w:val="bottom"/>
            <w:tcBorders>
              <w:bottom w:val="single" w:sz="8" w:color="auto"/>
            </w:tcBorders>
          </w:tcPr>
          <w:p>
            <w:pPr>
              <w:jc w:val="right"/>
              <w:ind w:right="59"/>
              <w:spacing w:after="0"/>
              <w:rPr>
                <w:sz w:val="20"/>
                <w:szCs w:val="20"/>
                <w:color w:val="auto"/>
              </w:rPr>
            </w:pPr>
            <w:r>
              <w:rPr>
                <w:rFonts w:ascii="Arial" w:cs="Arial" w:eastAsia="Arial" w:hAnsi="Arial"/>
                <w:sz w:val="14"/>
                <w:szCs w:val="14"/>
                <w:b w:val="1"/>
                <w:bCs w:val="1"/>
                <w:color w:val="auto"/>
              </w:rPr>
              <w:t>2012</w:t>
            </w:r>
          </w:p>
        </w:tc>
        <w:tc>
          <w:tcPr>
            <w:tcW w:w="6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520" w:type="dxa"/>
            <w:vAlign w:val="bottom"/>
            <w:tcBorders>
              <w:bottom w:val="single" w:sz="8" w:color="auto"/>
            </w:tcBorders>
          </w:tcPr>
          <w:p>
            <w:pPr>
              <w:jc w:val="right"/>
              <w:ind w:right="57"/>
              <w:spacing w:after="0"/>
              <w:rPr>
                <w:sz w:val="20"/>
                <w:szCs w:val="20"/>
                <w:color w:val="auto"/>
              </w:rPr>
            </w:pPr>
            <w:r>
              <w:rPr>
                <w:rFonts w:ascii="Arial" w:cs="Arial" w:eastAsia="Arial" w:hAnsi="Arial"/>
                <w:sz w:val="14"/>
                <w:szCs w:val="14"/>
                <w:b w:val="1"/>
                <w:bCs w:val="1"/>
                <w:color w:val="auto"/>
              </w:rPr>
              <w:t>2011</w:t>
            </w:r>
          </w:p>
        </w:tc>
        <w:tc>
          <w:tcPr>
            <w:tcW w:w="200" w:type="dxa"/>
            <w:vAlign w:val="bottom"/>
            <w:tcBorders>
              <w:bottom w:val="single" w:sz="8" w:color="CCEEFF"/>
            </w:tcBorders>
          </w:tcPr>
          <w:p>
            <w:pPr>
              <w:spacing w:after="0"/>
              <w:rPr>
                <w:sz w:val="14"/>
                <w:szCs w:val="14"/>
                <w:color w:val="auto"/>
              </w:rPr>
            </w:pPr>
          </w:p>
        </w:tc>
        <w:tc>
          <w:tcPr>
            <w:tcW w:w="1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1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8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12"/>
              <w:spacing w:after="0"/>
              <w:rPr>
                <w:sz w:val="20"/>
                <w:szCs w:val="20"/>
                <w:color w:val="auto"/>
              </w:rPr>
            </w:pPr>
            <w:r>
              <w:rPr>
                <w:rFonts w:ascii="Arial" w:cs="Arial" w:eastAsia="Arial" w:hAnsi="Arial"/>
                <w:sz w:val="18"/>
                <w:szCs w:val="18"/>
                <w:color w:val="auto"/>
              </w:rPr>
              <w:t>100.0%</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1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8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1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8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46.0</w:t>
            </w:r>
          </w:p>
        </w:tc>
        <w:tc>
          <w:tcPr>
            <w:tcW w:w="6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41.7</w:t>
            </w:r>
          </w:p>
        </w:tc>
        <w:tc>
          <w:tcPr>
            <w:tcW w:w="200" w:type="dxa"/>
            <w:vAlign w:val="bottom"/>
            <w:shd w:val="clear" w:color="auto" w:fill="CCEEFF"/>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180" w:type="dxa"/>
            <w:vAlign w:val="bottom"/>
          </w:tcPr>
          <w:p>
            <w:pPr>
              <w:ind w:left="440"/>
              <w:spacing w:after="0"/>
              <w:rPr>
                <w:sz w:val="20"/>
                <w:szCs w:val="20"/>
                <w:color w:val="auto"/>
              </w:rPr>
            </w:pPr>
            <w:r>
              <w:rPr>
                <w:rFonts w:ascii="Arial" w:cs="Arial" w:eastAsia="Arial" w:hAnsi="Arial"/>
                <w:sz w:val="18"/>
                <w:szCs w:val="18"/>
                <w:color w:val="auto"/>
              </w:rPr>
              <w:t>Research and development</w:t>
            </w:r>
          </w:p>
        </w:tc>
        <w:tc>
          <w:tcPr>
            <w:tcW w:w="8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32.1</w:t>
            </w:r>
          </w:p>
        </w:tc>
        <w:tc>
          <w:tcPr>
            <w:tcW w:w="620" w:type="dxa"/>
            <w:vAlign w:val="bottom"/>
          </w:tcPr>
          <w:p>
            <w:pPr>
              <w:spacing w:after="0"/>
              <w:rPr>
                <w:sz w:val="18"/>
                <w:szCs w:val="18"/>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30.2</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1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8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6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200" w:type="dxa"/>
            <w:vAlign w:val="bottom"/>
            <w:shd w:val="clear" w:color="auto" w:fill="CCEEFF"/>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18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8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3.3</w:t>
            </w:r>
          </w:p>
        </w:tc>
        <w:tc>
          <w:tcPr>
            <w:tcW w:w="620" w:type="dxa"/>
            <w:vAlign w:val="bottom"/>
          </w:tcPr>
          <w:p>
            <w:pPr>
              <w:spacing w:after="0"/>
              <w:rPr>
                <w:sz w:val="18"/>
                <w:szCs w:val="18"/>
                <w:color w:val="auto"/>
              </w:rPr>
            </w:pPr>
          </w:p>
        </w:tc>
        <w:tc>
          <w:tcPr>
            <w:tcW w:w="620" w:type="dxa"/>
            <w:vAlign w:val="bottom"/>
            <w:gridSpan w:val="2"/>
          </w:tcPr>
          <w:p>
            <w:pPr>
              <w:jc w:val="right"/>
              <w:spacing w:after="0"/>
              <w:rPr>
                <w:sz w:val="20"/>
                <w:szCs w:val="20"/>
                <w:color w:val="auto"/>
              </w:rPr>
            </w:pPr>
            <w:r>
              <w:rPr>
                <w:rFonts w:ascii="Arial" w:cs="Arial" w:eastAsia="Arial" w:hAnsi="Arial"/>
                <w:sz w:val="18"/>
                <w:szCs w:val="18"/>
                <w:color w:val="auto"/>
              </w:rPr>
              <w:t>3.1</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1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Amortization and write-off of acquired intangible assets</w:t>
            </w:r>
          </w:p>
        </w:tc>
        <w:tc>
          <w:tcPr>
            <w:tcW w:w="8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w:t>
            </w:r>
          </w:p>
        </w:tc>
        <w:tc>
          <w:tcPr>
            <w:tcW w:w="200" w:type="dxa"/>
            <w:vAlign w:val="bottom"/>
            <w:shd w:val="clear" w:color="auto" w:fill="CCEEFF"/>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518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8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88.2</w:t>
            </w:r>
          </w:p>
        </w:tc>
        <w:tc>
          <w:tcPr>
            <w:tcW w:w="6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81.5</w:t>
            </w: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1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8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11.8</w:t>
            </w:r>
          </w:p>
        </w:tc>
        <w:tc>
          <w:tcPr>
            <w:tcW w:w="6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18.5</w:t>
            </w:r>
          </w:p>
        </w:tc>
        <w:tc>
          <w:tcPr>
            <w:tcW w:w="200" w:type="dxa"/>
            <w:vAlign w:val="bottom"/>
            <w:shd w:val="clear" w:color="auto" w:fill="CCEEFF"/>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18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8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0.1</w:t>
            </w:r>
          </w:p>
        </w:tc>
        <w:tc>
          <w:tcPr>
            <w:tcW w:w="6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gridSpan w:val="2"/>
          </w:tcPr>
          <w:p>
            <w:pPr>
              <w:jc w:val="right"/>
              <w:ind w:right="160"/>
              <w:spacing w:after="0"/>
              <w:rPr>
                <w:sz w:val="20"/>
                <w:szCs w:val="20"/>
                <w:color w:val="auto"/>
              </w:rPr>
            </w:pPr>
            <w:r>
              <w:rPr>
                <w:rFonts w:ascii="Arial" w:cs="Arial" w:eastAsia="Arial" w:hAnsi="Arial"/>
                <w:sz w:val="18"/>
                <w:szCs w:val="18"/>
                <w:color w:val="auto"/>
              </w:rPr>
              <w:t>(0.1)</w:t>
            </w: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18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8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11.9</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18.4</w:t>
            </w:r>
          </w:p>
        </w:tc>
        <w:tc>
          <w:tcPr>
            <w:tcW w:w="200" w:type="dxa"/>
            <w:vAlign w:val="bottom"/>
            <w:shd w:val="clear" w:color="auto" w:fill="CCEEFF"/>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18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8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w:t>
            </w:r>
          </w:p>
        </w:tc>
        <w:tc>
          <w:tcPr>
            <w:tcW w:w="6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w:t>
            </w: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18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8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160" w:type="dxa"/>
            <w:vAlign w:val="bottom"/>
            <w:gridSpan w:val="3"/>
            <w:shd w:val="clear" w:color="auto" w:fill="CCEEFF"/>
          </w:tcPr>
          <w:p>
            <w:pPr>
              <w:jc w:val="right"/>
              <w:ind w:right="412"/>
              <w:spacing w:after="0"/>
              <w:rPr>
                <w:sz w:val="20"/>
                <w:szCs w:val="20"/>
                <w:color w:val="auto"/>
              </w:rPr>
            </w:pPr>
            <w:r>
              <w:rPr>
                <w:rFonts w:ascii="Arial" w:cs="Arial" w:eastAsia="Arial" w:hAnsi="Arial"/>
                <w:sz w:val="18"/>
                <w:szCs w:val="18"/>
                <w:color w:val="auto"/>
              </w:rPr>
              <w:t>11.9%</w:t>
            </w:r>
          </w:p>
        </w:tc>
        <w:tc>
          <w:tcPr>
            <w:tcW w:w="8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18.3%</w:t>
            </w: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560" w:type="dxa"/>
            <w:vAlign w:val="bottom"/>
            <w:gridSpan w:val="3"/>
            <w:vMerge w:val="restart"/>
          </w:tcPr>
          <w:p>
            <w:pPr>
              <w:spacing w:after="0"/>
              <w:rPr>
                <w:sz w:val="20"/>
                <w:szCs w:val="20"/>
                <w:color w:val="auto"/>
              </w:rPr>
            </w:pPr>
            <w:r>
              <w:rPr>
                <w:rFonts w:ascii="Arial" w:cs="Arial" w:eastAsia="Arial" w:hAnsi="Arial"/>
                <w:sz w:val="18"/>
                <w:szCs w:val="18"/>
                <w:b w:val="1"/>
                <w:bCs w:val="1"/>
                <w:color w:val="auto"/>
              </w:rPr>
              <w:t>Three Months Ended April 28, 2012 and April 30, 2011</w:t>
            </w:r>
          </w:p>
        </w:tc>
        <w:tc>
          <w:tcPr>
            <w:tcW w:w="8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6560" w:type="dxa"/>
            <w:vAlign w:val="bottom"/>
            <w:gridSpan w:val="3"/>
            <w:vMerge w:val="continue"/>
          </w:tcPr>
          <w:p>
            <w:pPr>
              <w:spacing w:after="0"/>
              <w:rPr>
                <w:sz w:val="24"/>
                <w:szCs w:val="24"/>
                <w:color w:val="auto"/>
              </w:rPr>
            </w:pPr>
          </w:p>
        </w:tc>
        <w:tc>
          <w:tcPr>
            <w:tcW w:w="8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6560" w:type="dxa"/>
            <w:vAlign w:val="bottom"/>
            <w:gridSpan w:val="3"/>
          </w:tcPr>
          <w:p>
            <w:pPr>
              <w:ind w:left="240"/>
              <w:spacing w:after="0"/>
              <w:rPr>
                <w:sz w:val="20"/>
                <w:szCs w:val="20"/>
                <w:color w:val="auto"/>
              </w:rPr>
            </w:pPr>
            <w:r>
              <w:rPr>
                <w:rFonts w:ascii="Arial" w:cs="Arial" w:eastAsia="Arial" w:hAnsi="Arial"/>
                <w:sz w:val="18"/>
                <w:szCs w:val="18"/>
                <w:i w:val="1"/>
                <w:iCs w:val="1"/>
                <w:color w:val="auto"/>
              </w:rPr>
              <w:t>Net Revenue</w:t>
            </w:r>
          </w:p>
        </w:tc>
        <w:tc>
          <w:tcPr>
            <w:tcW w:w="8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9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860" w:type="dxa"/>
            <w:vAlign w:val="bottom"/>
            <w:tcBorders>
              <w:bottom w:val="single" w:sz="8" w:color="auto"/>
            </w:tcBorders>
            <w:gridSpan w:val="4"/>
          </w:tcPr>
          <w:p>
            <w:pPr>
              <w:jc w:val="right"/>
              <w:ind w:right="252"/>
              <w:spacing w:after="0"/>
              <w:rPr>
                <w:sz w:val="20"/>
                <w:szCs w:val="20"/>
                <w:color w:val="auto"/>
              </w:rPr>
            </w:pPr>
            <w:r>
              <w:rPr>
                <w:rFonts w:ascii="Arial" w:cs="Arial" w:eastAsia="Arial" w:hAnsi="Arial"/>
                <w:sz w:val="14"/>
                <w:szCs w:val="14"/>
                <w:b w:val="1"/>
                <w:bCs w:val="1"/>
                <w:color w:val="auto"/>
              </w:rPr>
              <w:t>Three Months Ended</w:t>
            </w:r>
          </w:p>
        </w:tc>
        <w:tc>
          <w:tcPr>
            <w:tcW w:w="820" w:type="dxa"/>
            <w:vAlign w:val="bottom"/>
            <w:gridSpan w:val="3"/>
            <w:vMerge w:val="restart"/>
          </w:tcPr>
          <w:p>
            <w:pPr>
              <w:ind w:left="680"/>
              <w:spacing w:after="0"/>
              <w:rPr>
                <w:sz w:val="20"/>
                <w:szCs w:val="20"/>
                <w:color w:val="auto"/>
              </w:rPr>
            </w:pPr>
            <w:r>
              <w:rPr>
                <w:rFonts w:ascii="Arial" w:cs="Arial" w:eastAsia="Arial" w:hAnsi="Arial"/>
                <w:sz w:val="14"/>
                <w:szCs w:val="14"/>
                <w:b w:val="1"/>
                <w:bCs w:val="1"/>
                <w:color w:val="auto"/>
                <w:w w:val="96"/>
              </w:rPr>
              <w:t>%</w:t>
            </w:r>
          </w:p>
        </w:tc>
        <w:tc>
          <w:tcPr>
            <w:tcW w:w="1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00" w:type="dxa"/>
            <w:vAlign w:val="bottom"/>
          </w:tcPr>
          <w:p>
            <w:pPr>
              <w:ind w:left="80"/>
              <w:spacing w:after="0" w:line="129" w:lineRule="exact"/>
              <w:rPr>
                <w:sz w:val="20"/>
                <w:szCs w:val="20"/>
                <w:color w:val="auto"/>
              </w:rPr>
            </w:pPr>
            <w:r>
              <w:rPr>
                <w:rFonts w:ascii="Arial" w:cs="Arial" w:eastAsia="Arial" w:hAnsi="Arial"/>
                <w:sz w:val="14"/>
                <w:szCs w:val="14"/>
                <w:b w:val="1"/>
                <w:bCs w:val="1"/>
                <w:color w:val="auto"/>
              </w:rPr>
              <w:t>April 28,</w:t>
            </w:r>
          </w:p>
        </w:tc>
        <w:tc>
          <w:tcPr>
            <w:tcW w:w="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20" w:type="dxa"/>
            <w:vAlign w:val="bottom"/>
          </w:tcPr>
          <w:p>
            <w:pPr>
              <w:jc w:val="right"/>
              <w:ind w:right="12"/>
              <w:spacing w:after="0" w:line="129" w:lineRule="exact"/>
              <w:rPr>
                <w:sz w:val="20"/>
                <w:szCs w:val="20"/>
                <w:color w:val="auto"/>
              </w:rPr>
            </w:pPr>
            <w:r>
              <w:rPr>
                <w:rFonts w:ascii="Arial" w:cs="Arial" w:eastAsia="Arial" w:hAnsi="Arial"/>
                <w:sz w:val="14"/>
                <w:szCs w:val="14"/>
                <w:b w:val="1"/>
                <w:bCs w:val="1"/>
                <w:color w:val="auto"/>
                <w:w w:val="94"/>
              </w:rPr>
              <w:t>April 30,</w:t>
            </w:r>
          </w:p>
        </w:tc>
        <w:tc>
          <w:tcPr>
            <w:tcW w:w="820" w:type="dxa"/>
            <w:vAlign w:val="bottom"/>
            <w:gridSpan w:val="3"/>
            <w:vMerge w:val="continue"/>
          </w:tcPr>
          <w:p>
            <w:pPr>
              <w:spacing w:after="0"/>
              <w:rPr>
                <w:sz w:val="11"/>
                <w:szCs w:val="11"/>
                <w:color w:val="auto"/>
              </w:rPr>
            </w:pPr>
          </w:p>
        </w:tc>
        <w:tc>
          <w:tcPr>
            <w:tcW w:w="1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180" w:type="dxa"/>
            <w:vAlign w:val="bottom"/>
          </w:tcPr>
          <w:p>
            <w:pPr>
              <w:spacing w:after="0"/>
              <w:rPr>
                <w:sz w:val="14"/>
                <w:szCs w:val="14"/>
                <w:color w:val="auto"/>
              </w:rPr>
            </w:pPr>
          </w:p>
        </w:tc>
        <w:tc>
          <w:tcPr>
            <w:tcW w:w="1520" w:type="dxa"/>
            <w:vAlign w:val="bottom"/>
            <w:gridSpan w:val="2"/>
          </w:tcPr>
          <w:p>
            <w:pPr>
              <w:jc w:val="right"/>
              <w:ind w:right="152"/>
              <w:spacing w:after="0"/>
              <w:rPr>
                <w:sz w:val="20"/>
                <w:szCs w:val="20"/>
                <w:color w:val="auto"/>
              </w:rPr>
            </w:pPr>
            <w:r>
              <w:rPr>
                <w:rFonts w:ascii="Arial" w:cs="Arial" w:eastAsia="Arial" w:hAnsi="Arial"/>
                <w:sz w:val="14"/>
                <w:szCs w:val="14"/>
                <w:b w:val="1"/>
                <w:bCs w:val="1"/>
                <w:color w:val="auto"/>
              </w:rPr>
              <w:t>2012</w:t>
            </w:r>
          </w:p>
        </w:tc>
        <w:tc>
          <w:tcPr>
            <w:tcW w:w="1160" w:type="dxa"/>
            <w:vAlign w:val="bottom"/>
            <w:gridSpan w:val="3"/>
          </w:tcPr>
          <w:p>
            <w:pPr>
              <w:jc w:val="right"/>
              <w:ind w:right="132"/>
              <w:spacing w:after="0"/>
              <w:rPr>
                <w:sz w:val="20"/>
                <w:szCs w:val="20"/>
                <w:color w:val="auto"/>
              </w:rPr>
            </w:pPr>
            <w:r>
              <w:rPr>
                <w:rFonts w:ascii="Arial" w:cs="Arial" w:eastAsia="Arial" w:hAnsi="Arial"/>
                <w:sz w:val="14"/>
                <w:szCs w:val="14"/>
                <w:b w:val="1"/>
                <w:bCs w:val="1"/>
                <w:color w:val="auto"/>
              </w:rPr>
              <w:t>2011</w:t>
            </w:r>
          </w:p>
        </w:tc>
        <w:tc>
          <w:tcPr>
            <w:tcW w:w="100" w:type="dxa"/>
            <w:vAlign w:val="bottom"/>
          </w:tcPr>
          <w:p>
            <w:pPr>
              <w:spacing w:after="0"/>
              <w:rPr>
                <w:sz w:val="14"/>
                <w:szCs w:val="14"/>
                <w:color w:val="auto"/>
              </w:rPr>
            </w:pPr>
          </w:p>
        </w:tc>
        <w:tc>
          <w:tcPr>
            <w:tcW w:w="1160" w:type="dxa"/>
            <w:vAlign w:val="bottom"/>
            <w:gridSpan w:val="4"/>
          </w:tcPr>
          <w:p>
            <w:pPr>
              <w:ind w:left="4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9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1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820" w:type="dxa"/>
            <w:vAlign w:val="bottom"/>
            <w:tcBorders>
              <w:top w:val="single" w:sz="8" w:color="auto"/>
            </w:tcBorders>
            <w:gridSpan w:val="8"/>
          </w:tcPr>
          <w:p>
            <w:pPr>
              <w:ind w:left="46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3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5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$796,351</w:t>
            </w:r>
          </w:p>
        </w:tc>
        <w:tc>
          <w:tcPr>
            <w:tcW w:w="11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$802,402</w:t>
            </w:r>
          </w:p>
        </w:tc>
        <w:tc>
          <w:tcPr>
            <w:tcW w:w="1260" w:type="dxa"/>
            <w:vAlign w:val="bottom"/>
            <w:gridSpan w:val="5"/>
            <w:shd w:val="clear" w:color="auto" w:fill="CCEEFF"/>
          </w:tcPr>
          <w:p>
            <w:pPr>
              <w:ind w:left="680"/>
              <w:spacing w:after="0"/>
              <w:rPr>
                <w:sz w:val="20"/>
                <w:szCs w:val="20"/>
                <w:color w:val="auto"/>
              </w:rPr>
            </w:pPr>
            <w:r>
              <w:rPr>
                <w:rFonts w:ascii="Arial" w:cs="Arial" w:eastAsia="Arial" w:hAnsi="Arial"/>
                <w:sz w:val="18"/>
                <w:szCs w:val="18"/>
                <w:color w:val="auto"/>
                <w:w w:val="96"/>
              </w:rPr>
              <w:t>(0.8) %</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Net revenue for the three months ended April 28, 2012 was slightly lower compared to the three months ended April 30, 2011. Revenue for our products designed for the storage end market decreased in the three months ended April 28, 2012 compared to the three months ended April 30, 2011 as one of our key customers had not yet fully recovered from the impact of the floods that occurred in Thailand in October 2011. The decrease in storage revenue was mostly offset by an increase in revenue from our mobile SOC products for the TD handset market in China as this market continues to expand.</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currently expect overall net revenue for the three months ending July 28, 2012 to be between $840 million and $890 million.</w:t>
      </w:r>
    </w:p>
    <w:p>
      <w:pPr>
        <w:spacing w:after="0" w:line="171" w:lineRule="exact"/>
        <w:rPr>
          <w:sz w:val="20"/>
          <w:szCs w:val="20"/>
          <w:color w:val="auto"/>
        </w:rPr>
      </w:pPr>
    </w:p>
    <w:p>
      <w:pPr>
        <w:jc w:val="both"/>
        <w:ind w:right="180" w:firstLine="456"/>
        <w:spacing w:after="0" w:line="259"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net revenue. One distributor accounted for more than 10% of our net revenue for the three months ended April 28, 2012. For the comparable three months ended April 30, 2011, no single distributor accounted for more than 10% of our net revenue.</w:t>
      </w:r>
    </w:p>
    <w:p>
      <w:pPr>
        <w:spacing w:after="0" w:line="176"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3240" w:type="dxa"/>
            <w:vAlign w:val="bottom"/>
          </w:tcPr>
          <w:p>
            <w:pPr>
              <w:spacing w:after="0"/>
              <w:rPr>
                <w:sz w:val="14"/>
                <w:szCs w:val="14"/>
                <w:color w:val="auto"/>
              </w:rPr>
            </w:pPr>
          </w:p>
        </w:tc>
        <w:tc>
          <w:tcPr>
            <w:tcW w:w="2740" w:type="dxa"/>
            <w:vAlign w:val="bottom"/>
          </w:tcPr>
          <w:p>
            <w:pPr>
              <w:spacing w:after="0"/>
              <w:rPr>
                <w:sz w:val="14"/>
                <w:szCs w:val="14"/>
                <w:color w:val="auto"/>
              </w:rPr>
            </w:pPr>
          </w:p>
        </w:tc>
        <w:tc>
          <w:tcPr>
            <w:tcW w:w="2100" w:type="dxa"/>
            <w:vAlign w:val="bottom"/>
            <w:gridSpan w:val="5"/>
          </w:tcPr>
          <w:p>
            <w:pPr>
              <w:ind w:left="3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43"/>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Customer</w:t>
            </w:r>
          </w:p>
        </w:tc>
        <w:tc>
          <w:tcPr>
            <w:tcW w:w="3240" w:type="dxa"/>
            <w:vAlign w:val="bottom"/>
            <w:vMerge w:val="restart"/>
          </w:tcPr>
          <w:p>
            <w:pPr>
              <w:spacing w:after="0"/>
              <w:rPr>
                <w:sz w:val="12"/>
                <w:szCs w:val="12"/>
                <w:color w:val="auto"/>
              </w:rPr>
            </w:pPr>
          </w:p>
        </w:tc>
        <w:tc>
          <w:tcPr>
            <w:tcW w:w="2740" w:type="dxa"/>
            <w:vAlign w:val="bottom"/>
          </w:tcPr>
          <w:p>
            <w:pPr>
              <w:spacing w:after="0"/>
              <w:rPr>
                <w:sz w:val="12"/>
                <w:szCs w:val="12"/>
                <w:color w:val="auto"/>
              </w:rPr>
            </w:pPr>
          </w:p>
        </w:tc>
        <w:tc>
          <w:tcPr>
            <w:tcW w:w="1020" w:type="dxa"/>
            <w:vAlign w:val="bottom"/>
            <w:tcBorders>
              <w:top w:val="single" w:sz="8" w:color="auto"/>
            </w:tcBorders>
            <w:gridSpan w:val="2"/>
          </w:tcPr>
          <w:p>
            <w:pPr>
              <w:jc w:val="center"/>
              <w:ind w:right="520"/>
              <w:spacing w:after="0" w:line="143" w:lineRule="exact"/>
              <w:rPr>
                <w:sz w:val="20"/>
                <w:szCs w:val="20"/>
                <w:color w:val="auto"/>
              </w:rPr>
            </w:pPr>
            <w:r>
              <w:rPr>
                <w:rFonts w:ascii="Arial" w:cs="Arial" w:eastAsia="Arial" w:hAnsi="Arial"/>
                <w:sz w:val="14"/>
                <w:szCs w:val="14"/>
                <w:b w:val="1"/>
                <w:bCs w:val="1"/>
                <w:color w:val="auto"/>
                <w:w w:val="90"/>
              </w:rPr>
              <w:t>April 28,</w:t>
            </w:r>
          </w:p>
        </w:tc>
        <w:tc>
          <w:tcPr>
            <w:tcW w:w="880" w:type="dxa"/>
            <w:vAlign w:val="bottom"/>
            <w:tcBorders>
              <w:top w:val="single" w:sz="8" w:color="auto"/>
            </w:tcBorders>
            <w:gridSpan w:val="2"/>
          </w:tcPr>
          <w:p>
            <w:pPr>
              <w:jc w:val="right"/>
              <w:spacing w:after="0" w:line="143" w:lineRule="exact"/>
              <w:rPr>
                <w:sz w:val="20"/>
                <w:szCs w:val="20"/>
                <w:color w:val="auto"/>
              </w:rPr>
            </w:pPr>
            <w:r>
              <w:rPr>
                <w:rFonts w:ascii="Arial" w:cs="Arial" w:eastAsia="Arial" w:hAnsi="Arial"/>
                <w:sz w:val="14"/>
                <w:szCs w:val="14"/>
                <w:b w:val="1"/>
                <w:bCs w:val="1"/>
                <w:color w:val="auto"/>
              </w:rPr>
              <w:t>April 30,</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3240" w:type="dxa"/>
            <w:vAlign w:val="bottom"/>
            <w:vMerge w:val="continue"/>
          </w:tcPr>
          <w:p>
            <w:pPr>
              <w:spacing w:after="0"/>
              <w:rPr>
                <w:sz w:val="12"/>
                <w:szCs w:val="12"/>
                <w:color w:val="auto"/>
              </w:rPr>
            </w:pPr>
          </w:p>
        </w:tc>
        <w:tc>
          <w:tcPr>
            <w:tcW w:w="3260" w:type="dxa"/>
            <w:vAlign w:val="bottom"/>
            <w:gridSpan w:val="2"/>
          </w:tcPr>
          <w:p>
            <w:pPr>
              <w:jc w:val="right"/>
              <w:ind w:right="66"/>
              <w:spacing w:after="0" w:line="148" w:lineRule="exact"/>
              <w:rPr>
                <w:sz w:val="20"/>
                <w:szCs w:val="20"/>
                <w:color w:val="auto"/>
              </w:rPr>
            </w:pPr>
            <w:r>
              <w:rPr>
                <w:rFonts w:ascii="Arial" w:cs="Arial" w:eastAsia="Arial" w:hAnsi="Arial"/>
                <w:sz w:val="14"/>
                <w:szCs w:val="14"/>
                <w:b w:val="1"/>
                <w:bCs w:val="1"/>
                <w:color w:val="auto"/>
              </w:rPr>
              <w:t>2012</w:t>
            </w:r>
          </w:p>
        </w:tc>
        <w:tc>
          <w:tcPr>
            <w:tcW w:w="500" w:type="dxa"/>
            <w:vAlign w:val="bottom"/>
          </w:tcPr>
          <w:p>
            <w:pPr>
              <w:spacing w:after="0"/>
              <w:rPr>
                <w:sz w:val="12"/>
                <w:szCs w:val="12"/>
                <w:color w:val="auto"/>
              </w:rPr>
            </w:pPr>
          </w:p>
        </w:tc>
        <w:tc>
          <w:tcPr>
            <w:tcW w:w="880" w:type="dxa"/>
            <w:vAlign w:val="bottom"/>
            <w:gridSpan w:val="2"/>
          </w:tcPr>
          <w:p>
            <w:pPr>
              <w:jc w:val="right"/>
              <w:ind w:right="52"/>
              <w:spacing w:after="0" w:line="148" w:lineRule="exact"/>
              <w:rPr>
                <w:sz w:val="20"/>
                <w:szCs w:val="20"/>
                <w:color w:val="auto"/>
              </w:rPr>
            </w:pPr>
            <w:r>
              <w:rPr>
                <w:rFonts w:ascii="Arial" w:cs="Arial" w:eastAsia="Arial" w:hAnsi="Arial"/>
                <w:sz w:val="14"/>
                <w:szCs w:val="14"/>
                <w:b w:val="1"/>
                <w:bCs w:val="1"/>
                <w:color w:val="auto"/>
              </w:rPr>
              <w:t>2011</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384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2740" w:type="dxa"/>
            <w:vAlign w:val="bottom"/>
            <w:vMerge w:val="restart"/>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500" w:type="dxa"/>
            <w:vAlign w:val="bottom"/>
            <w:shd w:val="clear" w:color="auto" w:fill="CCEEFF"/>
          </w:tcPr>
          <w:p>
            <w:pPr>
              <w:spacing w:after="0" w:line="20" w:lineRule="exact"/>
              <w:rPr>
                <w:sz w:val="1"/>
                <w:szCs w:val="1"/>
                <w:color w:val="auto"/>
              </w:rPr>
            </w:pPr>
          </w:p>
        </w:tc>
        <w:tc>
          <w:tcPr>
            <w:tcW w:w="360" w:type="dxa"/>
            <w:vAlign w:val="bottom"/>
            <w:vMerge w:val="restart"/>
            <w:shd w:val="clear" w:color="auto" w:fill="CCEEFF"/>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840" w:type="dxa"/>
            <w:vAlign w:val="bottom"/>
            <w:gridSpan w:val="2"/>
            <w:vMerge w:val="continue"/>
            <w:shd w:val="clear" w:color="auto" w:fill="CCEEFF"/>
          </w:tcPr>
          <w:p>
            <w:pPr>
              <w:spacing w:after="0"/>
              <w:rPr>
                <w:sz w:val="17"/>
                <w:szCs w:val="17"/>
                <w:color w:val="auto"/>
              </w:rPr>
            </w:pPr>
          </w:p>
        </w:tc>
        <w:tc>
          <w:tcPr>
            <w:tcW w:w="2740" w:type="dxa"/>
            <w:vAlign w:val="bottom"/>
            <w:vMerge w:val="continue"/>
            <w:shd w:val="clear" w:color="auto" w:fill="CCEEFF"/>
          </w:tcPr>
          <w:p>
            <w:pPr>
              <w:spacing w:after="0"/>
              <w:rPr>
                <w:sz w:val="17"/>
                <w:szCs w:val="17"/>
                <w:color w:val="auto"/>
              </w:rPr>
            </w:pPr>
          </w:p>
        </w:tc>
        <w:tc>
          <w:tcPr>
            <w:tcW w:w="1020" w:type="dxa"/>
            <w:vAlign w:val="bottom"/>
            <w:gridSpan w:val="2"/>
            <w:shd w:val="clear" w:color="auto" w:fill="CCEEFF"/>
          </w:tcPr>
          <w:p>
            <w:pPr>
              <w:ind w:left="340"/>
              <w:spacing w:after="0" w:line="203" w:lineRule="exact"/>
              <w:rPr>
                <w:sz w:val="20"/>
                <w:szCs w:val="20"/>
                <w:color w:val="auto"/>
              </w:rPr>
            </w:pPr>
            <w:r>
              <w:rPr>
                <w:rFonts w:ascii="Arial" w:cs="Arial" w:eastAsia="Arial" w:hAnsi="Arial"/>
                <w:sz w:val="18"/>
                <w:szCs w:val="18"/>
                <w:color w:val="auto"/>
              </w:rPr>
              <w:t>23%</w:t>
            </w:r>
          </w:p>
        </w:tc>
        <w:tc>
          <w:tcPr>
            <w:tcW w:w="360" w:type="dxa"/>
            <w:vAlign w:val="bottom"/>
            <w:vMerge w:val="continue"/>
            <w:shd w:val="clear" w:color="auto" w:fill="CCEEFF"/>
          </w:tcPr>
          <w:p>
            <w:pPr>
              <w:spacing w:after="0"/>
              <w:rPr>
                <w:sz w:val="17"/>
                <w:szCs w:val="17"/>
                <w:color w:val="auto"/>
              </w:rPr>
            </w:pPr>
          </w:p>
        </w:tc>
        <w:tc>
          <w:tcPr>
            <w:tcW w:w="72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22"/>
        </w:trPr>
        <w:tc>
          <w:tcPr>
            <w:tcW w:w="3840" w:type="dxa"/>
            <w:vAlign w:val="bottom"/>
            <w:gridSpan w:val="2"/>
          </w:tcPr>
          <w:p>
            <w:pPr>
              <w:spacing w:after="0"/>
              <w:rPr>
                <w:sz w:val="20"/>
                <w:szCs w:val="20"/>
                <w:color w:val="auto"/>
              </w:rPr>
            </w:pPr>
            <w:r>
              <w:rPr>
                <w:rFonts w:ascii="Arial" w:cs="Arial" w:eastAsia="Arial" w:hAnsi="Arial"/>
                <w:sz w:val="18"/>
                <w:szCs w:val="18"/>
                <w:color w:val="auto"/>
              </w:rPr>
              <w:t>Toshiba</w:t>
            </w:r>
          </w:p>
        </w:tc>
        <w:tc>
          <w:tcPr>
            <w:tcW w:w="3760" w:type="dxa"/>
            <w:vAlign w:val="bottom"/>
            <w:gridSpan w:val="3"/>
          </w:tcPr>
          <w:p>
            <w:pPr>
              <w:ind w:left="3080"/>
              <w:spacing w:after="0"/>
              <w:rPr>
                <w:sz w:val="20"/>
                <w:szCs w:val="20"/>
                <w:color w:val="auto"/>
              </w:rPr>
            </w:pPr>
            <w:r>
              <w:rPr>
                <w:rFonts w:ascii="Arial" w:cs="Arial" w:eastAsia="Arial" w:hAnsi="Arial"/>
                <w:sz w:val="18"/>
                <w:szCs w:val="18"/>
                <w:color w:val="auto"/>
              </w:rPr>
              <w:t>10%</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spacing w:after="0"/>
        <w:rPr>
          <w:sz w:val="20"/>
          <w:szCs w:val="20"/>
          <w:color w:val="auto"/>
        </w:rPr>
      </w:pPr>
      <w:r>
        <w:rPr>
          <w:rFonts w:ascii="Arial" w:cs="Arial" w:eastAsia="Arial" w:hAnsi="Arial"/>
          <w:sz w:val="18"/>
          <w:szCs w:val="18"/>
          <w:color w:val="auto"/>
        </w:rPr>
        <w:t>*  Less than 10% of net revenue</w:t>
      </w:r>
    </w:p>
    <w:p>
      <w:pPr>
        <w:spacing w:after="0" w:line="171"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During the three months ended April 28, 2012, Western Digital acquired Hitachi’s HDD unit. The percentage of net revenue for Western Digital for the three months ended April 30, 2011 has not been adjusted to reflect this acquisition.</w:t>
      </w:r>
    </w:p>
    <w:p>
      <w:pPr>
        <w:spacing w:after="0" w:line="132"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Because we sell our products to many OEM manufacturers who have manufacturing operations located in Asia, a significant percentage of our sales are made to customers located outside of the United States. Sales to customers located in Asia represented 88% and 85% of our net revenue for the three months ended April 28, 2012 and April 30, 2011, respectively. We expect that a significant portion of our net revenue will continue to be represented by sales to our customers in Asia.</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360"/>
          </w:cols>
          <w:pgMar w:left="240" w:top="459" w:right="29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376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2640" w:type="dxa"/>
            <w:vAlign w:val="bottom"/>
            <w:gridSpan w:val="3"/>
          </w:tcPr>
          <w:p>
            <w:pPr>
              <w:jc w:val="right"/>
              <w:ind w:right="1000"/>
              <w:spacing w:after="0"/>
              <w:rPr>
                <w:sz w:val="20"/>
                <w:szCs w:val="20"/>
                <w:color w:val="auto"/>
              </w:rPr>
            </w:pPr>
            <w:r>
              <w:rPr>
                <w:rFonts w:ascii="Arial" w:cs="Arial" w:eastAsia="Arial" w:hAnsi="Arial"/>
                <w:sz w:val="14"/>
                <w:szCs w:val="14"/>
                <w:b w:val="1"/>
                <w:bCs w:val="1"/>
                <w:color w:val="auto"/>
              </w:rPr>
              <w:t>Three Months Ended</w:t>
            </w:r>
          </w:p>
        </w:tc>
        <w:tc>
          <w:tcPr>
            <w:tcW w:w="5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6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100" w:type="dxa"/>
            <w:vAlign w:val="bottom"/>
            <w:tcBorders>
              <w:top w:val="single" w:sz="8" w:color="auto"/>
            </w:tcBorders>
          </w:tcPr>
          <w:p>
            <w:pPr>
              <w:jc w:val="right"/>
              <w:ind w:right="432"/>
              <w:spacing w:after="0" w:line="129" w:lineRule="exact"/>
              <w:rPr>
                <w:sz w:val="20"/>
                <w:szCs w:val="20"/>
                <w:color w:val="auto"/>
              </w:rPr>
            </w:pPr>
            <w:r>
              <w:rPr>
                <w:rFonts w:ascii="Arial" w:cs="Arial" w:eastAsia="Arial" w:hAnsi="Arial"/>
                <w:sz w:val="14"/>
                <w:szCs w:val="14"/>
                <w:b w:val="1"/>
                <w:bCs w:val="1"/>
                <w:color w:val="auto"/>
              </w:rPr>
              <w:t>April 28,</w:t>
            </w:r>
          </w:p>
        </w:tc>
        <w:tc>
          <w:tcPr>
            <w:tcW w:w="940" w:type="dxa"/>
            <w:vAlign w:val="bottom"/>
            <w:tcBorders>
              <w:top w:val="single" w:sz="8" w:color="auto"/>
            </w:tcBorders>
          </w:tcPr>
          <w:p>
            <w:pPr>
              <w:jc w:val="right"/>
              <w:ind w:right="2"/>
              <w:spacing w:after="0" w:line="129" w:lineRule="exact"/>
              <w:rPr>
                <w:sz w:val="20"/>
                <w:szCs w:val="20"/>
                <w:color w:val="auto"/>
              </w:rPr>
            </w:pPr>
            <w:r>
              <w:rPr>
                <w:rFonts w:ascii="Arial" w:cs="Arial" w:eastAsia="Arial" w:hAnsi="Arial"/>
                <w:sz w:val="14"/>
                <w:szCs w:val="14"/>
                <w:b w:val="1"/>
                <w:bCs w:val="1"/>
                <w:color w:val="auto"/>
              </w:rPr>
              <w:t>April 30,</w:t>
            </w:r>
          </w:p>
        </w:tc>
        <w:tc>
          <w:tcPr>
            <w:tcW w:w="600" w:type="dxa"/>
            <w:vAlign w:val="bottom"/>
          </w:tcPr>
          <w:p>
            <w:pPr>
              <w:spacing w:after="0"/>
              <w:rPr>
                <w:sz w:val="11"/>
                <w:szCs w:val="11"/>
                <w:color w:val="auto"/>
              </w:rPr>
            </w:pPr>
          </w:p>
        </w:tc>
        <w:tc>
          <w:tcPr>
            <w:tcW w:w="5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60" w:type="dxa"/>
            <w:vAlign w:val="bottom"/>
          </w:tcPr>
          <w:p>
            <w:pPr>
              <w:spacing w:after="0"/>
              <w:rPr>
                <w:sz w:val="14"/>
                <w:szCs w:val="14"/>
                <w:color w:val="auto"/>
              </w:rPr>
            </w:pPr>
          </w:p>
        </w:tc>
        <w:tc>
          <w:tcPr>
            <w:tcW w:w="3540" w:type="dxa"/>
            <w:vAlign w:val="bottom"/>
            <w:gridSpan w:val="2"/>
          </w:tcPr>
          <w:p>
            <w:pPr>
              <w:jc w:val="right"/>
              <w:ind w:right="552"/>
              <w:spacing w:after="0"/>
              <w:rPr>
                <w:sz w:val="20"/>
                <w:szCs w:val="20"/>
                <w:color w:val="auto"/>
              </w:rPr>
            </w:pPr>
            <w:r>
              <w:rPr>
                <w:rFonts w:ascii="Arial" w:cs="Arial" w:eastAsia="Arial" w:hAnsi="Arial"/>
                <w:sz w:val="14"/>
                <w:szCs w:val="14"/>
                <w:b w:val="1"/>
                <w:bCs w:val="1"/>
                <w:color w:val="auto"/>
              </w:rPr>
              <w:t>2012</w:t>
            </w:r>
          </w:p>
        </w:tc>
        <w:tc>
          <w:tcPr>
            <w:tcW w:w="9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2011</w:t>
            </w:r>
          </w:p>
        </w:tc>
        <w:tc>
          <w:tcPr>
            <w:tcW w:w="600" w:type="dxa"/>
            <w:vAlign w:val="bottom"/>
          </w:tcPr>
          <w:p>
            <w:pPr>
              <w:spacing w:after="0"/>
              <w:rPr>
                <w:sz w:val="14"/>
                <w:szCs w:val="14"/>
                <w:color w:val="auto"/>
              </w:rPr>
            </w:pPr>
          </w:p>
        </w:tc>
        <w:tc>
          <w:tcPr>
            <w:tcW w:w="7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76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2640" w:type="dxa"/>
            <w:vAlign w:val="bottom"/>
            <w:tcBorders>
              <w:top w:val="single" w:sz="8" w:color="auto"/>
            </w:tcBorders>
            <w:gridSpan w:val="3"/>
          </w:tcPr>
          <w:p>
            <w:pPr>
              <w:jc w:val="right"/>
              <w:ind w:right="8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5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3540" w:type="dxa"/>
            <w:vAlign w:val="bottom"/>
            <w:gridSpan w:val="2"/>
            <w:shd w:val="clear" w:color="auto" w:fill="CCEEFF"/>
          </w:tcPr>
          <w:p>
            <w:pPr>
              <w:jc w:val="right"/>
              <w:ind w:right="352"/>
              <w:spacing w:after="0"/>
              <w:rPr>
                <w:sz w:val="20"/>
                <w:szCs w:val="20"/>
                <w:color w:val="auto"/>
              </w:rPr>
            </w:pPr>
            <w:r>
              <w:rPr>
                <w:rFonts w:ascii="Arial" w:cs="Arial" w:eastAsia="Arial" w:hAnsi="Arial"/>
                <w:sz w:val="18"/>
                <w:szCs w:val="18"/>
                <w:color w:val="auto"/>
              </w:rPr>
              <w:t>$366,322</w:t>
            </w:r>
          </w:p>
        </w:tc>
        <w:tc>
          <w:tcPr>
            <w:tcW w:w="154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$334,475</w:t>
            </w: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9.5%</w:t>
            </w:r>
          </w:p>
        </w:tc>
        <w:tc>
          <w:tcPr>
            <w:tcW w:w="0" w:type="dxa"/>
            <w:vAlign w:val="bottom"/>
          </w:tcPr>
          <w:p>
            <w:pPr>
              <w:spacing w:after="0"/>
              <w:rPr>
                <w:sz w:val="1"/>
                <w:szCs w:val="1"/>
                <w:color w:val="auto"/>
              </w:rPr>
            </w:pPr>
          </w:p>
        </w:tc>
      </w:tr>
      <w:tr>
        <w:trPr>
          <w:trHeight w:val="222"/>
        </w:trPr>
        <w:tc>
          <w:tcPr>
            <w:tcW w:w="3760" w:type="dxa"/>
            <w:vAlign w:val="bottom"/>
          </w:tcPr>
          <w:p>
            <w:pPr>
              <w:spacing w:after="0"/>
              <w:rPr>
                <w:sz w:val="20"/>
                <w:szCs w:val="20"/>
                <w:color w:val="auto"/>
              </w:rPr>
            </w:pPr>
            <w:r>
              <w:rPr>
                <w:rFonts w:ascii="Arial" w:cs="Arial" w:eastAsia="Arial" w:hAnsi="Arial"/>
                <w:sz w:val="18"/>
                <w:szCs w:val="18"/>
                <w:color w:val="auto"/>
              </w:rPr>
              <w:t>% of net revenue</w:t>
            </w:r>
          </w:p>
        </w:tc>
        <w:tc>
          <w:tcPr>
            <w:tcW w:w="3540" w:type="dxa"/>
            <w:vAlign w:val="bottom"/>
            <w:gridSpan w:val="2"/>
          </w:tcPr>
          <w:p>
            <w:pPr>
              <w:jc w:val="right"/>
              <w:ind w:right="212"/>
              <w:spacing w:after="0"/>
              <w:rPr>
                <w:sz w:val="20"/>
                <w:szCs w:val="20"/>
                <w:color w:val="auto"/>
              </w:rPr>
            </w:pPr>
            <w:r>
              <w:rPr>
                <w:rFonts w:ascii="Arial" w:cs="Arial" w:eastAsia="Arial" w:hAnsi="Arial"/>
                <w:sz w:val="18"/>
                <w:szCs w:val="18"/>
                <w:color w:val="auto"/>
              </w:rPr>
              <w:t>46.0%</w:t>
            </w:r>
          </w:p>
        </w:tc>
        <w:tc>
          <w:tcPr>
            <w:tcW w:w="1540" w:type="dxa"/>
            <w:vAlign w:val="bottom"/>
            <w:gridSpan w:val="2"/>
          </w:tcPr>
          <w:p>
            <w:pPr>
              <w:jc w:val="right"/>
              <w:ind w:right="440"/>
              <w:spacing w:after="0"/>
              <w:rPr>
                <w:sz w:val="20"/>
                <w:szCs w:val="20"/>
                <w:color w:val="auto"/>
              </w:rPr>
            </w:pPr>
            <w:r>
              <w:rPr>
                <w:rFonts w:ascii="Arial" w:cs="Arial" w:eastAsia="Arial" w:hAnsi="Arial"/>
                <w:sz w:val="18"/>
                <w:szCs w:val="18"/>
                <w:color w:val="auto"/>
              </w:rPr>
              <w:t>41.7%</w:t>
            </w:r>
          </w:p>
        </w:tc>
        <w:tc>
          <w:tcPr>
            <w:tcW w:w="5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increase in cost of goods sold as a percentage of net revenue for the three months ended April 28, 2012 compared to the three months ended April 30, 2011 was primarily due to the product pricing declines outpacing the cost reductions received from our manufacturing partners. In addition, the gross margin mix of our net revenue declined compared to the year-ago period, driven by growth in new emerging businesses with lower gross margins.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18"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We currently expect cost of goods sold as a percentage of net revenue for the three months ending July 28, 2012 to be flat compared to the three months ended April 28, 2012.</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240" w:type="dxa"/>
            <w:vAlign w:val="bottom"/>
          </w:tcPr>
          <w:p>
            <w:pPr>
              <w:spacing w:after="0"/>
              <w:rPr>
                <w:sz w:val="14"/>
                <w:szCs w:val="14"/>
                <w:color w:val="auto"/>
              </w:rPr>
            </w:pPr>
          </w:p>
        </w:tc>
        <w:tc>
          <w:tcPr>
            <w:tcW w:w="2600" w:type="dxa"/>
            <w:vAlign w:val="bottom"/>
            <w:gridSpan w:val="3"/>
          </w:tcPr>
          <w:p>
            <w:pPr>
              <w:jc w:val="right"/>
              <w:ind w:right="980"/>
              <w:spacing w:after="0"/>
              <w:rPr>
                <w:sz w:val="20"/>
                <w:szCs w:val="20"/>
                <w:color w:val="auto"/>
              </w:rPr>
            </w:pPr>
            <w:r>
              <w:rPr>
                <w:rFonts w:ascii="Arial" w:cs="Arial" w:eastAsia="Arial" w:hAnsi="Arial"/>
                <w:sz w:val="14"/>
                <w:szCs w:val="14"/>
                <w:b w:val="1"/>
                <w:bCs w:val="1"/>
                <w:color w:val="auto"/>
              </w:rPr>
              <w:t>Three Months Ended</w:t>
            </w:r>
          </w:p>
        </w:tc>
        <w:tc>
          <w:tcPr>
            <w:tcW w:w="5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240" w:type="dxa"/>
            <w:vAlign w:val="bottom"/>
          </w:tcPr>
          <w:p>
            <w:pPr>
              <w:spacing w:after="0"/>
              <w:rPr>
                <w:sz w:val="11"/>
                <w:szCs w:val="11"/>
                <w:color w:val="auto"/>
              </w:rPr>
            </w:pPr>
          </w:p>
        </w:tc>
        <w:tc>
          <w:tcPr>
            <w:tcW w:w="1080" w:type="dxa"/>
            <w:vAlign w:val="bottom"/>
            <w:tcBorders>
              <w:top w:val="single" w:sz="8" w:color="auto"/>
            </w:tcBorders>
          </w:tcPr>
          <w:p>
            <w:pPr>
              <w:jc w:val="right"/>
              <w:ind w:right="426"/>
              <w:spacing w:after="0" w:line="129" w:lineRule="exact"/>
              <w:rPr>
                <w:sz w:val="20"/>
                <w:szCs w:val="20"/>
                <w:color w:val="auto"/>
              </w:rPr>
            </w:pPr>
            <w:r>
              <w:rPr>
                <w:rFonts w:ascii="Arial" w:cs="Arial" w:eastAsia="Arial" w:hAnsi="Arial"/>
                <w:sz w:val="14"/>
                <w:szCs w:val="14"/>
                <w:b w:val="1"/>
                <w:bCs w:val="1"/>
                <w:color w:val="auto"/>
              </w:rPr>
              <w:t>April 28,</w:t>
            </w:r>
          </w:p>
        </w:tc>
        <w:tc>
          <w:tcPr>
            <w:tcW w:w="940" w:type="dxa"/>
            <w:vAlign w:val="bottom"/>
            <w:tcBorders>
              <w:top w:val="single" w:sz="8" w:color="auto"/>
            </w:tcBorders>
          </w:tcPr>
          <w:p>
            <w:pPr>
              <w:jc w:val="right"/>
              <w:ind w:right="2"/>
              <w:spacing w:after="0" w:line="129" w:lineRule="exact"/>
              <w:rPr>
                <w:sz w:val="20"/>
                <w:szCs w:val="20"/>
                <w:color w:val="auto"/>
              </w:rPr>
            </w:pPr>
            <w:r>
              <w:rPr>
                <w:rFonts w:ascii="Arial" w:cs="Arial" w:eastAsia="Arial" w:hAnsi="Arial"/>
                <w:sz w:val="14"/>
                <w:szCs w:val="14"/>
                <w:b w:val="1"/>
                <w:bCs w:val="1"/>
                <w:color w:val="auto"/>
              </w:rPr>
              <w:t>April 30,</w:t>
            </w:r>
          </w:p>
        </w:tc>
        <w:tc>
          <w:tcPr>
            <w:tcW w:w="580" w:type="dxa"/>
            <w:vAlign w:val="bottom"/>
          </w:tcPr>
          <w:p>
            <w:pPr>
              <w:spacing w:after="0"/>
              <w:rPr>
                <w:sz w:val="11"/>
                <w:szCs w:val="11"/>
                <w:color w:val="auto"/>
              </w:rPr>
            </w:pPr>
          </w:p>
        </w:tc>
        <w:tc>
          <w:tcPr>
            <w:tcW w:w="5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240" w:type="dxa"/>
            <w:vAlign w:val="bottom"/>
          </w:tcPr>
          <w:p>
            <w:pPr>
              <w:spacing w:after="0"/>
              <w:rPr>
                <w:sz w:val="14"/>
                <w:szCs w:val="14"/>
                <w:color w:val="auto"/>
              </w:rPr>
            </w:pPr>
          </w:p>
        </w:tc>
        <w:tc>
          <w:tcPr>
            <w:tcW w:w="1080" w:type="dxa"/>
            <w:vAlign w:val="bottom"/>
          </w:tcPr>
          <w:p>
            <w:pPr>
              <w:jc w:val="right"/>
              <w:ind w:right="546"/>
              <w:spacing w:after="0"/>
              <w:rPr>
                <w:sz w:val="20"/>
                <w:szCs w:val="20"/>
                <w:color w:val="auto"/>
              </w:rPr>
            </w:pPr>
            <w:r>
              <w:rPr>
                <w:rFonts w:ascii="Arial" w:cs="Arial" w:eastAsia="Arial" w:hAnsi="Arial"/>
                <w:sz w:val="14"/>
                <w:szCs w:val="14"/>
                <w:b w:val="1"/>
                <w:bCs w:val="1"/>
                <w:color w:val="auto"/>
              </w:rPr>
              <w:t>2012</w:t>
            </w:r>
          </w:p>
        </w:tc>
        <w:tc>
          <w:tcPr>
            <w:tcW w:w="9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2011</w:t>
            </w:r>
          </w:p>
        </w:tc>
        <w:tc>
          <w:tcPr>
            <w:tcW w:w="580" w:type="dxa"/>
            <w:vAlign w:val="bottom"/>
          </w:tcPr>
          <w:p>
            <w:pPr>
              <w:spacing w:after="0"/>
              <w:rPr>
                <w:sz w:val="14"/>
                <w:szCs w:val="14"/>
                <w:color w:val="auto"/>
              </w:rPr>
            </w:pPr>
          </w:p>
        </w:tc>
        <w:tc>
          <w:tcPr>
            <w:tcW w:w="7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240" w:type="dxa"/>
            <w:vAlign w:val="bottom"/>
          </w:tcPr>
          <w:p>
            <w:pPr>
              <w:spacing w:after="0"/>
              <w:rPr>
                <w:sz w:val="12"/>
                <w:szCs w:val="12"/>
                <w:color w:val="auto"/>
              </w:rPr>
            </w:pPr>
          </w:p>
        </w:tc>
        <w:tc>
          <w:tcPr>
            <w:tcW w:w="2600" w:type="dxa"/>
            <w:vAlign w:val="bottom"/>
            <w:tcBorders>
              <w:top w:val="single" w:sz="8" w:color="auto"/>
            </w:tcBorders>
            <w:gridSpan w:val="3"/>
          </w:tcPr>
          <w:p>
            <w:pPr>
              <w:jc w:val="right"/>
              <w:ind w:right="8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5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24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080" w:type="dxa"/>
            <w:vAlign w:val="bottom"/>
            <w:shd w:val="clear" w:color="auto" w:fill="CCEEFF"/>
          </w:tcPr>
          <w:p>
            <w:pPr>
              <w:jc w:val="right"/>
              <w:ind w:right="346"/>
              <w:spacing w:after="0"/>
              <w:rPr>
                <w:sz w:val="20"/>
                <w:szCs w:val="20"/>
                <w:color w:val="auto"/>
              </w:rPr>
            </w:pPr>
            <w:r>
              <w:rPr>
                <w:rFonts w:ascii="Arial" w:cs="Arial" w:eastAsia="Arial" w:hAnsi="Arial"/>
                <w:sz w:val="18"/>
                <w:szCs w:val="18"/>
                <w:color w:val="auto"/>
                <w:w w:val="85"/>
              </w:rPr>
              <w:t>$255,970</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$242,537</w:t>
            </w:r>
          </w:p>
        </w:tc>
        <w:tc>
          <w:tcPr>
            <w:tcW w:w="5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22"/>
        </w:trPr>
        <w:tc>
          <w:tcPr>
            <w:tcW w:w="6240" w:type="dxa"/>
            <w:vAlign w:val="bottom"/>
          </w:tcPr>
          <w:p>
            <w:pPr>
              <w:spacing w:after="0"/>
              <w:rPr>
                <w:sz w:val="20"/>
                <w:szCs w:val="20"/>
                <w:color w:val="auto"/>
              </w:rPr>
            </w:pPr>
            <w:r>
              <w:rPr>
                <w:rFonts w:ascii="Arial" w:cs="Arial" w:eastAsia="Arial" w:hAnsi="Arial"/>
                <w:sz w:val="18"/>
                <w:szCs w:val="18"/>
                <w:color w:val="auto"/>
              </w:rPr>
              <w:t>% of net revenue</w:t>
            </w:r>
          </w:p>
        </w:tc>
        <w:tc>
          <w:tcPr>
            <w:tcW w:w="1080" w:type="dxa"/>
            <w:vAlign w:val="bottom"/>
          </w:tcPr>
          <w:p>
            <w:pPr>
              <w:jc w:val="right"/>
              <w:ind w:right="186"/>
              <w:spacing w:after="0"/>
              <w:rPr>
                <w:sz w:val="20"/>
                <w:szCs w:val="20"/>
                <w:color w:val="auto"/>
              </w:rPr>
            </w:pPr>
            <w:r>
              <w:rPr>
                <w:rFonts w:ascii="Arial" w:cs="Arial" w:eastAsia="Arial" w:hAnsi="Arial"/>
                <w:sz w:val="18"/>
                <w:szCs w:val="18"/>
                <w:color w:val="auto"/>
              </w:rPr>
              <w:t>32.1%</w:t>
            </w:r>
          </w:p>
        </w:tc>
        <w:tc>
          <w:tcPr>
            <w:tcW w:w="1520" w:type="dxa"/>
            <w:vAlign w:val="bottom"/>
            <w:gridSpan w:val="2"/>
          </w:tcPr>
          <w:p>
            <w:pPr>
              <w:jc w:val="right"/>
              <w:ind w:right="440"/>
              <w:spacing w:after="0"/>
              <w:rPr>
                <w:sz w:val="20"/>
                <w:szCs w:val="20"/>
                <w:color w:val="auto"/>
              </w:rPr>
            </w:pPr>
            <w:r>
              <w:rPr>
                <w:rFonts w:ascii="Arial" w:cs="Arial" w:eastAsia="Arial" w:hAnsi="Arial"/>
                <w:sz w:val="18"/>
                <w:szCs w:val="18"/>
                <w:color w:val="auto"/>
              </w:rPr>
              <w:t>30.2%</w:t>
            </w:r>
          </w:p>
        </w:tc>
        <w:tc>
          <w:tcPr>
            <w:tcW w:w="5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300" w:firstLine="456"/>
        <w:spacing w:after="0" w:line="298" w:lineRule="auto"/>
        <w:rPr>
          <w:sz w:val="20"/>
          <w:szCs w:val="20"/>
          <w:color w:val="auto"/>
        </w:rPr>
      </w:pPr>
      <w:r>
        <w:rPr>
          <w:rFonts w:ascii="Arial" w:cs="Arial" w:eastAsia="Arial" w:hAnsi="Arial"/>
          <w:sz w:val="16"/>
          <w:szCs w:val="16"/>
          <w:color w:val="auto"/>
        </w:rPr>
        <w:t>The increase of $13.4 million in research and development expense for the three months ended April 28, 2012 compared to the three months ended April 30, 2011 was primarily attributable to a $20.0 million increase in personnel-related costs as a result of increased headcount and higher annual employee compensation. This was offset by a $2.4 million decrease in stock-based compensation expense primarily as the result of restricted stock units granted under a tender offer exchange program that were fully vested by the end of fiscal 2012 and by an overall decrease in discretionary spending.</w:t>
      </w:r>
    </w:p>
    <w:p>
      <w:pPr>
        <w:spacing w:after="0" w:line="113"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We currently expect that research and development expense for the three months ending July 28, 2012 will be higher than the level of expense reported for the three months ended April 28, 2012 as we continue to invest in future growth.</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400" w:type="dxa"/>
            <w:vAlign w:val="bottom"/>
          </w:tcPr>
          <w:p>
            <w:pPr>
              <w:spacing w:after="0"/>
              <w:rPr>
                <w:sz w:val="14"/>
                <w:szCs w:val="14"/>
                <w:color w:val="auto"/>
              </w:rPr>
            </w:pPr>
          </w:p>
        </w:tc>
        <w:tc>
          <w:tcPr>
            <w:tcW w:w="2500" w:type="dxa"/>
            <w:vAlign w:val="bottom"/>
            <w:gridSpan w:val="3"/>
          </w:tcPr>
          <w:p>
            <w:pPr>
              <w:jc w:val="right"/>
              <w:ind w:right="960"/>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400" w:type="dxa"/>
            <w:vAlign w:val="bottom"/>
          </w:tcPr>
          <w:p>
            <w:pPr>
              <w:spacing w:after="0"/>
              <w:rPr>
                <w:sz w:val="11"/>
                <w:szCs w:val="11"/>
                <w:color w:val="auto"/>
              </w:rPr>
            </w:pPr>
          </w:p>
        </w:tc>
        <w:tc>
          <w:tcPr>
            <w:tcW w:w="1000" w:type="dxa"/>
            <w:vAlign w:val="bottom"/>
            <w:tcBorders>
              <w:top w:val="single" w:sz="8" w:color="auto"/>
            </w:tcBorders>
          </w:tcPr>
          <w:p>
            <w:pPr>
              <w:jc w:val="right"/>
              <w:ind w:right="386"/>
              <w:spacing w:after="0" w:line="129" w:lineRule="exact"/>
              <w:rPr>
                <w:sz w:val="20"/>
                <w:szCs w:val="20"/>
                <w:color w:val="auto"/>
              </w:rPr>
            </w:pPr>
            <w:r>
              <w:rPr>
                <w:rFonts w:ascii="Arial" w:cs="Arial" w:eastAsia="Arial" w:hAnsi="Arial"/>
                <w:sz w:val="14"/>
                <w:szCs w:val="14"/>
                <w:b w:val="1"/>
                <w:bCs w:val="1"/>
                <w:color w:val="auto"/>
                <w:w w:val="94"/>
              </w:rPr>
              <w:t>April 28,</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April 30,</w:t>
            </w:r>
          </w:p>
        </w:tc>
        <w:tc>
          <w:tcPr>
            <w:tcW w:w="660" w:type="dxa"/>
            <w:vAlign w:val="bottom"/>
          </w:tcPr>
          <w:p>
            <w:pPr>
              <w:spacing w:after="0"/>
              <w:rPr>
                <w:sz w:val="11"/>
                <w:szCs w:val="11"/>
                <w:color w:val="auto"/>
              </w:rPr>
            </w:pPr>
          </w:p>
        </w:tc>
        <w:tc>
          <w:tcPr>
            <w:tcW w:w="4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400" w:type="dxa"/>
            <w:vAlign w:val="bottom"/>
          </w:tcPr>
          <w:p>
            <w:pPr>
              <w:spacing w:after="0"/>
              <w:rPr>
                <w:sz w:val="14"/>
                <w:szCs w:val="14"/>
                <w:color w:val="auto"/>
              </w:rPr>
            </w:pPr>
          </w:p>
        </w:tc>
        <w:tc>
          <w:tcPr>
            <w:tcW w:w="1000" w:type="dxa"/>
            <w:vAlign w:val="bottom"/>
          </w:tcPr>
          <w:p>
            <w:pPr>
              <w:jc w:val="right"/>
              <w:ind w:right="506"/>
              <w:spacing w:after="0"/>
              <w:rPr>
                <w:sz w:val="20"/>
                <w:szCs w:val="20"/>
                <w:color w:val="auto"/>
              </w:rPr>
            </w:pPr>
            <w:r>
              <w:rPr>
                <w:rFonts w:ascii="Arial" w:cs="Arial" w:eastAsia="Arial" w:hAnsi="Arial"/>
                <w:sz w:val="14"/>
                <w:szCs w:val="14"/>
                <w:b w:val="1"/>
                <w:bCs w:val="1"/>
                <w:color w:val="auto"/>
              </w:rPr>
              <w:t>2012</w:t>
            </w:r>
          </w:p>
        </w:tc>
        <w:tc>
          <w:tcPr>
            <w:tcW w:w="840" w:type="dxa"/>
            <w:vAlign w:val="bottom"/>
          </w:tcPr>
          <w:p>
            <w:pPr>
              <w:jc w:val="right"/>
              <w:ind w:right="82"/>
              <w:spacing w:after="0"/>
              <w:rPr>
                <w:sz w:val="20"/>
                <w:szCs w:val="20"/>
                <w:color w:val="auto"/>
              </w:rPr>
            </w:pPr>
            <w:r>
              <w:rPr>
                <w:rFonts w:ascii="Arial" w:cs="Arial" w:eastAsia="Arial" w:hAnsi="Arial"/>
                <w:sz w:val="14"/>
                <w:szCs w:val="14"/>
                <w:b w:val="1"/>
                <w:bCs w:val="1"/>
                <w:color w:val="auto"/>
              </w:rPr>
              <w:t>2011</w:t>
            </w:r>
          </w:p>
        </w:tc>
        <w:tc>
          <w:tcPr>
            <w:tcW w:w="660" w:type="dxa"/>
            <w:vAlign w:val="bottom"/>
          </w:tcPr>
          <w:p>
            <w:pPr>
              <w:spacing w:after="0"/>
              <w:rPr>
                <w:sz w:val="14"/>
                <w:szCs w:val="14"/>
                <w:color w:val="auto"/>
              </w:rPr>
            </w:pPr>
          </w:p>
        </w:tc>
        <w:tc>
          <w:tcPr>
            <w:tcW w:w="6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400" w:type="dxa"/>
            <w:vAlign w:val="bottom"/>
          </w:tcPr>
          <w:p>
            <w:pPr>
              <w:spacing w:after="0"/>
              <w:rPr>
                <w:sz w:val="12"/>
                <w:szCs w:val="12"/>
                <w:color w:val="auto"/>
              </w:rPr>
            </w:pPr>
          </w:p>
        </w:tc>
        <w:tc>
          <w:tcPr>
            <w:tcW w:w="250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4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000" w:type="dxa"/>
            <w:vAlign w:val="bottom"/>
            <w:shd w:val="clear" w:color="auto" w:fill="CCEEFF"/>
          </w:tcPr>
          <w:p>
            <w:pPr>
              <w:jc w:val="right"/>
              <w:ind w:right="346"/>
              <w:spacing w:after="0"/>
              <w:rPr>
                <w:sz w:val="20"/>
                <w:szCs w:val="20"/>
                <w:color w:val="auto"/>
              </w:rPr>
            </w:pPr>
            <w:r>
              <w:rPr>
                <w:rFonts w:ascii="Arial" w:cs="Arial" w:eastAsia="Arial" w:hAnsi="Arial"/>
                <w:sz w:val="18"/>
                <w:szCs w:val="18"/>
                <w:color w:val="auto"/>
                <w:w w:val="86"/>
              </w:rPr>
              <w:t>$40,066</w:t>
            </w:r>
          </w:p>
        </w:tc>
        <w:tc>
          <w:tcPr>
            <w:tcW w:w="150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$38,152</w:t>
            </w:r>
          </w:p>
        </w:tc>
        <w:tc>
          <w:tcPr>
            <w:tcW w:w="6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22"/>
        </w:trPr>
        <w:tc>
          <w:tcPr>
            <w:tcW w:w="6400" w:type="dxa"/>
            <w:vAlign w:val="bottom"/>
          </w:tcPr>
          <w:p>
            <w:pPr>
              <w:spacing w:after="0"/>
              <w:rPr>
                <w:sz w:val="20"/>
                <w:szCs w:val="20"/>
                <w:color w:val="auto"/>
              </w:rPr>
            </w:pPr>
            <w:r>
              <w:rPr>
                <w:rFonts w:ascii="Arial" w:cs="Arial" w:eastAsia="Arial" w:hAnsi="Arial"/>
                <w:sz w:val="18"/>
                <w:szCs w:val="18"/>
                <w:color w:val="auto"/>
              </w:rPr>
              <w:t>% of net revenue</w:t>
            </w:r>
          </w:p>
        </w:tc>
        <w:tc>
          <w:tcPr>
            <w:tcW w:w="1000" w:type="dxa"/>
            <w:vAlign w:val="bottom"/>
          </w:tcPr>
          <w:p>
            <w:pPr>
              <w:jc w:val="right"/>
              <w:ind w:right="206"/>
              <w:spacing w:after="0"/>
              <w:rPr>
                <w:sz w:val="20"/>
                <w:szCs w:val="20"/>
                <w:color w:val="auto"/>
              </w:rPr>
            </w:pPr>
            <w:r>
              <w:rPr>
                <w:rFonts w:ascii="Arial" w:cs="Arial" w:eastAsia="Arial" w:hAnsi="Arial"/>
                <w:sz w:val="18"/>
                <w:szCs w:val="18"/>
                <w:color w:val="auto"/>
              </w:rPr>
              <w:t>5.0%</w:t>
            </w:r>
          </w:p>
        </w:tc>
        <w:tc>
          <w:tcPr>
            <w:tcW w:w="1500" w:type="dxa"/>
            <w:vAlign w:val="bottom"/>
            <w:gridSpan w:val="2"/>
          </w:tcPr>
          <w:p>
            <w:pPr>
              <w:jc w:val="right"/>
              <w:ind w:right="500"/>
              <w:spacing w:after="0"/>
              <w:rPr>
                <w:sz w:val="20"/>
                <w:szCs w:val="20"/>
                <w:color w:val="auto"/>
              </w:rPr>
            </w:pPr>
            <w:r>
              <w:rPr>
                <w:rFonts w:ascii="Arial" w:cs="Arial" w:eastAsia="Arial" w:hAnsi="Arial"/>
                <w:sz w:val="18"/>
                <w:szCs w:val="18"/>
                <w:color w:val="auto"/>
              </w:rPr>
              <w:t>4.7%</w:t>
            </w:r>
          </w:p>
        </w:tc>
        <w:tc>
          <w:tcPr>
            <w:tcW w:w="4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335" w:lineRule="auto"/>
        <w:rPr>
          <w:sz w:val="20"/>
          <w:szCs w:val="20"/>
          <w:color w:val="auto"/>
        </w:rPr>
      </w:pPr>
      <w:r>
        <w:rPr>
          <w:rFonts w:ascii="Arial" w:cs="Arial" w:eastAsia="Arial" w:hAnsi="Arial"/>
          <w:sz w:val="15"/>
          <w:szCs w:val="15"/>
          <w:color w:val="auto"/>
        </w:rPr>
        <w:t>Selling and marketing expense for the three months ended April 28, 2012 increased by $1.9 million compared to the three months ended April 30, 2011. The increase was primarily attributable to a $1.0 million increase in personnel-related costs from increased contractor and other professional services to grow new markets, as well as higher stock-based compensation expense. In addition, greater trade show and public relations activities also contributed to the increase.</w:t>
      </w:r>
    </w:p>
    <w:p>
      <w:pPr>
        <w:spacing w:after="0" w:line="88"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We currently expect that selling and marketing expense for the three months ending July 28, 2012 will be higher than the level of expense reported for the three months ended April 28, 2012 primarily due to higher selling commissions as a result of higher net revenue in the quarter.</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330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2480" w:type="dxa"/>
            <w:vAlign w:val="bottom"/>
            <w:gridSpan w:val="3"/>
          </w:tcPr>
          <w:p>
            <w:pPr>
              <w:jc w:val="right"/>
              <w:ind w:right="940"/>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300" w:type="dxa"/>
            <w:vAlign w:val="bottom"/>
          </w:tcPr>
          <w:p>
            <w:pPr>
              <w:spacing w:after="0"/>
              <w:rPr>
                <w:sz w:val="11"/>
                <w:szCs w:val="11"/>
                <w:color w:val="auto"/>
              </w:rPr>
            </w:pPr>
          </w:p>
        </w:tc>
        <w:tc>
          <w:tcPr>
            <w:tcW w:w="3120" w:type="dxa"/>
            <w:vAlign w:val="bottom"/>
          </w:tcPr>
          <w:p>
            <w:pPr>
              <w:spacing w:after="0"/>
              <w:rPr>
                <w:sz w:val="11"/>
                <w:szCs w:val="11"/>
                <w:color w:val="auto"/>
              </w:rPr>
            </w:pPr>
          </w:p>
        </w:tc>
        <w:tc>
          <w:tcPr>
            <w:tcW w:w="1000" w:type="dxa"/>
            <w:vAlign w:val="bottom"/>
            <w:tcBorders>
              <w:top w:val="single" w:sz="8" w:color="auto"/>
            </w:tcBorders>
          </w:tcPr>
          <w:p>
            <w:pPr>
              <w:jc w:val="right"/>
              <w:ind w:right="392"/>
              <w:spacing w:after="0" w:line="129" w:lineRule="exact"/>
              <w:rPr>
                <w:sz w:val="20"/>
                <w:szCs w:val="20"/>
                <w:color w:val="auto"/>
              </w:rPr>
            </w:pPr>
            <w:r>
              <w:rPr>
                <w:rFonts w:ascii="Arial" w:cs="Arial" w:eastAsia="Arial" w:hAnsi="Arial"/>
                <w:sz w:val="14"/>
                <w:szCs w:val="14"/>
                <w:b w:val="1"/>
                <w:bCs w:val="1"/>
                <w:color w:val="auto"/>
                <w:w w:val="94"/>
              </w:rPr>
              <w:t>April 28,</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April 30,</w:t>
            </w:r>
          </w:p>
        </w:tc>
        <w:tc>
          <w:tcPr>
            <w:tcW w:w="640" w:type="dxa"/>
            <w:vAlign w:val="bottom"/>
          </w:tcPr>
          <w:p>
            <w:pPr>
              <w:spacing w:after="0"/>
              <w:rPr>
                <w:sz w:val="11"/>
                <w:szCs w:val="11"/>
                <w:color w:val="auto"/>
              </w:rPr>
            </w:pPr>
          </w:p>
        </w:tc>
        <w:tc>
          <w:tcPr>
            <w:tcW w:w="4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300" w:type="dxa"/>
            <w:vAlign w:val="bottom"/>
          </w:tcPr>
          <w:p>
            <w:pPr>
              <w:spacing w:after="0"/>
              <w:rPr>
                <w:sz w:val="14"/>
                <w:szCs w:val="14"/>
                <w:color w:val="auto"/>
              </w:rPr>
            </w:pPr>
          </w:p>
        </w:tc>
        <w:tc>
          <w:tcPr>
            <w:tcW w:w="4120" w:type="dxa"/>
            <w:vAlign w:val="bottom"/>
            <w:gridSpan w:val="2"/>
          </w:tcPr>
          <w:p>
            <w:pPr>
              <w:jc w:val="right"/>
              <w:ind w:right="512"/>
              <w:spacing w:after="0"/>
              <w:rPr>
                <w:sz w:val="20"/>
                <w:szCs w:val="20"/>
                <w:color w:val="auto"/>
              </w:rPr>
            </w:pPr>
            <w:r>
              <w:rPr>
                <w:rFonts w:ascii="Arial" w:cs="Arial" w:eastAsia="Arial" w:hAnsi="Arial"/>
                <w:sz w:val="14"/>
                <w:szCs w:val="14"/>
                <w:b w:val="1"/>
                <w:bCs w:val="1"/>
                <w:color w:val="auto"/>
              </w:rPr>
              <w:t>2012</w:t>
            </w:r>
          </w:p>
        </w:tc>
        <w:tc>
          <w:tcPr>
            <w:tcW w:w="840" w:type="dxa"/>
            <w:vAlign w:val="bottom"/>
          </w:tcPr>
          <w:p>
            <w:pPr>
              <w:jc w:val="right"/>
              <w:ind w:right="82"/>
              <w:spacing w:after="0"/>
              <w:rPr>
                <w:sz w:val="20"/>
                <w:szCs w:val="20"/>
                <w:color w:val="auto"/>
              </w:rPr>
            </w:pPr>
            <w:r>
              <w:rPr>
                <w:rFonts w:ascii="Arial" w:cs="Arial" w:eastAsia="Arial" w:hAnsi="Arial"/>
                <w:sz w:val="14"/>
                <w:szCs w:val="14"/>
                <w:b w:val="1"/>
                <w:bCs w:val="1"/>
                <w:color w:val="auto"/>
              </w:rPr>
              <w:t>2011</w:t>
            </w:r>
          </w:p>
        </w:tc>
        <w:tc>
          <w:tcPr>
            <w:tcW w:w="640" w:type="dxa"/>
            <w:vAlign w:val="bottom"/>
          </w:tcPr>
          <w:p>
            <w:pPr>
              <w:spacing w:after="0"/>
              <w:rPr>
                <w:sz w:val="14"/>
                <w:szCs w:val="14"/>
                <w:color w:val="auto"/>
              </w:rPr>
            </w:pPr>
          </w:p>
        </w:tc>
        <w:tc>
          <w:tcPr>
            <w:tcW w:w="6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300" w:type="dxa"/>
            <w:vAlign w:val="bottom"/>
          </w:tcPr>
          <w:p>
            <w:pPr>
              <w:spacing w:after="0"/>
              <w:rPr>
                <w:sz w:val="12"/>
                <w:szCs w:val="12"/>
                <w:color w:val="auto"/>
              </w:rPr>
            </w:pPr>
          </w:p>
        </w:tc>
        <w:tc>
          <w:tcPr>
            <w:tcW w:w="3120" w:type="dxa"/>
            <w:vAlign w:val="bottom"/>
          </w:tcPr>
          <w:p>
            <w:pPr>
              <w:spacing w:after="0"/>
              <w:rPr>
                <w:sz w:val="12"/>
                <w:szCs w:val="12"/>
                <w:color w:val="auto"/>
              </w:rPr>
            </w:pPr>
          </w:p>
        </w:tc>
        <w:tc>
          <w:tcPr>
            <w:tcW w:w="2480" w:type="dxa"/>
            <w:vAlign w:val="bottom"/>
            <w:tcBorders>
              <w:top w:val="single" w:sz="8" w:color="auto"/>
            </w:tcBorders>
            <w:gridSpan w:val="3"/>
          </w:tcPr>
          <w:p>
            <w:pPr>
              <w:jc w:val="right"/>
              <w:ind w:right="4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30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4120" w:type="dxa"/>
            <w:vAlign w:val="bottom"/>
            <w:gridSpan w:val="2"/>
            <w:shd w:val="clear" w:color="auto" w:fill="CCEEFF"/>
          </w:tcPr>
          <w:p>
            <w:pPr>
              <w:jc w:val="right"/>
              <w:ind w:right="352"/>
              <w:spacing w:after="0"/>
              <w:rPr>
                <w:sz w:val="20"/>
                <w:szCs w:val="20"/>
                <w:color w:val="auto"/>
              </w:rPr>
            </w:pPr>
            <w:r>
              <w:rPr>
                <w:rFonts w:ascii="Arial" w:cs="Arial" w:eastAsia="Arial" w:hAnsi="Arial"/>
                <w:sz w:val="18"/>
                <w:szCs w:val="18"/>
                <w:color w:val="auto"/>
              </w:rPr>
              <w:t>$25,705</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$24,784</w:t>
            </w:r>
          </w:p>
        </w:tc>
        <w:tc>
          <w:tcPr>
            <w:tcW w:w="6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22"/>
        </w:trPr>
        <w:tc>
          <w:tcPr>
            <w:tcW w:w="3300" w:type="dxa"/>
            <w:vAlign w:val="bottom"/>
          </w:tcPr>
          <w:p>
            <w:pPr>
              <w:spacing w:after="0"/>
              <w:rPr>
                <w:sz w:val="20"/>
                <w:szCs w:val="20"/>
                <w:color w:val="auto"/>
              </w:rPr>
            </w:pPr>
            <w:r>
              <w:rPr>
                <w:rFonts w:ascii="Arial" w:cs="Arial" w:eastAsia="Arial" w:hAnsi="Arial"/>
                <w:sz w:val="18"/>
                <w:szCs w:val="18"/>
                <w:color w:val="auto"/>
              </w:rPr>
              <w:t>% of net revenue</w:t>
            </w:r>
          </w:p>
        </w:tc>
        <w:tc>
          <w:tcPr>
            <w:tcW w:w="4120" w:type="dxa"/>
            <w:vAlign w:val="bottom"/>
            <w:gridSpan w:val="2"/>
          </w:tcPr>
          <w:p>
            <w:pPr>
              <w:jc w:val="right"/>
              <w:ind w:right="212"/>
              <w:spacing w:after="0"/>
              <w:rPr>
                <w:sz w:val="20"/>
                <w:szCs w:val="20"/>
                <w:color w:val="auto"/>
              </w:rPr>
            </w:pPr>
            <w:r>
              <w:rPr>
                <w:rFonts w:ascii="Arial" w:cs="Arial" w:eastAsia="Arial" w:hAnsi="Arial"/>
                <w:sz w:val="18"/>
                <w:szCs w:val="18"/>
                <w:color w:val="auto"/>
              </w:rPr>
              <w:t>3.3%</w:t>
            </w:r>
          </w:p>
        </w:tc>
        <w:tc>
          <w:tcPr>
            <w:tcW w:w="1480" w:type="dxa"/>
            <w:vAlign w:val="bottom"/>
            <w:gridSpan w:val="2"/>
          </w:tcPr>
          <w:p>
            <w:pPr>
              <w:jc w:val="right"/>
              <w:ind w:right="500"/>
              <w:spacing w:after="0"/>
              <w:rPr>
                <w:sz w:val="20"/>
                <w:szCs w:val="20"/>
                <w:color w:val="auto"/>
              </w:rPr>
            </w:pPr>
            <w:r>
              <w:rPr>
                <w:rFonts w:ascii="Arial" w:cs="Arial" w:eastAsia="Arial" w:hAnsi="Arial"/>
                <w:sz w:val="18"/>
                <w:szCs w:val="18"/>
                <w:color w:val="auto"/>
              </w:rPr>
              <w:t>3.1%</w:t>
            </w:r>
          </w:p>
        </w:tc>
        <w:tc>
          <w:tcPr>
            <w:tcW w:w="4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300" w:type="dxa"/>
            <w:vAlign w:val="bottom"/>
          </w:tcPr>
          <w:p>
            <w:pPr>
              <w:spacing w:after="0"/>
              <w:rPr>
                <w:sz w:val="24"/>
                <w:szCs w:val="24"/>
                <w:color w:val="auto"/>
              </w:rPr>
            </w:pPr>
          </w:p>
        </w:tc>
        <w:tc>
          <w:tcPr>
            <w:tcW w:w="3120" w:type="dxa"/>
            <w:vAlign w:val="bottom"/>
          </w:tcPr>
          <w:p>
            <w:pPr>
              <w:jc w:val="right"/>
              <w:ind w:right="1457"/>
              <w:spacing w:after="0"/>
              <w:rPr>
                <w:sz w:val="20"/>
                <w:szCs w:val="20"/>
                <w:color w:val="auto"/>
              </w:rPr>
            </w:pPr>
            <w:r>
              <w:rPr>
                <w:rFonts w:ascii="Arial" w:cs="Arial" w:eastAsia="Arial" w:hAnsi="Arial"/>
                <w:sz w:val="18"/>
                <w:szCs w:val="18"/>
                <w:color w:val="auto"/>
              </w:rPr>
              <w:t>24</w:t>
            </w:r>
          </w:p>
        </w:tc>
        <w:tc>
          <w:tcPr>
            <w:tcW w:w="10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General and administrative expense for the three months ended April 28, 2012 increased slightly by $0.9 million compared to the three months ended April 30, 2011. The increase was driven by higher stock-based compensation of $1.3 million due to a full quarter of expense from the market-based stock options granted at the end of the three months ended April 30, 2011. The increase was partially offset by a decrease in legal expenses due to the settlement of several cases prior to the end of fiscal 2012.</w:t>
      </w:r>
    </w:p>
    <w:p>
      <w:pPr>
        <w:spacing w:after="0" w:line="143" w:lineRule="exact"/>
        <w:rPr>
          <w:sz w:val="20"/>
          <w:szCs w:val="20"/>
          <w:color w:val="auto"/>
        </w:rPr>
      </w:pPr>
    </w:p>
    <w:p>
      <w:pPr>
        <w:ind w:right="520" w:firstLine="456"/>
        <w:spacing w:after="0" w:line="268" w:lineRule="auto"/>
        <w:rPr>
          <w:sz w:val="20"/>
          <w:szCs w:val="20"/>
          <w:color w:val="auto"/>
        </w:rPr>
      </w:pPr>
      <w:r>
        <w:rPr>
          <w:rFonts w:ascii="Arial" w:cs="Arial" w:eastAsia="Arial" w:hAnsi="Arial"/>
          <w:sz w:val="18"/>
          <w:szCs w:val="18"/>
          <w:color w:val="auto"/>
        </w:rPr>
        <w:t>We currently expect that general and administrative expense for the three months ending July 28, 2012 will be roughly flat with the level of expense reported for the three months ended April 28, 2012.</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420" w:type="dxa"/>
            <w:vAlign w:val="bottom"/>
          </w:tcPr>
          <w:p>
            <w:pPr>
              <w:spacing w:after="0"/>
              <w:rPr>
                <w:sz w:val="14"/>
                <w:szCs w:val="14"/>
                <w:color w:val="auto"/>
              </w:rPr>
            </w:pPr>
          </w:p>
        </w:tc>
        <w:tc>
          <w:tcPr>
            <w:tcW w:w="2480" w:type="dxa"/>
            <w:vAlign w:val="bottom"/>
            <w:gridSpan w:val="3"/>
          </w:tcPr>
          <w:p>
            <w:pPr>
              <w:jc w:val="right"/>
              <w:ind w:right="940"/>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420" w:type="dxa"/>
            <w:vAlign w:val="bottom"/>
          </w:tcPr>
          <w:p>
            <w:pPr>
              <w:spacing w:after="0"/>
              <w:rPr>
                <w:sz w:val="11"/>
                <w:szCs w:val="11"/>
                <w:color w:val="auto"/>
              </w:rPr>
            </w:pPr>
          </w:p>
        </w:tc>
        <w:tc>
          <w:tcPr>
            <w:tcW w:w="1000" w:type="dxa"/>
            <w:vAlign w:val="bottom"/>
            <w:tcBorders>
              <w:top w:val="single" w:sz="8" w:color="auto"/>
            </w:tcBorders>
          </w:tcPr>
          <w:p>
            <w:pPr>
              <w:jc w:val="right"/>
              <w:ind w:right="386"/>
              <w:spacing w:after="0" w:line="129" w:lineRule="exact"/>
              <w:rPr>
                <w:sz w:val="20"/>
                <w:szCs w:val="20"/>
                <w:color w:val="auto"/>
              </w:rPr>
            </w:pPr>
            <w:r>
              <w:rPr>
                <w:rFonts w:ascii="Arial" w:cs="Arial" w:eastAsia="Arial" w:hAnsi="Arial"/>
                <w:sz w:val="14"/>
                <w:szCs w:val="14"/>
                <w:b w:val="1"/>
                <w:bCs w:val="1"/>
                <w:color w:val="auto"/>
                <w:w w:val="94"/>
              </w:rPr>
              <w:t>April 28,</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April 30,</w:t>
            </w:r>
          </w:p>
        </w:tc>
        <w:tc>
          <w:tcPr>
            <w:tcW w:w="640" w:type="dxa"/>
            <w:vAlign w:val="bottom"/>
          </w:tcPr>
          <w:p>
            <w:pPr>
              <w:spacing w:after="0"/>
              <w:rPr>
                <w:sz w:val="11"/>
                <w:szCs w:val="11"/>
                <w:color w:val="auto"/>
              </w:rPr>
            </w:pPr>
          </w:p>
        </w:tc>
        <w:tc>
          <w:tcPr>
            <w:tcW w:w="4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420" w:type="dxa"/>
            <w:vAlign w:val="bottom"/>
          </w:tcPr>
          <w:p>
            <w:pPr>
              <w:spacing w:after="0"/>
              <w:rPr>
                <w:sz w:val="14"/>
                <w:szCs w:val="14"/>
                <w:color w:val="auto"/>
              </w:rPr>
            </w:pPr>
          </w:p>
        </w:tc>
        <w:tc>
          <w:tcPr>
            <w:tcW w:w="1000" w:type="dxa"/>
            <w:vAlign w:val="bottom"/>
          </w:tcPr>
          <w:p>
            <w:pPr>
              <w:jc w:val="right"/>
              <w:ind w:right="506"/>
              <w:spacing w:after="0"/>
              <w:rPr>
                <w:sz w:val="20"/>
                <w:szCs w:val="20"/>
                <w:color w:val="auto"/>
              </w:rPr>
            </w:pPr>
            <w:r>
              <w:rPr>
                <w:rFonts w:ascii="Arial" w:cs="Arial" w:eastAsia="Arial" w:hAnsi="Arial"/>
                <w:sz w:val="14"/>
                <w:szCs w:val="14"/>
                <w:b w:val="1"/>
                <w:bCs w:val="1"/>
                <w:color w:val="auto"/>
              </w:rPr>
              <w:t>2012</w:t>
            </w:r>
          </w:p>
        </w:tc>
        <w:tc>
          <w:tcPr>
            <w:tcW w:w="840" w:type="dxa"/>
            <w:vAlign w:val="bottom"/>
          </w:tcPr>
          <w:p>
            <w:pPr>
              <w:jc w:val="right"/>
              <w:ind w:right="82"/>
              <w:spacing w:after="0"/>
              <w:rPr>
                <w:sz w:val="20"/>
                <w:szCs w:val="20"/>
                <w:color w:val="auto"/>
              </w:rPr>
            </w:pPr>
            <w:r>
              <w:rPr>
                <w:rFonts w:ascii="Arial" w:cs="Arial" w:eastAsia="Arial" w:hAnsi="Arial"/>
                <w:sz w:val="14"/>
                <w:szCs w:val="14"/>
                <w:b w:val="1"/>
                <w:bCs w:val="1"/>
                <w:color w:val="auto"/>
              </w:rPr>
              <w:t>2011</w:t>
            </w:r>
          </w:p>
        </w:tc>
        <w:tc>
          <w:tcPr>
            <w:tcW w:w="640" w:type="dxa"/>
            <w:vAlign w:val="bottom"/>
          </w:tcPr>
          <w:p>
            <w:pPr>
              <w:spacing w:after="0"/>
              <w:rPr>
                <w:sz w:val="14"/>
                <w:szCs w:val="14"/>
                <w:color w:val="auto"/>
              </w:rPr>
            </w:pPr>
          </w:p>
        </w:tc>
        <w:tc>
          <w:tcPr>
            <w:tcW w:w="68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420" w:type="dxa"/>
            <w:vAlign w:val="bottom"/>
          </w:tcPr>
          <w:p>
            <w:pPr>
              <w:spacing w:after="0"/>
              <w:rPr>
                <w:sz w:val="12"/>
                <w:szCs w:val="12"/>
                <w:color w:val="auto"/>
              </w:rPr>
            </w:pPr>
          </w:p>
        </w:tc>
        <w:tc>
          <w:tcPr>
            <w:tcW w:w="2480" w:type="dxa"/>
            <w:vAlign w:val="bottom"/>
            <w:tcBorders>
              <w:top w:val="single" w:sz="8" w:color="auto"/>
            </w:tcBorders>
            <w:gridSpan w:val="3"/>
          </w:tcPr>
          <w:p>
            <w:pPr>
              <w:jc w:val="right"/>
              <w:ind w:right="4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000" w:type="dxa"/>
            <w:vAlign w:val="bottom"/>
            <w:shd w:val="clear" w:color="auto" w:fill="CCEEFF"/>
          </w:tcPr>
          <w:p>
            <w:pPr>
              <w:jc w:val="right"/>
              <w:ind w:right="346"/>
              <w:spacing w:after="0"/>
              <w:rPr>
                <w:sz w:val="20"/>
                <w:szCs w:val="20"/>
                <w:color w:val="auto"/>
              </w:rPr>
            </w:pPr>
            <w:r>
              <w:rPr>
                <w:rFonts w:ascii="Arial" w:cs="Arial" w:eastAsia="Arial" w:hAnsi="Arial"/>
                <w:sz w:val="18"/>
                <w:szCs w:val="18"/>
                <w:color w:val="auto"/>
                <w:w w:val="86"/>
              </w:rPr>
              <w:t>$14,355</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$14,341</w:t>
            </w:r>
          </w:p>
        </w:tc>
        <w:tc>
          <w:tcPr>
            <w:tcW w:w="6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22"/>
        </w:trPr>
        <w:tc>
          <w:tcPr>
            <w:tcW w:w="6420" w:type="dxa"/>
            <w:vAlign w:val="bottom"/>
          </w:tcPr>
          <w:p>
            <w:pPr>
              <w:spacing w:after="0"/>
              <w:rPr>
                <w:sz w:val="20"/>
                <w:szCs w:val="20"/>
                <w:color w:val="auto"/>
              </w:rPr>
            </w:pPr>
            <w:r>
              <w:rPr>
                <w:rFonts w:ascii="Arial" w:cs="Arial" w:eastAsia="Arial" w:hAnsi="Arial"/>
                <w:sz w:val="18"/>
                <w:szCs w:val="18"/>
                <w:color w:val="auto"/>
              </w:rPr>
              <w:t>% of net revenue</w:t>
            </w:r>
          </w:p>
        </w:tc>
        <w:tc>
          <w:tcPr>
            <w:tcW w:w="1000" w:type="dxa"/>
            <w:vAlign w:val="bottom"/>
          </w:tcPr>
          <w:p>
            <w:pPr>
              <w:jc w:val="right"/>
              <w:ind w:right="206"/>
              <w:spacing w:after="0"/>
              <w:rPr>
                <w:sz w:val="20"/>
                <w:szCs w:val="20"/>
                <w:color w:val="auto"/>
              </w:rPr>
            </w:pPr>
            <w:r>
              <w:rPr>
                <w:rFonts w:ascii="Arial" w:cs="Arial" w:eastAsia="Arial" w:hAnsi="Arial"/>
                <w:sz w:val="18"/>
                <w:szCs w:val="18"/>
                <w:color w:val="auto"/>
              </w:rPr>
              <w:t>1.8%</w:t>
            </w:r>
          </w:p>
        </w:tc>
        <w:tc>
          <w:tcPr>
            <w:tcW w:w="1480" w:type="dxa"/>
            <w:vAlign w:val="bottom"/>
            <w:gridSpan w:val="2"/>
          </w:tcPr>
          <w:p>
            <w:pPr>
              <w:jc w:val="right"/>
              <w:ind w:right="500"/>
              <w:spacing w:after="0"/>
              <w:rPr>
                <w:sz w:val="20"/>
                <w:szCs w:val="20"/>
                <w:color w:val="auto"/>
              </w:rPr>
            </w:pPr>
            <w:r>
              <w:rPr>
                <w:rFonts w:ascii="Arial" w:cs="Arial" w:eastAsia="Arial" w:hAnsi="Arial"/>
                <w:sz w:val="18"/>
                <w:szCs w:val="18"/>
                <w:color w:val="auto"/>
              </w:rPr>
              <w:t>1.8%</w:t>
            </w:r>
          </w:p>
        </w:tc>
        <w:tc>
          <w:tcPr>
            <w:tcW w:w="4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Amortization and write-off of acquired intangible assets for the three months ended April 28, 2012 includes a $0.8 million write-off of in-process research and development related to an abandoned project. Recurring amortization expense was slightly lower for the three months ended April 28, 2012 compared to the corresponding three months ended April 30, 2011 as intangible assets acquired in earlier acquisitions became fully amortized and were replaced by lower amortization expense from newly acquired intangible assets during the second half of fiscal 2012.</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Interest and Other Income (Expense), Net</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60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2440" w:type="dxa"/>
            <w:vAlign w:val="bottom"/>
            <w:gridSpan w:val="3"/>
          </w:tcPr>
          <w:p>
            <w:pPr>
              <w:jc w:val="right"/>
              <w:ind w:right="980"/>
              <w:spacing w:after="0"/>
              <w:rPr>
                <w:sz w:val="20"/>
                <w:szCs w:val="20"/>
                <w:color w:val="auto"/>
              </w:rPr>
            </w:pPr>
            <w:r>
              <w:rPr>
                <w:rFonts w:ascii="Arial" w:cs="Arial" w:eastAsia="Arial" w:hAnsi="Arial"/>
                <w:sz w:val="14"/>
                <w:szCs w:val="14"/>
                <w:b w:val="1"/>
                <w:bCs w:val="1"/>
                <w:color w:val="auto"/>
              </w:rPr>
              <w:t>Three Months Ended</w:t>
            </w:r>
          </w:p>
        </w:tc>
        <w:tc>
          <w:tcPr>
            <w:tcW w:w="500" w:type="dxa"/>
            <w:vAlign w:val="bottom"/>
            <w:vMerge w:val="restart"/>
          </w:tcPr>
          <w:p>
            <w:pPr>
              <w:jc w:val="right"/>
              <w:ind w:right="10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0" w:type="dxa"/>
            <w:vAlign w:val="bottom"/>
          </w:tcPr>
          <w:p>
            <w:pPr>
              <w:spacing w:after="0"/>
              <w:rPr>
                <w:sz w:val="11"/>
                <w:szCs w:val="11"/>
                <w:color w:val="auto"/>
              </w:rPr>
            </w:pPr>
          </w:p>
        </w:tc>
        <w:tc>
          <w:tcPr>
            <w:tcW w:w="1780" w:type="dxa"/>
            <w:vAlign w:val="bottom"/>
          </w:tcPr>
          <w:p>
            <w:pPr>
              <w:spacing w:after="0"/>
              <w:rPr>
                <w:sz w:val="11"/>
                <w:szCs w:val="11"/>
                <w:color w:val="auto"/>
              </w:rPr>
            </w:pPr>
          </w:p>
        </w:tc>
        <w:tc>
          <w:tcPr>
            <w:tcW w:w="920" w:type="dxa"/>
            <w:vAlign w:val="bottom"/>
            <w:tcBorders>
              <w:top w:val="single" w:sz="8" w:color="auto"/>
            </w:tcBorders>
          </w:tcPr>
          <w:p>
            <w:pPr>
              <w:jc w:val="right"/>
              <w:ind w:right="332"/>
              <w:spacing w:after="0" w:line="129" w:lineRule="exact"/>
              <w:rPr>
                <w:sz w:val="20"/>
                <w:szCs w:val="20"/>
                <w:color w:val="auto"/>
              </w:rPr>
            </w:pPr>
            <w:r>
              <w:rPr>
                <w:rFonts w:ascii="Arial" w:cs="Arial" w:eastAsia="Arial" w:hAnsi="Arial"/>
                <w:sz w:val="14"/>
                <w:szCs w:val="14"/>
                <w:b w:val="1"/>
                <w:bCs w:val="1"/>
                <w:color w:val="auto"/>
                <w:w w:val="90"/>
              </w:rPr>
              <w:t>April 28,</w:t>
            </w:r>
          </w:p>
        </w:tc>
        <w:tc>
          <w:tcPr>
            <w:tcW w:w="7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April 30,</w:t>
            </w:r>
          </w:p>
        </w:tc>
        <w:tc>
          <w:tcPr>
            <w:tcW w:w="74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0" w:type="dxa"/>
            <w:vAlign w:val="bottom"/>
          </w:tcPr>
          <w:p>
            <w:pPr>
              <w:spacing w:after="0"/>
              <w:rPr>
                <w:sz w:val="14"/>
                <w:szCs w:val="14"/>
                <w:color w:val="auto"/>
              </w:rPr>
            </w:pPr>
          </w:p>
        </w:tc>
        <w:tc>
          <w:tcPr>
            <w:tcW w:w="2700" w:type="dxa"/>
            <w:vAlign w:val="bottom"/>
            <w:gridSpan w:val="2"/>
          </w:tcPr>
          <w:p>
            <w:pPr>
              <w:jc w:val="right"/>
              <w:ind w:right="452"/>
              <w:spacing w:after="0"/>
              <w:rPr>
                <w:sz w:val="20"/>
                <w:szCs w:val="20"/>
                <w:color w:val="auto"/>
              </w:rPr>
            </w:pPr>
            <w:r>
              <w:rPr>
                <w:rFonts w:ascii="Arial" w:cs="Arial" w:eastAsia="Arial" w:hAnsi="Arial"/>
                <w:sz w:val="14"/>
                <w:szCs w:val="14"/>
                <w:b w:val="1"/>
                <w:bCs w:val="1"/>
                <w:color w:val="auto"/>
              </w:rPr>
              <w:t>2012</w:t>
            </w:r>
          </w:p>
        </w:tc>
        <w:tc>
          <w:tcPr>
            <w:tcW w:w="780" w:type="dxa"/>
            <w:vAlign w:val="bottom"/>
          </w:tcPr>
          <w:p>
            <w:pPr>
              <w:jc w:val="right"/>
              <w:ind w:right="42"/>
              <w:spacing w:after="0"/>
              <w:rPr>
                <w:sz w:val="20"/>
                <w:szCs w:val="20"/>
                <w:color w:val="auto"/>
              </w:rPr>
            </w:pPr>
            <w:r>
              <w:rPr>
                <w:rFonts w:ascii="Arial" w:cs="Arial" w:eastAsia="Arial" w:hAnsi="Arial"/>
                <w:sz w:val="14"/>
                <w:szCs w:val="14"/>
                <w:b w:val="1"/>
                <w:bCs w:val="1"/>
                <w:color w:val="auto"/>
              </w:rPr>
              <w:t>2011</w:t>
            </w:r>
          </w:p>
        </w:tc>
        <w:tc>
          <w:tcPr>
            <w:tcW w:w="740" w:type="dxa"/>
            <w:vAlign w:val="bottom"/>
          </w:tcPr>
          <w:p>
            <w:pPr>
              <w:spacing w:after="0"/>
              <w:rPr>
                <w:sz w:val="14"/>
                <w:szCs w:val="14"/>
                <w:color w:val="auto"/>
              </w:rPr>
            </w:pPr>
          </w:p>
        </w:tc>
        <w:tc>
          <w:tcPr>
            <w:tcW w:w="7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60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2440" w:type="dxa"/>
            <w:vAlign w:val="bottom"/>
            <w:tcBorders>
              <w:top w:val="single" w:sz="8" w:color="auto"/>
            </w:tcBorders>
            <w:gridSpan w:val="3"/>
          </w:tcPr>
          <w:p>
            <w:pPr>
              <w:jc w:val="right"/>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5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2700" w:type="dxa"/>
            <w:vAlign w:val="bottom"/>
            <w:gridSpan w:val="2"/>
            <w:shd w:val="clear" w:color="auto" w:fill="CCEEFF"/>
          </w:tcPr>
          <w:p>
            <w:pPr>
              <w:jc w:val="right"/>
              <w:ind w:right="332"/>
              <w:spacing w:after="0"/>
              <w:rPr>
                <w:sz w:val="20"/>
                <w:szCs w:val="20"/>
                <w:color w:val="auto"/>
              </w:rPr>
            </w:pPr>
            <w:r>
              <w:rPr>
                <w:rFonts w:ascii="Arial" w:cs="Arial" w:eastAsia="Arial" w:hAnsi="Arial"/>
                <w:sz w:val="18"/>
                <w:szCs w:val="18"/>
                <w:color w:val="auto"/>
              </w:rPr>
              <w:t>$ 1,057</w:t>
            </w:r>
          </w:p>
        </w:tc>
        <w:tc>
          <w:tcPr>
            <w:tcW w:w="152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 (218)</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3"/>
              </w:rPr>
              <w:t>(584.9)%</w:t>
            </w:r>
          </w:p>
        </w:tc>
        <w:tc>
          <w:tcPr>
            <w:tcW w:w="0" w:type="dxa"/>
            <w:vAlign w:val="bottom"/>
          </w:tcPr>
          <w:p>
            <w:pPr>
              <w:spacing w:after="0"/>
              <w:rPr>
                <w:sz w:val="1"/>
                <w:szCs w:val="1"/>
                <w:color w:val="auto"/>
              </w:rPr>
            </w:pPr>
          </w:p>
        </w:tc>
      </w:tr>
      <w:tr>
        <w:trPr>
          <w:trHeight w:val="222"/>
        </w:trPr>
        <w:tc>
          <w:tcPr>
            <w:tcW w:w="4600" w:type="dxa"/>
            <w:vAlign w:val="bottom"/>
          </w:tcPr>
          <w:p>
            <w:pPr>
              <w:spacing w:after="0"/>
              <w:rPr>
                <w:sz w:val="20"/>
                <w:szCs w:val="20"/>
                <w:color w:val="auto"/>
              </w:rPr>
            </w:pPr>
            <w:r>
              <w:rPr>
                <w:rFonts w:ascii="Arial" w:cs="Arial" w:eastAsia="Arial" w:hAnsi="Arial"/>
                <w:sz w:val="18"/>
                <w:szCs w:val="18"/>
                <w:color w:val="auto"/>
              </w:rPr>
              <w:t>% of net revenue</w:t>
            </w:r>
          </w:p>
        </w:tc>
        <w:tc>
          <w:tcPr>
            <w:tcW w:w="2700" w:type="dxa"/>
            <w:vAlign w:val="bottom"/>
            <w:gridSpan w:val="2"/>
          </w:tcPr>
          <w:p>
            <w:pPr>
              <w:jc w:val="right"/>
              <w:ind w:right="192"/>
              <w:spacing w:after="0"/>
              <w:rPr>
                <w:sz w:val="20"/>
                <w:szCs w:val="20"/>
                <w:color w:val="auto"/>
              </w:rPr>
            </w:pPr>
            <w:r>
              <w:rPr>
                <w:rFonts w:ascii="Arial" w:cs="Arial" w:eastAsia="Arial" w:hAnsi="Arial"/>
                <w:sz w:val="18"/>
                <w:szCs w:val="18"/>
                <w:color w:val="auto"/>
              </w:rPr>
              <w:t>0.1%</w:t>
            </w:r>
          </w:p>
        </w:tc>
        <w:tc>
          <w:tcPr>
            <w:tcW w:w="1520" w:type="dxa"/>
            <w:vAlign w:val="bottom"/>
            <w:gridSpan w:val="2"/>
          </w:tcPr>
          <w:p>
            <w:pPr>
              <w:jc w:val="right"/>
              <w:ind w:right="540"/>
              <w:spacing w:after="0"/>
              <w:rPr>
                <w:sz w:val="20"/>
                <w:szCs w:val="20"/>
                <w:color w:val="auto"/>
              </w:rPr>
            </w:pPr>
            <w:r>
              <w:rPr>
                <w:rFonts w:ascii="Arial" w:cs="Arial" w:eastAsia="Arial" w:hAnsi="Arial"/>
                <w:sz w:val="18"/>
                <w:szCs w:val="18"/>
                <w:color w:val="auto"/>
              </w:rPr>
              <w:t>(0.1)%</w:t>
            </w:r>
          </w:p>
        </w:tc>
        <w:tc>
          <w:tcPr>
            <w:tcW w:w="5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increase in interest and other income (expense), net, for the three months ended April 28, 2012 compared to the three months ended April 30, 2011 was primarily due to a decrease in losses from a revaluation of our foreign currency denominated tax liabilities, as the U.S. dollar weakened significantly during the three months ended April 30, 2011.</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Provision for Income Taxes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200" w:type="dxa"/>
            <w:vAlign w:val="bottom"/>
          </w:tcPr>
          <w:p>
            <w:pPr>
              <w:spacing w:after="0"/>
              <w:rPr>
                <w:sz w:val="14"/>
                <w:szCs w:val="14"/>
                <w:color w:val="auto"/>
              </w:rPr>
            </w:pPr>
          </w:p>
        </w:tc>
        <w:tc>
          <w:tcPr>
            <w:tcW w:w="2300" w:type="dxa"/>
            <w:vAlign w:val="bottom"/>
          </w:tcPr>
          <w:p>
            <w:pPr>
              <w:spacing w:after="0"/>
              <w:rPr>
                <w:sz w:val="14"/>
                <w:szCs w:val="14"/>
                <w:color w:val="auto"/>
              </w:rPr>
            </w:pPr>
          </w:p>
        </w:tc>
        <w:tc>
          <w:tcPr>
            <w:tcW w:w="2380" w:type="dxa"/>
            <w:vAlign w:val="bottom"/>
            <w:gridSpan w:val="3"/>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200" w:type="dxa"/>
            <w:vAlign w:val="bottom"/>
          </w:tcPr>
          <w:p>
            <w:pPr>
              <w:spacing w:after="0"/>
              <w:rPr>
                <w:sz w:val="11"/>
                <w:szCs w:val="11"/>
                <w:color w:val="auto"/>
              </w:rPr>
            </w:pPr>
          </w:p>
        </w:tc>
        <w:tc>
          <w:tcPr>
            <w:tcW w:w="2300" w:type="dxa"/>
            <w:vAlign w:val="bottom"/>
          </w:tcPr>
          <w:p>
            <w:pPr>
              <w:spacing w:after="0"/>
              <w:rPr>
                <w:sz w:val="11"/>
                <w:szCs w:val="11"/>
                <w:color w:val="auto"/>
              </w:rPr>
            </w:pPr>
          </w:p>
        </w:tc>
        <w:tc>
          <w:tcPr>
            <w:tcW w:w="920" w:type="dxa"/>
            <w:vAlign w:val="bottom"/>
            <w:tcBorders>
              <w:top w:val="single" w:sz="8" w:color="auto"/>
            </w:tcBorders>
          </w:tcPr>
          <w:p>
            <w:pPr>
              <w:jc w:val="right"/>
              <w:ind w:right="332"/>
              <w:spacing w:after="0" w:line="129" w:lineRule="exact"/>
              <w:rPr>
                <w:sz w:val="20"/>
                <w:szCs w:val="20"/>
                <w:color w:val="auto"/>
              </w:rPr>
            </w:pPr>
            <w:r>
              <w:rPr>
                <w:rFonts w:ascii="Arial" w:cs="Arial" w:eastAsia="Arial" w:hAnsi="Arial"/>
                <w:sz w:val="14"/>
                <w:szCs w:val="14"/>
                <w:b w:val="1"/>
                <w:bCs w:val="1"/>
                <w:color w:val="auto"/>
                <w:w w:val="90"/>
              </w:rPr>
              <w:t>April 28,</w:t>
            </w:r>
          </w:p>
        </w:tc>
        <w:tc>
          <w:tcPr>
            <w:tcW w:w="7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April 30,</w:t>
            </w:r>
          </w:p>
        </w:tc>
        <w:tc>
          <w:tcPr>
            <w:tcW w:w="6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200" w:type="dxa"/>
            <w:vAlign w:val="bottom"/>
          </w:tcPr>
          <w:p>
            <w:pPr>
              <w:spacing w:after="0"/>
              <w:rPr>
                <w:sz w:val="14"/>
                <w:szCs w:val="14"/>
                <w:color w:val="auto"/>
              </w:rPr>
            </w:pPr>
          </w:p>
        </w:tc>
        <w:tc>
          <w:tcPr>
            <w:tcW w:w="3220" w:type="dxa"/>
            <w:vAlign w:val="bottom"/>
            <w:gridSpan w:val="2"/>
          </w:tcPr>
          <w:p>
            <w:pPr>
              <w:jc w:val="right"/>
              <w:ind w:right="452"/>
              <w:spacing w:after="0"/>
              <w:rPr>
                <w:sz w:val="20"/>
                <w:szCs w:val="20"/>
                <w:color w:val="auto"/>
              </w:rPr>
            </w:pPr>
            <w:r>
              <w:rPr>
                <w:rFonts w:ascii="Arial" w:cs="Arial" w:eastAsia="Arial" w:hAnsi="Arial"/>
                <w:sz w:val="14"/>
                <w:szCs w:val="14"/>
                <w:b w:val="1"/>
                <w:bCs w:val="1"/>
                <w:color w:val="auto"/>
              </w:rPr>
              <w:t>2012</w:t>
            </w:r>
          </w:p>
        </w:tc>
        <w:tc>
          <w:tcPr>
            <w:tcW w:w="780" w:type="dxa"/>
            <w:vAlign w:val="bottom"/>
          </w:tcPr>
          <w:p>
            <w:pPr>
              <w:jc w:val="right"/>
              <w:ind w:right="42"/>
              <w:spacing w:after="0"/>
              <w:rPr>
                <w:sz w:val="20"/>
                <w:szCs w:val="20"/>
                <w:color w:val="auto"/>
              </w:rPr>
            </w:pPr>
            <w:r>
              <w:rPr>
                <w:rFonts w:ascii="Arial" w:cs="Arial" w:eastAsia="Arial" w:hAnsi="Arial"/>
                <w:sz w:val="14"/>
                <w:szCs w:val="14"/>
                <w:b w:val="1"/>
                <w:bCs w:val="1"/>
                <w:color w:val="auto"/>
              </w:rPr>
              <w:t>2011</w:t>
            </w:r>
          </w:p>
        </w:tc>
        <w:tc>
          <w:tcPr>
            <w:tcW w:w="68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20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2380" w:type="dxa"/>
            <w:vAlign w:val="bottom"/>
            <w:tcBorders>
              <w:top w:val="single" w:sz="8" w:color="auto"/>
            </w:tcBorders>
            <w:gridSpan w:val="3"/>
          </w:tcPr>
          <w:p>
            <w:pPr>
              <w:jc w:val="right"/>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3220" w:type="dxa"/>
            <w:vAlign w:val="bottom"/>
            <w:gridSpan w:val="2"/>
            <w:shd w:val="clear" w:color="auto" w:fill="CCEEFF"/>
          </w:tcPr>
          <w:p>
            <w:pPr>
              <w:jc w:val="right"/>
              <w:ind w:right="332"/>
              <w:spacing w:after="0"/>
              <w:rPr>
                <w:sz w:val="20"/>
                <w:szCs w:val="20"/>
                <w:color w:val="auto"/>
              </w:rPr>
            </w:pPr>
            <w:r>
              <w:rPr>
                <w:rFonts w:ascii="Arial" w:cs="Arial" w:eastAsia="Arial" w:hAnsi="Arial"/>
                <w:sz w:val="18"/>
                <w:szCs w:val="18"/>
                <w:color w:val="auto"/>
              </w:rPr>
              <w:t>$  447</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$ 1,034</w:t>
            </w:r>
          </w:p>
        </w:tc>
        <w:tc>
          <w:tcPr>
            <w:tcW w:w="6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(56.8)%</w:t>
            </w:r>
          </w:p>
        </w:tc>
        <w:tc>
          <w:tcPr>
            <w:tcW w:w="0" w:type="dxa"/>
            <w:vAlign w:val="bottom"/>
          </w:tcPr>
          <w:p>
            <w:pPr>
              <w:spacing w:after="0"/>
              <w:rPr>
                <w:sz w:val="1"/>
                <w:szCs w:val="1"/>
                <w:color w:val="auto"/>
              </w:rPr>
            </w:pPr>
          </w:p>
        </w:tc>
      </w:tr>
      <w:tr>
        <w:trPr>
          <w:trHeight w:val="222"/>
        </w:trPr>
        <w:tc>
          <w:tcPr>
            <w:tcW w:w="4200" w:type="dxa"/>
            <w:vAlign w:val="bottom"/>
          </w:tcPr>
          <w:p>
            <w:pPr>
              <w:spacing w:after="0"/>
              <w:rPr>
                <w:sz w:val="20"/>
                <w:szCs w:val="20"/>
                <w:color w:val="auto"/>
              </w:rPr>
            </w:pPr>
            <w:r>
              <w:rPr>
                <w:rFonts w:ascii="Arial" w:cs="Arial" w:eastAsia="Arial" w:hAnsi="Arial"/>
                <w:sz w:val="18"/>
                <w:szCs w:val="18"/>
                <w:color w:val="auto"/>
              </w:rPr>
              <w:t>% of net revenue</w:t>
            </w:r>
          </w:p>
        </w:tc>
        <w:tc>
          <w:tcPr>
            <w:tcW w:w="3220" w:type="dxa"/>
            <w:vAlign w:val="bottom"/>
            <w:gridSpan w:val="2"/>
          </w:tcPr>
          <w:p>
            <w:pPr>
              <w:jc w:val="right"/>
              <w:ind w:right="192"/>
              <w:spacing w:after="0"/>
              <w:rPr>
                <w:sz w:val="20"/>
                <w:szCs w:val="20"/>
                <w:color w:val="auto"/>
              </w:rPr>
            </w:pPr>
            <w:r>
              <w:rPr>
                <w:rFonts w:ascii="Arial" w:cs="Arial" w:eastAsia="Arial" w:hAnsi="Arial"/>
                <w:sz w:val="18"/>
                <w:szCs w:val="18"/>
                <w:color w:val="auto"/>
              </w:rPr>
              <w:t>0.0%</w:t>
            </w:r>
          </w:p>
        </w:tc>
        <w:tc>
          <w:tcPr>
            <w:tcW w:w="1460" w:type="dxa"/>
            <w:vAlign w:val="bottom"/>
            <w:gridSpan w:val="2"/>
          </w:tcPr>
          <w:p>
            <w:pPr>
              <w:jc w:val="right"/>
              <w:ind w:right="520"/>
              <w:spacing w:after="0"/>
              <w:rPr>
                <w:sz w:val="20"/>
                <w:szCs w:val="20"/>
                <w:color w:val="auto"/>
              </w:rPr>
            </w:pPr>
            <w:r>
              <w:rPr>
                <w:rFonts w:ascii="Arial" w:cs="Arial" w:eastAsia="Arial" w:hAnsi="Arial"/>
                <w:sz w:val="18"/>
                <w:szCs w:val="18"/>
                <w:color w:val="auto"/>
              </w:rPr>
              <w:t>0.1%</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80" w:firstLine="456"/>
        <w:spacing w:after="0" w:line="294" w:lineRule="auto"/>
        <w:rPr>
          <w:sz w:val="20"/>
          <w:szCs w:val="20"/>
          <w:color w:val="auto"/>
        </w:rPr>
      </w:pPr>
      <w:r>
        <w:rPr>
          <w:rFonts w:ascii="Arial" w:cs="Arial" w:eastAsia="Arial" w:hAnsi="Arial"/>
          <w:sz w:val="16"/>
          <w:szCs w:val="16"/>
          <w:color w:val="auto"/>
        </w:rPr>
        <w:t>For the three months ended April 28, 2012 and April 30, 2011, our effective tax rate was 0.5% and 0.7%, respectively. The income tax provision for the three months ended April 28, 2012 included the current income tax liability of $3.2 million, which was primarily offset by a net reduction in unrecognized tax benefits of $2.6 million primarily arising from the expiration of statute of limitations in non-U.S. jurisdictions less an increase for current tax estimates. The income tax provision for the three months ended April 30, 2011 was impacted by the current income tax liability of $3.4 million, partially offset by a net reduction in unrecognized tax benefits of $2.4 million primarily due to the expiration of the statute of limitations in non-U.S. jurisdictions.</w:t>
      </w:r>
    </w:p>
    <w:p>
      <w:pPr>
        <w:spacing w:after="0" w:line="11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During the next 12 months, it is reasonably possible that the amount of unrecognized tax benefits could decrease due to potential settlements with tax authorities and the expiration of applicable statutes of limitations. However, the amount cannot be reasonably estimated as we will have negotiations with various tax authorities throughout the year.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Our principal source of liquidity as of April 28, 2012 consisted of approximately $2.2 billion of cash, cash equivalents and short-term investments. We believe that our existing cash, cash equivalents and short term investments, together with cash generated from operations, will be sufficient to cover our working capital needs, capital expenditures, investment requirements, commitments, repurchases of our common shares and quarterly dividends for at least the next 12 months.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00"/>
          </w:cols>
          <w:pgMar w:left="240" w:top="45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right="340" w:firstLine="456"/>
        <w:spacing w:after="0" w:line="294" w:lineRule="auto"/>
        <w:rPr>
          <w:sz w:val="20"/>
          <w:szCs w:val="20"/>
          <w:color w:val="auto"/>
        </w:rPr>
      </w:pPr>
      <w:r>
        <w:rPr>
          <w:rFonts w:ascii="Arial" w:cs="Arial" w:eastAsia="Arial" w:hAnsi="Arial"/>
          <w:sz w:val="16"/>
          <w:szCs w:val="16"/>
          <w:color w:val="auto"/>
        </w:rPr>
        <w:t>Net cash provided by operating activities was $198.7 million for the three months ended April 28, 2012. The cash inflows from operations for the three months ended April 28, 2012 were primarily due to $160.2 million of net income adjusted for non-cash items and positive working capital changes of $38.5 million. The increase in working capital for the three months ended April 28, 2012 was primarily driven by an increase in accounts payable and accrued liabilities. The increase in accounts payable was primarily driven by increased manufacturing spending in advance of higher expected revenues in the second quarter of fiscal 2013 and the increase in accrued liabilities was from an increase in accrued rebates.</w:t>
      </w:r>
    </w:p>
    <w:p>
      <w:pPr>
        <w:spacing w:after="0" w:line="11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Net cash provided by operating activities was $177.1 million for the three months ended April 30, 2011. The cash inflows from operations in the three months ended April 30, 2011 were primarily due to $216.6 million of net income adjusted for non-cash items, offset by a negative effect from changes in working capital.</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and (Used in) Investing Activities</w:t>
      </w:r>
    </w:p>
    <w:p>
      <w:pPr>
        <w:spacing w:after="0" w:line="9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Net cash provided by investing activities was $111.2 million for the three months ended April 28, 2012 compared to net cash used in investing activities of $443.0 million for the three months ended April 30, 2011. Net cash provided by investing activities for the three months ended April 28, 2012 was generated by proceeds from the sale and maturities of marketable securities of $558.8 million less purchases of marketable securities of $421.7 million. Net cash inflow from marketable securities in the first quarter of fiscal 2013 was offset by the purchase of $18.9 million of property and equipment, and $5.0 million for a new strategic investment.</w:t>
      </w:r>
    </w:p>
    <w:p>
      <w:pPr>
        <w:spacing w:after="0" w:line="143"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net cash used in investing activities in the three months ended April 30, 2011 was due to purchases of marketable securities of $677.2 million in excess of proceeds received from the sale and maturities of investments of $272.5 million. In addition, we purchased $17.0 million of property and equipment, and paid $16.3 million for an acquisition.</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Financing Activities</w:t>
      </w:r>
    </w:p>
    <w:p>
      <w:pPr>
        <w:spacing w:after="0" w:line="90"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color w:val="auto"/>
        </w:rPr>
        <w:t>Net cash used in financing activities was $214.2 million for the three months ended April 28, 2012 compared to net cash used in financing activities of $798.8 million for the three months ended April 30, 2011. For the three months ended April 28, 2012, net cash used in financing activities was primarily attributable to repurchases under our share repurchase program of 14.6 million common shares in the open market for $223.2 million. The cash outflow was partially offset by net proceeds of $8.9 million from the issuance of our common shares under our stock-based plans less the minimum tax withholding paid on behalf of employees for net share settlements. For the three months ended April 30, 2011, net cash provided by financing activities was primarily attributable to repurchases under our share repurchase program of 50.3 million common shares in the open market for $803.5 million. The cash outflow was partially offset net proceeds of $5.2 million from the issuance of common shares under our stock-based plans less the minimum tax withholding paid on behalf of employees for net share settlements.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April 28, 2012, we did not have any material off-balance sheet arrangements, as defined in Item 303(a)(4)(ii) of SEC Regulation S-K.</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We presented our contractual obligations at January 28, 2012 in our Annual Report on Form 10-K for the fiscal year then ended. There has been no material changes outside the ordinary course of business in those obligations during three months ended April 28, 2012.</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6" w:lineRule="exact"/>
        <w:rPr>
          <w:sz w:val="20"/>
          <w:szCs w:val="20"/>
          <w:color w:val="auto"/>
        </w:rPr>
      </w:pPr>
    </w:p>
    <w:p>
      <w:pPr>
        <w:ind w:right="40"/>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April 28, 2012. We maintain an investment policy that requires minimum credit ratings, diversification of credit risk and limits the long-term interest rate risk by requiring maturities of less than five years. We invest our excess cash primarily in highly liquid debt instruments of the U.S. government and its agencies, time deposits, money market mutual funds, and corporate debt securities. These investments are generally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April 28, 2012, a hypothetical 100 basis point increase in interest rates across all maturities would result in a $14.6 million incremental decline in the fair market value of the portfolio. Due to our positive cash flow from operations, the relatively short-term nature of our investment portfolio and our ability to hold investments to maturity, such change in fair market value would likely not have resulted in any cash flow impact.</w:t>
      </w:r>
    </w:p>
    <w:p>
      <w:pPr>
        <w:spacing w:after="0" w:line="1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As of April 28, 2012, our investment portfolio included $24.5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we have used a discounted cash flow model based on estimated timing and amount of future interest and principal payments, credit quality of the underlying securities and liquidity considerations, the collateralization of underlying security investments, the credit worthiness of the issuer of the securities, the probability of full repayment and other considerations. As of April 28, 2012, the fair value of auction rate securities was $1.3 million less than par value and recorded in long-term investments.</w:t>
      </w:r>
    </w:p>
    <w:p>
      <w:pPr>
        <w:spacing w:after="0" w:line="120"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Based on our balance of approximately $2.2 billion in cash, cash equivalents and short-term investments and the fact that we continue to generate positive cash flow on a quarterly basis, we do not anticipate having to sell these securities below par value in order to operate our business. We do not have the intent to sell these auction rate securities until recovery and it is more likely than not that we will not be required to sell the auction rate securities prior to recovery. Thus we consider the impairment to be temporary and recorded the unrealized loss to accumulated other comprehensive income (loss), a component of shareholders’ equity.</w:t>
      </w:r>
    </w:p>
    <w:p>
      <w:pPr>
        <w:spacing w:after="0" w:line="143" w:lineRule="exact"/>
        <w:rPr>
          <w:sz w:val="20"/>
          <w:szCs w:val="20"/>
          <w:color w:val="auto"/>
        </w:rPr>
      </w:pPr>
    </w:p>
    <w:p>
      <w:pPr>
        <w:spacing w:after="0" w:line="255"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 held companies for strategic purposes. We account for these investments under the cost method</w:t>
      </w:r>
      <w:r>
        <w:rPr>
          <w:rFonts w:ascii="Arial" w:cs="Arial" w:eastAsia="Arial" w:hAnsi="Arial"/>
          <w:sz w:val="18"/>
          <w:szCs w:val="18"/>
          <w:i w:val="1"/>
          <w:iCs w:val="1"/>
          <w:color w:val="auto"/>
        </w:rPr>
        <w:t xml:space="preserve"> </w:t>
      </w:r>
      <w:r>
        <w:rPr>
          <w:rFonts w:ascii="Arial" w:cs="Arial" w:eastAsia="Arial" w:hAnsi="Arial"/>
          <w:sz w:val="18"/>
          <w:szCs w:val="18"/>
          <w:color w:val="auto"/>
        </w:rPr>
        <w:t>when we do not have the ability to exercise significant influence or control over the operations of these companies and under the equity method when we have the ability to exercise significant influence, but do not have control. Carrying value of these equity investments was $11.0 million at April 28, 2012, and was included in other non-current assets in our balance sheets. We monitor these investments for impairment and make appropriate reductions in carrying value when an impairment is deemed to be other-than-temporary.</w:t>
      </w:r>
    </w:p>
    <w:p>
      <w:pPr>
        <w:spacing w:after="0" w:line="143"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i w:val="1"/>
          <w:iCs w:val="1"/>
          <w:color w:val="auto"/>
        </w:rPr>
        <w:t xml:space="preserve">Commodity Price Risk. </w:t>
      </w:r>
      <w:r>
        <w:rPr>
          <w:rFonts w:ascii="Arial" w:cs="Arial" w:eastAsia="Arial" w:hAnsi="Arial"/>
          <w:sz w:val="16"/>
          <w:szCs w:val="16"/>
          <w:color w:val="auto"/>
        </w:rPr>
        <w:t>We are subject to risk from fluctuating market prices of certain commodity raw materials, particularly gold, that are incorporated into our</w:t>
      </w:r>
      <w:r>
        <w:rPr>
          <w:rFonts w:ascii="Arial" w:cs="Arial" w:eastAsia="Arial" w:hAnsi="Arial"/>
          <w:sz w:val="16"/>
          <w:szCs w:val="16"/>
          <w:i w:val="1"/>
          <w:iCs w:val="1"/>
          <w:color w:val="auto"/>
        </w:rPr>
        <w:t xml:space="preserve"> </w:t>
      </w:r>
      <w:r>
        <w:rPr>
          <w:rFonts w:ascii="Arial" w:cs="Arial" w:eastAsia="Arial" w:hAnsi="Arial"/>
          <w:sz w:val="16"/>
          <w:szCs w:val="16"/>
          <w:color w:val="auto"/>
        </w:rPr>
        <w:t>end products. Supplies for such commodities may from time-to-time become restricted, or general market factors and conditions may affect the pricing of such commodities. Over the past few years, the price of gold increased significantly and certain of our supply chain partners assessed surcharges to compensate for the rising commodity prices. We are currently restructuring certain manufacturing processes to use copper instead of gold in our products. While we continue to attempt to mitigate the risk of similar increases in commodities-related costs, there can be no assurance that we will be able to successfully safeguard against potential short-term and long-term commodities price fluctuations. We do not enter into formal hedging arrangements to mitigate against commodity risk.</w:t>
      </w:r>
    </w:p>
    <w:p>
      <w:pPr>
        <w:spacing w:after="0" w:line="120" w:lineRule="exact"/>
        <w:rPr>
          <w:sz w:val="20"/>
          <w:szCs w:val="20"/>
          <w:color w:val="auto"/>
        </w:rPr>
      </w:pPr>
    </w:p>
    <w:p>
      <w:pPr>
        <w:ind w:right="180"/>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we pay certain payroll and other operating expenses in local currencies and these expenses may be higher or lower in U.S. dollar terms. Furthermore, our operation in Israel represents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other income and expense.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Israeli shekel expenses. We enter into certain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De-designated hedges or hedges deemed ineffective are recorded in interest and other income (expense), net. We do not hedge our tax liabilities denominated in local currency on our balance sheet as the timing of these tax liabilities becoming cash flows is not deemed to be certain.</w:t>
      </w:r>
    </w:p>
    <w:p>
      <w:pPr>
        <w:spacing w:after="0" w:line="118"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3%. We expect our hedges of foreign currency exposures to be highly effective and offset a significant portion of the short-term impact of changes in exchange rates.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Exchange Act). Our disclosure controls and procedures are designed to ensure that information required to be disclosed is recorded, processed, summarized and reported within the time periods specified in the rules and forms of the Securities and Exchange Commission (“SEC”)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April 28, 2012, our disclosure controls and procedures were effective to provide reasonable assurance.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April 28, 2012 that have materially affected, or are reasonably likely to materially affect, our internal control over financial reporting.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The information set forth under “Note 9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96"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January 28, 2012 and subsequent reports on Forms 10-Q and 8-K. Many of these risks and uncertainties are beyond our control, including business cycles and seasonal trends of the computing, semiconductor and related industries.</w:t>
      </w:r>
    </w:p>
    <w:p>
      <w:pPr>
        <w:spacing w:after="0" w:line="19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30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and specifically the semiconductor industry;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increases in assembly costs due to commodity price increases, such as the price of gold;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right="30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gain or loss of a key customer or design win;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right="36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impact of a significant natural disaster, including earthquakes, floods and tsunamis;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360"/>
          </w:cols>
          <w:pgMar w:left="240" w:top="459" w:right="29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revenues or operating results are below our estimates or the estimates or expectations of public market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the intensely competitive markets, and our failure to compete effectively would harm our results of operations.</w:t>
      </w:r>
    </w:p>
    <w:p>
      <w:pPr>
        <w:spacing w:after="0" w:line="90" w:lineRule="exact"/>
        <w:rPr>
          <w:sz w:val="20"/>
          <w:szCs w:val="20"/>
          <w:color w:val="auto"/>
        </w:rPr>
      </w:pPr>
    </w:p>
    <w:p>
      <w:pPr>
        <w:ind w:right="20" w:firstLine="456"/>
        <w:spacing w:after="0" w:line="285" w:lineRule="auto"/>
        <w:rPr>
          <w:sz w:val="20"/>
          <w:szCs w:val="20"/>
          <w:color w:val="auto"/>
        </w:rPr>
      </w:pPr>
      <w:r>
        <w:rPr>
          <w:rFonts w:ascii="Arial" w:cs="Arial" w:eastAsia="Arial" w:hAnsi="Arial"/>
          <w:sz w:val="16"/>
          <w:szCs w:val="16"/>
          <w:color w:val="auto"/>
        </w:rPr>
        <w:t>The semiconductor industry and specifically the mobile and wireless communications markets are extremely competitive, and we expect competition to intensify as current competitors expand their product offerings and new competitors enter the market. We currently compete with a number of large domestic and international companies in the business of designing integrated circuits and related applications, some of which have greater financial, technical and management resources than us. We expect competition to continue to increase as industry standards continue to evolve and become better known, and others realize the market potential of wired and wireless products and services. For example, we expect to see increased competition in the TD-SCDMA smartphone market in China.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8" w:lineRule="exact"/>
        <w:rPr>
          <w:sz w:val="20"/>
          <w:szCs w:val="20"/>
          <w:color w:val="auto"/>
        </w:rPr>
      </w:pPr>
    </w:p>
    <w:p>
      <w:pPr>
        <w:ind w:right="400" w:firstLine="456"/>
        <w:spacing w:after="0" w:line="256" w:lineRule="auto"/>
        <w:rPr>
          <w:sz w:val="20"/>
          <w:szCs w:val="20"/>
          <w:color w:val="auto"/>
        </w:rPr>
      </w:pPr>
      <w:r>
        <w:rPr>
          <w:rFonts w:ascii="Arial" w:cs="Arial" w:eastAsia="Arial" w:hAnsi="Arial"/>
          <w:sz w:val="18"/>
          <w:szCs w:val="18"/>
          <w:color w:val="auto"/>
        </w:rPr>
        <w:t>In addition, the semiconductor providers competing for the mobile and wireless communication markets have experienced consolidation recently. In February 2011, Broadcom Corporation acquired NetLogic Microsystems. In addition, in September 2011, Texas Instruments Incorporated acquired National Semiconductor. Consolidation among our competitors could lead to a changing competitive landscape, capabilities and market share, which could harm our results of operations.</w:t>
      </w:r>
    </w:p>
    <w:p>
      <w:pPr>
        <w:spacing w:after="0" w:line="224"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400" w:firstLine="456"/>
        <w:spacing w:after="0" w:line="259" w:lineRule="auto"/>
        <w:rPr>
          <w:sz w:val="20"/>
          <w:szCs w:val="20"/>
          <w:color w:val="auto"/>
        </w:rPr>
      </w:pPr>
      <w:r>
        <w:rPr>
          <w:rFonts w:ascii="Arial" w:cs="Arial" w:eastAsia="Arial" w:hAnsi="Arial"/>
          <w:sz w:val="18"/>
          <w:szCs w:val="18"/>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customers are participants in this industry.</w:t>
      </w:r>
    </w:p>
    <w:p>
      <w:pPr>
        <w:spacing w:after="0" w:line="14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In addition, the HDD industry has experienced consolidation over the past several years. For example, during fiscal 2010, Toshiba acquired the HDD operations of Fujitsu. In December 2011, Seagate completed the acquisition of Samsung’s HDD unit. In March 2012, Western Digital completed the acquisition of Hitachi’s HDD unit. Consolidation among our customers could lead to changing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if we can leverage our technology and customer relationships.</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Furthermore, future changes in the nature of information storage products could reduce demand for traditional HDDs. For example, products using alternative technologies, such as solid-state flash drives and other storage technologies could become a source of competition to manufacturers of HDDs. Because we offer SSD controllers, leveraging our technology in hard drives, we believe we will maintain significant market share even if demand for traditional HDDs decreases.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00"/>
          </w:cols>
          <w:pgMar w:left="240" w:top="459" w:right="2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08"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subsequent global economic recovery in the semiconductor industry.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24"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120" w:firstLine="456"/>
        <w:spacing w:after="0" w:line="288" w:lineRule="auto"/>
        <w:rPr>
          <w:sz w:val="20"/>
          <w:szCs w:val="20"/>
          <w:color w:val="auto"/>
        </w:rPr>
      </w:pPr>
      <w:r>
        <w:rPr>
          <w:rFonts w:ascii="Arial" w:cs="Arial" w:eastAsia="Arial" w:hAnsi="Arial"/>
          <w:sz w:val="16"/>
          <w:szCs w:val="16"/>
          <w:color w:val="auto"/>
        </w:rPr>
        <w:t>Substantially all of our products are manufactured by third party foundries located in Taiwan. Our other sources for manufacturing are located in the U.S., China and Singapore. In addition, substantially all of our assembly and testing facilities are located in Singapore, Taiwan, Malaysia and the Philippines. Because of the geographic concentration of these third party foundries, as well as our assembly and test subcontractors, we are exposed to the risk that their operations may be disrupted by regional disasters or by political changes.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and may be subject to additional earthquakes that could disrupt manufacturing operations. In the event of a significant natural disaster or a quarantine or closure that affects our manufacturers in the Pacific Rim, our revenues, cost of goods sold and results of operations would be negatively impacted. In addition, if we were unable to quickly identify alternate manufacturing facilities, we could experience significant delays in product shipments, which could harm our results of operations.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In addition, when demand is strong, availability of foundry capacity may be constrained, and with limited exceptions, our vendors are not obligated to perform services or supply products to us for any specific period, in any specific quantities, or at any specific price, except as may be provided in a particular purchase order. For example, in recent years, we experienced some supply shortages due to the difficulties encountered by the foundries in rapidly increasing their production capacities after the recovery from the severe economic down turn from fiscal 2009 to fiscal 2012 due to a rapid increase in demand. Although we have entered into contractual commitments to supply specified levels of products to some of our customers, we may not have sufficient levels of production capacity with all of our foundries. In addition,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Moreover, if any of our third 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21"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Despite our strategy to move to a dual source, we currently use several independent foundries to manufacture our semiconductor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44"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We are also subject to risk from fluctuating market prices of certain commodity raw materials, particularly gold, that are incorporated into our end products or used by our suppliers to manufacture our end products. Supplies for such commodities may from time-to-time become restricted, or general market factors and conditions may affect pricing of such commodities. Over the past few years, the price of gold increased significantly and certain of our supply chain partners assessed surcharges to compensate for the resultant increase in manufacturing costs. As a result, our gross margins have been adversely affected by significant increases in the price of gold. We are currently restructuring certain manufacturing processes to use copper instead of gold in our products. In transitioning from gold to copper, because the capacity of either wafer producers or assemblers can be limited from time to time, we may be unable to satisfy the demand of our customers, or may have to accept price increases or other compensation arrangements that increase our operating expenses and erode our gross margins. Our results may also be materially affected adversely if we fail to execute successfully or if we experience resistance from our customer base in the transition from gold to copper.</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221" w:lineRule="exact"/>
        <w:rPr>
          <w:sz w:val="20"/>
          <w:szCs w:val="20"/>
          <w:color w:val="auto"/>
        </w:rPr>
      </w:pPr>
    </w:p>
    <w:p>
      <w:pPr>
        <w:ind w:right="24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three largest customers represented 35% of our net revenue in the three months ended April 28, 2012.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52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develop their own solutions;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be subject to severe business disruptions.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28"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4"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For example, in order to reduce expenses in the challenging economic environment that began during the second half of fiscal 2009, in late fiscal 2009 and early in fiscal 2010, we implemented certain cost reduction measures to reduce operating expenses. Since that time we have hired a significant numbers of employees primarily in the research and development area.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1"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306" w:lineRule="auto"/>
        <w:rPr>
          <w:sz w:val="20"/>
          <w:szCs w:val="20"/>
          <w:color w:val="auto"/>
        </w:rPr>
      </w:pPr>
      <w:r>
        <w:rPr>
          <w:rFonts w:ascii="Arial" w:cs="Arial" w:eastAsia="Arial" w:hAnsi="Arial"/>
          <w:sz w:val="16"/>
          <w:szCs w:val="16"/>
          <w:color w:val="auto"/>
        </w:rPr>
        <w:t>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188"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that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 Even if new and enhanced products are introduced to the market, we and our customers may not be able to achieve market acceptance of them in a timely manner.</w:t>
      </w:r>
    </w:p>
    <w:p>
      <w:pPr>
        <w:spacing w:after="0" w:line="121"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certain price concessions, which could cause our average selling prices and gross margins to decline.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right="160" w:firstLine="456"/>
        <w:spacing w:after="0" w:line="289"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We cannot assure you that, despite our testing procedures,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we may have difficulty identifying the end customers of the defective products in the field. As a result, we could incur substantial costs to implement modifications to correct defects. Any of these problems could materially adversely affect our results of operations.</w:t>
      </w:r>
    </w:p>
    <w:p>
      <w:pPr>
        <w:spacing w:after="0" w:line="199"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 volume applications. As a result, the prices of those products have historically decreased rapidly. In addition, more recently introduced products tend to have higher associated costs because of initial overall development and production ramp.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13"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Moreover, because of the wide price differences across the markets we serve, the mix and types of performance capabilities of our products sold may affect the average selling prices of our products and have a substantial impact on our revenue and gross margin. Fluctuations in the mix and types of our products may also affect the extent to which we are able to recover the fixed costs and investments associated with a particular product, and as a result can harm our financial results.</w:t>
      </w:r>
    </w:p>
    <w:p>
      <w:pPr>
        <w:spacing w:after="0" w:line="143"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In the past, we have reduced the average selling prices of our products in anticipation of future competitive pricing pressures, new product introductions by us or by our competitors and other factors. We expect that we will have to do so again in the future.</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88% of our net revenue in three months ended April 28, 2012, 88% of our net revenue in fiscal 2012 and 81% of our net revenue in fiscal 2011.</w:t>
      </w:r>
    </w:p>
    <w:p>
      <w:pPr>
        <w:spacing w:after="0" w:line="116"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We also have substantial operations outside of the U.S. These operations are directly influenced by the political and economic conditions of the region in which they are located, and with respect to Israel, possible military hostilities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4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00"/>
          </w:cols>
          <w:pgMar w:left="240" w:top="459" w:right="2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2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end market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had approximately $2.0 billion of goodwill and $127.2 million of intangible assets on our balance sheet as of April 28, 2012. Under U.S. GAAP, we are required to review our intangible assets for impairment whenever events or changes in circumstances indicate that the carrying value of these assets may not be recoverable. We perform an annual assessment of goodwill at the beginning of our fiscal fourth quarter and we also assess the impairment of goodwill on an interim basis whenever events or changes in circumstances indicate that the carrying value of such assets may not be recoverable. If the businesses acquired fail to meet our expectations set out at the time of the acquisition or if our market capitalization adjusted for control premiums and other factors declines to below our carrying value, we could incur significant goodwill or intangible impairment charges, which could negatively impact our financial results. In addition, from time to time, we have made investments in other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Impairment charges could have a material impact on our results of operations in any period.</w:t>
      </w:r>
    </w:p>
    <w:p>
      <w:pPr>
        <w:spacing w:after="0" w:line="201"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adversely affect our financial results.</w:t>
      </w:r>
    </w:p>
    <w:p>
      <w:pPr>
        <w:spacing w:after="0" w:line="113"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may consider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 or cause our stock price to decline.</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that we receive may be terminated or reduced in the future, which would harm our results of operations and profitability.</w:t>
      </w:r>
    </w:p>
    <w:p>
      <w:pPr>
        <w:spacing w:after="0" w:line="9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In prior years, we have entered into agreements with the local governments in certain foreign jurisdictions where we have significant operations to provide us with favorable tax rates in those jurisdictions if certain criteria are met.</w:t>
      </w:r>
    </w:p>
    <w:p>
      <w:pPr>
        <w:spacing w:after="0" w:line="132"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We have obtained from the Minister of Finance of Bermuda under the Exempt Undertakings Tax Protection Act 1966, as amended, an undertaking that, in the event Bermuda enacts legislation imposing tax computed on profits, income, or capital asset, gain or appreciation, then the imposition of any such taxes will not apply to us until March 31, 2035. We cannot assure that any future elected Government of Bermuda would not amend the Exempted Undertaking Tax Protection Act 1966 such that tax would be imposed in Bermuda.</w:t>
      </w:r>
    </w:p>
    <w:p>
      <w:pPr>
        <w:spacing w:after="0" w:line="143"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Economic Development Board of Singapore (the “EDB”) granted Pioneer Status to our wholly-owned subsidiary in Singapore in July 1999. This tax exemption was to expire after ten years, but the EDB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w:t>
      </w:r>
    </w:p>
    <w:p>
      <w:pPr>
        <w:spacing w:after="0" w:line="14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Under the Israeli Encouragement law of “approved or benefited enterprise,” two branches of Marvell Israel (“MISL”), the GTL branch and the cellular branch (formerly Marvell DSPC), are entitled to a beneficial tax program that includes reduced tax rates and exemption of certain income. The first program was approved for MISL in 1995 and the most recent was approved in 2003. Marvell DSPC has five approved programs, with the first approved in 1990 and the most recent benefited enterprise approved in 2010. The benefit period is generally 10 to 15 years and begins in the first year in which our Israeli divisions earn taxable income from the approved or benefited enterprises, provided the maximum period has not elapsed. Income from the approved or benefited enterprises is subject to reduced tax rates ranging between 0% and 10% or tax exemptions for fiscal 2008 through 2020. A new amendment to the Encouragement law, which was approved by the Israeli government in December 2011, came into effect January 1, 2012. MISL and DSPC will not apply the new amendment to the Encouragement law prior to fiscal 2023.</w:t>
      </w:r>
    </w:p>
    <w:p>
      <w:pPr>
        <w:spacing w:after="0" w:line="118"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During fiscal 2007, our Switzerland subsidiary received a ten-year Federal and Cantonal tax holiday on revenues from research and design and wafer supply trading activities that will expire in 2016. In fiscal 2011, we met the requirements of the initial five year period and we will receive the ongoing tax holiday benefits provided that we continue to meet the ongoing requirements.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If any of our tax agreements in any of these foreign jurisdictions were terminated, our results of our operations and profitability would be harmed.</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24"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Certain of our software (as well as that of our customers) may be derived from so-called “open source” software that is generally made available to the public by its authors and/or other third parties. Open source software is often made available under licenses, which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40"/>
        <w:spacing w:after="0" w:line="259" w:lineRule="auto"/>
        <w:rPr>
          <w:sz w:val="20"/>
          <w:szCs w:val="20"/>
          <w:color w:val="auto"/>
        </w:rPr>
      </w:pPr>
      <w:r>
        <w:rPr>
          <w:rFonts w:ascii="Arial" w:cs="Arial" w:eastAsia="Arial" w:hAnsi="Arial"/>
          <w:sz w:val="18"/>
          <w:szCs w:val="18"/>
          <w:color w:val="auto"/>
        </w:rPr>
        <w:t>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w:t>
      </w:r>
    </w:p>
    <w:p>
      <w:pPr>
        <w:spacing w:after="0" w:line="221" w:lineRule="exact"/>
        <w:rPr>
          <w:sz w:val="20"/>
          <w:szCs w:val="20"/>
          <w:color w:val="auto"/>
        </w:rPr>
      </w:pPr>
    </w:p>
    <w:p>
      <w:pPr>
        <w:ind w:right="60"/>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4"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LAN. In addition to standards-based infringement claims, infringement claims have also been directed against us and our subsidiaries’ proprietary technologies, particularly those related to storage technology, microprocessors and other circuit components. We have also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9" w:lineRule="exact"/>
        <w:rPr>
          <w:sz w:val="20"/>
          <w:szCs w:val="20"/>
          <w:color w:val="auto"/>
        </w:rPr>
      </w:pPr>
    </w:p>
    <w:p>
      <w:pPr>
        <w:ind w:left="900" w:right="44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8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We may also be required to indemnify some customers under our contracts if a third party alleges, or a court finds, that our products have infringed upon the proprietary rights of other parties. From time to time, we have agreed to indemnify select customers for claims made against our products, where such claims allege infringement of third party intellectual property rights, including, but not limited to, patents, registered trademarks and/or copyrights.</w:t>
      </w:r>
    </w:p>
    <w:p>
      <w:pPr>
        <w:spacing w:after="0" w:line="188" w:lineRule="exact"/>
        <w:rPr>
          <w:sz w:val="20"/>
          <w:szCs w:val="20"/>
          <w:color w:val="auto"/>
        </w:rPr>
      </w:pPr>
    </w:p>
    <w:p>
      <w:pPr>
        <w:jc w:val="both"/>
        <w:ind w:right="300"/>
        <w:spacing w:after="0" w:line="357"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ind w:right="20" w:firstLine="456"/>
        <w:spacing w:after="0" w:line="289" w:lineRule="auto"/>
        <w:rPr>
          <w:sz w:val="20"/>
          <w:szCs w:val="20"/>
          <w:color w:val="auto"/>
        </w:rPr>
      </w:pPr>
      <w:r>
        <w:rPr>
          <w:rFonts w:ascii="Arial" w:cs="Arial" w:eastAsia="Arial" w:hAnsi="Arial"/>
          <w:sz w:val="16"/>
          <w:szCs w:val="16"/>
          <w:color w:val="auto"/>
        </w:rPr>
        <w:t>We have been named as a party to several lawsuits and we may be named in additional litigation in the future. Please see “Note 9 – Commitments and Contingencies” of our notes to the unaudited condensed consolidated financial statements set forth in Part I, Item 1 of this Quarterly Report on Form 10-Q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In addition, as a result of a prior SEC settlement, we forfeited for three years our ability to invoke the “safe harbor” for forward-looking statements provided by the Private Securities Litigation Reform Act of 1995. Because we could not benefit from the statutory safe harbor from June 2008 through June 2011, it may be more difficult for us to defend against any future claims based on any forward-looking statements issued during that timeframe.</w:t>
      </w:r>
    </w:p>
    <w:p>
      <w:pPr>
        <w:spacing w:after="0" w:line="118"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The ultimate outcome of any litigation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amounts.</w:t>
      </w:r>
    </w:p>
    <w:p>
      <w:pPr>
        <w:spacing w:after="0" w:line="90"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On May 17, 2012, we announced the declaration of our first quarterly cash dividend. We intend to pay a regular quarterly cash dividend on our common shares subject to, among other things, the best interests of our shareholders, our results of operations, cash balances and future cash requirements, financial condition, statutory requirements of Bermuda law, and other factors that the board of directors may deem relevant. Our dividend payments may change from time to time, and we cannot provide assurance that we will continue to declare dividends at all or in any particular amounts. A reduction in our dividend payments could have a negative effect on our share price.</w:t>
      </w:r>
    </w:p>
    <w:p>
      <w:pPr>
        <w:spacing w:after="0" w:line="224"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51"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loss of key employees or the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13"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The competition for qualified technical personnel with significant experience in the design, development, manufacturing, marketing and sales of integrated circuits is intense.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188" w:lineRule="exact"/>
        <w:rPr>
          <w:sz w:val="20"/>
          <w:szCs w:val="20"/>
          <w:color w:val="auto"/>
        </w:rPr>
      </w:pPr>
    </w:p>
    <w:p>
      <w:pPr>
        <w:jc w:val="both"/>
        <w:ind w:right="180"/>
        <w:spacing w:after="0" w:line="259" w:lineRule="auto"/>
        <w:rPr>
          <w:sz w:val="20"/>
          <w:szCs w:val="20"/>
          <w:color w:val="auto"/>
        </w:rPr>
      </w:pPr>
      <w:r>
        <w:rPr>
          <w:rFonts w:ascii="Arial" w:cs="Arial" w:eastAsia="Arial" w:hAnsi="Arial"/>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59"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Our management is responsible for maintaining effective internal control over financial reporting and for its assessment of the effectiveness of internal control over financial reporting included in each Annual Report on Form 10-K.</w:t>
      </w:r>
    </w:p>
    <w:p>
      <w:pPr>
        <w:spacing w:after="0" w:line="14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These inherent limitations include the realities that judgments in decision making can be faulty, breakdowns can occur because of simple errors,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205"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59" w:lineRule="exact"/>
        <w:rPr>
          <w:sz w:val="20"/>
          <w:szCs w:val="20"/>
          <w:color w:val="auto"/>
        </w:rPr>
      </w:pPr>
    </w:p>
    <w:p>
      <w:pPr>
        <w:ind w:right="40" w:firstLine="456"/>
        <w:spacing w:after="0" w:line="314" w:lineRule="auto"/>
        <w:rPr>
          <w:sz w:val="20"/>
          <w:szCs w:val="20"/>
          <w:color w:val="auto"/>
        </w:rPr>
      </w:pPr>
      <w:r>
        <w:rPr>
          <w:rFonts w:ascii="Arial" w:cs="Arial" w:eastAsia="Arial" w:hAnsi="Arial"/>
          <w:sz w:val="15"/>
          <w:szCs w:val="15"/>
          <w:color w:val="auto"/>
        </w:rPr>
        <w:t>Dr. Sehat Sutardja, our President and Chief Executive Officer, and Weili Dai, who serves as the Vice President and General Manager of Communications and Consumer Business of Marvell Semiconductor, Inc, are husband and wife, and Dr. Sehat Sutardja and Dr. Pantas Sutardja, our Vice President, Chief Technology Officer and Chief Research and Development Officer, are brothers. Together, these three individuals held approximately 18% of our outstanding common shares as of April 28, 2012.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example, the voting power of these individuals could have the effect of delaying or preventing an acquisition of us on terms that other shareholders may desire.</w:t>
      </w:r>
    </w:p>
    <w:p>
      <w:pPr>
        <w:spacing w:after="0" w:line="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459" w:right="2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are generally not available to shareholders under the laws of Bermuda. Derivative actions may be available in certain circumstances, which would permit a shareholder to bring an action in our name if the directors or officers are alleged to be acting beyond our corporate power, committing illegal acts or violating our Memorandum of Association or Third Amended and Restated Bye-Laws (“Bye-Laws”). Furthermore, consideration would be given by a Bermuda court to acts that are alleged to constitute a fraud against the minority shareholders or, for example, where an act requiring the approval of a greater percentage of the company’s shareholders than those who actually approved it.</w:t>
      </w:r>
    </w:p>
    <w:p>
      <w:pPr>
        <w:spacing w:after="0" w:line="12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94" w:lineRule="exact"/>
        <w:rPr>
          <w:sz w:val="20"/>
          <w:szCs w:val="20"/>
          <w:color w:val="auto"/>
        </w:rPr>
      </w:pPr>
    </w:p>
    <w:p>
      <w:pPr>
        <w:ind w:right="320"/>
        <w:spacing w:after="0" w:line="357" w:lineRule="auto"/>
        <w:rPr>
          <w:sz w:val="20"/>
          <w:szCs w:val="20"/>
          <w:color w:val="auto"/>
        </w:rPr>
      </w:pPr>
      <w:r>
        <w:rPr>
          <w:rFonts w:ascii="Arial" w:cs="Arial" w:eastAsia="Arial" w:hAnsi="Arial"/>
          <w:sz w:val="15"/>
          <w:szCs w:val="15"/>
          <w:b w:val="1"/>
          <w:bCs w:val="1"/>
          <w:i w:val="1"/>
          <w:iCs w:val="1"/>
          <w:color w:val="auto"/>
        </w:rPr>
        <w:t>We rely upon the performance of our information technology systems to process, transmit, store and protect electronic information, and the failure of any critical information technology system may result in serious harm to our reputation, business, results of operations and/or financial condition.</w:t>
      </w:r>
    </w:p>
    <w:p>
      <w:pPr>
        <w:ind w:firstLine="456"/>
        <w:spacing w:after="0" w:line="285"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These information technology systems include telecommunications, the Internet, our corporate intranet, various computer hardware and software applications, network communications and e-mail. These information technology systems are subject to damage or interruption from a number of potential sources including natural disasters, viruses, destructive or inadequate code, malware, power failures, cyber attacks, and other events. To the extent that these information systems are under our control, we have implemented security procedures, such as virus protection software and emergency recovery processes, to address the outlined risks. We may incur significant costs in order to implement, maintain and/or update security systems that we feel are necessary to protect our information systems. A material breach in the security of our information systems could include the theft of our intellectual property or trade secrets, negatively impact our operations, or result in the compromise of personal and confidential information of our employees, customers or suppliers. While we believe that our information technology systems are appropriately controlled and that we have processes in place to adequately mitigate these risks, security procedures for information systems cannot be guaranteed to be failsafe. To the extent that any system failure, accident or security breach results in disruptions or interruptions to our operations or the theft, loss or disclosure of, or damage to our data or confidential information, our reputation, business, results of operations and/or financial condition could be materially adversely affected. In addition, a miscalculation of the level of investment needed to ensure our technology solutions are current and up-to-date as technology advances and evolves could result in disruptions in our business should the software, hardware or maintenance of such items become out-of-date or obsolete. Furthermore, when we implement new systems and/or upgrade existing systems, there is a risk that our business may be temporarily disrupted during the period of implementation.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6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 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1" w:lineRule="exact"/>
        <w:rPr>
          <w:sz w:val="20"/>
          <w:szCs w:val="20"/>
          <w:color w:val="auto"/>
        </w:rPr>
      </w:pPr>
    </w:p>
    <w:p>
      <w:pPr>
        <w:ind w:right="12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16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United States courts judgments based on the civil liability provisions of the securities laws of the United States.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18"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securities laws. This waiver will limit the rights of our shareholders to assert claims against our officers and directors unless the act complained of involves fraud or dishonesty. Therefore, so long as acts of business judgment do not involve fraud or dishonesty, they will not be subject to shareholder claims under Bermuda law. For example, shareholders will not have claims against officers and directors for a breach of trust, unless the breach rises to the level of fraud or dishonesty.</w:t>
      </w:r>
    </w:p>
    <w:p>
      <w:pPr>
        <w:spacing w:after="0" w:line="228"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 and</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requiring a vote of two-thirds of votes cast in person or by proxy to approve any change of corporate control in the event the action is not approved by at least 662/3% of the directors holding office at the date of the Board meeting to approve the action.</w:t>
      </w:r>
    </w:p>
    <w:p>
      <w:pPr>
        <w:spacing w:after="0" w:line="132" w:lineRule="exact"/>
        <w:rPr>
          <w:sz w:val="20"/>
          <w:szCs w:val="20"/>
          <w:color w:val="auto"/>
        </w:rPr>
      </w:pPr>
    </w:p>
    <w:p>
      <w:pPr>
        <w:ind w:right="640" w:firstLine="456"/>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 party to acquire us, even if doing so would be a benefit to our shareholders.</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380"/>
          </w:cols>
          <w:pgMar w:left="240" w:top="459" w:right="27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April 28, 2012.</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repurchases during the three months ended April 28, 2012 (in thousands, except per share data):</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700" w:type="dxa"/>
            <w:vAlign w:val="bottom"/>
          </w:tcPr>
          <w:p>
            <w:pPr>
              <w:jc w:val="center"/>
              <w:spacing w:after="0"/>
              <w:rPr>
                <w:sz w:val="20"/>
                <w:szCs w:val="20"/>
                <w:color w:val="auto"/>
              </w:rPr>
            </w:pPr>
            <w:r>
              <w:rPr>
                <w:rFonts w:ascii="Arial" w:cs="Arial" w:eastAsia="Arial" w:hAnsi="Arial"/>
                <w:sz w:val="14"/>
                <w:szCs w:val="14"/>
                <w:b w:val="1"/>
                <w:bCs w:val="1"/>
                <w:color w:val="auto"/>
                <w:w w:val="87"/>
              </w:rPr>
              <w:t>Total Number of Shares</w:t>
            </w:r>
          </w:p>
        </w:tc>
        <w:tc>
          <w:tcPr>
            <w:tcW w:w="220" w:type="dxa"/>
            <w:vAlign w:val="bottom"/>
          </w:tcPr>
          <w:p>
            <w:pPr>
              <w:spacing w:after="0"/>
              <w:rPr>
                <w:sz w:val="14"/>
                <w:szCs w:val="14"/>
                <w:color w:val="auto"/>
              </w:rPr>
            </w:pPr>
          </w:p>
        </w:tc>
        <w:tc>
          <w:tcPr>
            <w:tcW w:w="1840" w:type="dxa"/>
            <w:vAlign w:val="bottom"/>
            <w:gridSpan w:val="3"/>
          </w:tcPr>
          <w:p>
            <w:pPr>
              <w:spacing w:after="0"/>
              <w:rPr>
                <w:sz w:val="20"/>
                <w:szCs w:val="20"/>
                <w:color w:val="auto"/>
              </w:rPr>
            </w:pPr>
            <w:r>
              <w:rPr>
                <w:rFonts w:ascii="Arial" w:cs="Arial" w:eastAsia="Arial" w:hAnsi="Arial"/>
                <w:sz w:val="14"/>
                <w:szCs w:val="14"/>
                <w:b w:val="1"/>
                <w:bCs w:val="1"/>
                <w:color w:val="auto"/>
                <w:w w:val="92"/>
              </w:rPr>
              <w:t>Approximated Dollar Value of</w:t>
            </w:r>
          </w:p>
        </w:tc>
        <w:tc>
          <w:tcPr>
            <w:tcW w:w="0" w:type="dxa"/>
            <w:vAlign w:val="bottom"/>
          </w:tcPr>
          <w:p>
            <w:pPr>
              <w:spacing w:after="0"/>
              <w:rPr>
                <w:sz w:val="1"/>
                <w:szCs w:val="1"/>
                <w:color w:val="auto"/>
              </w:rPr>
            </w:pPr>
          </w:p>
        </w:tc>
      </w:tr>
      <w:tr>
        <w:trPr>
          <w:trHeight w:val="149"/>
        </w:trPr>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Purchased as Part of Publicly</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Shares that May Yet Be</w:t>
            </w:r>
          </w:p>
        </w:tc>
        <w:tc>
          <w:tcPr>
            <w:tcW w:w="0" w:type="dxa"/>
            <w:vAlign w:val="bottom"/>
          </w:tcPr>
          <w:p>
            <w:pPr>
              <w:spacing w:after="0"/>
              <w:rPr>
                <w:sz w:val="1"/>
                <w:szCs w:val="1"/>
                <w:color w:val="auto"/>
              </w:rPr>
            </w:pPr>
          </w:p>
        </w:tc>
      </w:tr>
      <w:tr>
        <w:trPr>
          <w:trHeight w:val="149"/>
        </w:trPr>
        <w:tc>
          <w:tcPr>
            <w:tcW w:w="400" w:type="dxa"/>
            <w:vAlign w:val="bottom"/>
            <w:vMerge w:val="restart"/>
          </w:tcPr>
          <w:p>
            <w:pPr>
              <w:spacing w:after="0"/>
              <w:rPr>
                <w:sz w:val="20"/>
                <w:szCs w:val="20"/>
                <w:color w:val="auto"/>
              </w:rPr>
            </w:pPr>
            <w:r>
              <w:rPr>
                <w:rFonts w:ascii="Arial" w:cs="Arial" w:eastAsia="Arial" w:hAnsi="Arial"/>
                <w:sz w:val="14"/>
                <w:szCs w:val="14"/>
                <w:b w:val="1"/>
                <w:bCs w:val="1"/>
                <w:color w:val="auto"/>
                <w:w w:val="87"/>
              </w:rPr>
              <w:t>Period</w:t>
            </w:r>
          </w:p>
        </w:tc>
        <w:tc>
          <w:tcPr>
            <w:tcW w:w="4880" w:type="dxa"/>
            <w:vAlign w:val="bottom"/>
            <w:gridSpan w:val="2"/>
            <w:vMerge w:val="restart"/>
          </w:tcPr>
          <w:p>
            <w:pPr>
              <w:spacing w:after="0"/>
              <w:rPr>
                <w:sz w:val="12"/>
                <w:szCs w:val="12"/>
                <w:color w:val="auto"/>
              </w:rPr>
            </w:pPr>
          </w:p>
        </w:tc>
        <w:tc>
          <w:tcPr>
            <w:tcW w:w="1160" w:type="dxa"/>
            <w:vAlign w:val="bottom"/>
            <w:gridSpan w:val="2"/>
          </w:tcPr>
          <w:p>
            <w:pPr>
              <w:jc w:val="right"/>
              <w:ind w:right="160"/>
              <w:spacing w:after="0" w:line="149" w:lineRule="exact"/>
              <w:rPr>
                <w:sz w:val="20"/>
                <w:szCs w:val="20"/>
                <w:color w:val="auto"/>
              </w:rPr>
            </w:pPr>
            <w:r>
              <w:rPr>
                <w:rFonts w:ascii="Arial" w:cs="Arial" w:eastAsia="Arial" w:hAnsi="Arial"/>
                <w:sz w:val="14"/>
                <w:szCs w:val="14"/>
                <w:b w:val="1"/>
                <w:bCs w:val="1"/>
                <w:color w:val="auto"/>
                <w:w w:val="91"/>
              </w:rPr>
              <w:t>Total Number of</w:t>
            </w:r>
          </w:p>
        </w:tc>
        <w:tc>
          <w:tcPr>
            <w:tcW w:w="120" w:type="dxa"/>
            <w:vAlign w:val="bottom"/>
          </w:tcPr>
          <w:p>
            <w:pPr>
              <w:spacing w:after="0"/>
              <w:rPr>
                <w:sz w:val="12"/>
                <w:szCs w:val="12"/>
                <w:color w:val="auto"/>
              </w:rPr>
            </w:pPr>
          </w:p>
        </w:tc>
        <w:tc>
          <w:tcPr>
            <w:tcW w:w="110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Average Price</w:t>
            </w: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Announced Plans or</w:t>
            </w:r>
          </w:p>
        </w:tc>
        <w:tc>
          <w:tcPr>
            <w:tcW w:w="220" w:type="dxa"/>
            <w:vAlign w:val="bottom"/>
          </w:tcPr>
          <w:p>
            <w:pPr>
              <w:spacing w:after="0"/>
              <w:rPr>
                <w:sz w:val="12"/>
                <w:szCs w:val="12"/>
                <w:color w:val="auto"/>
              </w:rPr>
            </w:pPr>
          </w:p>
        </w:tc>
        <w:tc>
          <w:tcPr>
            <w:tcW w:w="18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1"/>
              </w:rPr>
              <w:t>Purchased Under the Plans or</w:t>
            </w:r>
          </w:p>
        </w:tc>
        <w:tc>
          <w:tcPr>
            <w:tcW w:w="0" w:type="dxa"/>
            <w:vAlign w:val="bottom"/>
          </w:tcPr>
          <w:p>
            <w:pPr>
              <w:spacing w:after="0"/>
              <w:rPr>
                <w:sz w:val="1"/>
                <w:szCs w:val="1"/>
                <w:color w:val="auto"/>
              </w:rPr>
            </w:pPr>
          </w:p>
        </w:tc>
      </w:tr>
      <w:tr>
        <w:trPr>
          <w:trHeight w:val="168"/>
        </w:trPr>
        <w:tc>
          <w:tcPr>
            <w:tcW w:w="400" w:type="dxa"/>
            <w:vAlign w:val="bottom"/>
            <w:tcBorders>
              <w:bottom w:val="single" w:sz="8" w:color="auto"/>
            </w:tcBorders>
            <w:vMerge w:val="continue"/>
          </w:tcPr>
          <w:p>
            <w:pPr>
              <w:spacing w:after="0"/>
              <w:rPr>
                <w:sz w:val="14"/>
                <w:szCs w:val="14"/>
                <w:color w:val="auto"/>
              </w:rPr>
            </w:pPr>
          </w:p>
        </w:tc>
        <w:tc>
          <w:tcPr>
            <w:tcW w:w="4880" w:type="dxa"/>
            <w:vAlign w:val="bottom"/>
            <w:gridSpan w:val="2"/>
            <w:vMerge w:val="continue"/>
          </w:tcPr>
          <w:p>
            <w:pPr>
              <w:spacing w:after="0"/>
              <w:rPr>
                <w:sz w:val="14"/>
                <w:szCs w:val="14"/>
                <w:color w:val="auto"/>
              </w:rPr>
            </w:pPr>
          </w:p>
        </w:tc>
        <w:tc>
          <w:tcPr>
            <w:tcW w:w="1160" w:type="dxa"/>
            <w:vAlign w:val="bottom"/>
            <w:gridSpan w:val="2"/>
          </w:tcPr>
          <w:p>
            <w:pPr>
              <w:jc w:val="right"/>
              <w:ind w:right="120"/>
              <w:spacing w:after="0" w:line="148" w:lineRule="exact"/>
              <w:rPr>
                <w:sz w:val="20"/>
                <w:szCs w:val="20"/>
                <w:color w:val="auto"/>
              </w:rPr>
            </w:pPr>
            <w:r>
              <w:rPr>
                <w:rFonts w:ascii="Arial" w:cs="Arial" w:eastAsia="Arial" w:hAnsi="Arial"/>
                <w:sz w:val="14"/>
                <w:szCs w:val="14"/>
                <w:b w:val="1"/>
                <w:bCs w:val="1"/>
                <w:color w:val="auto"/>
                <w:w w:val="83"/>
              </w:rPr>
              <w:t>Shares Purchased</w:t>
            </w:r>
          </w:p>
        </w:tc>
        <w:tc>
          <w:tcPr>
            <w:tcW w:w="120" w:type="dxa"/>
            <w:vAlign w:val="bottom"/>
          </w:tcPr>
          <w:p>
            <w:pPr>
              <w:spacing w:after="0"/>
              <w:rPr>
                <w:sz w:val="14"/>
                <w:szCs w:val="14"/>
                <w:color w:val="auto"/>
              </w:rPr>
            </w:pPr>
          </w:p>
        </w:tc>
        <w:tc>
          <w:tcPr>
            <w:tcW w:w="1100" w:type="dxa"/>
            <w:vAlign w:val="bottom"/>
            <w:gridSpan w:val="3"/>
          </w:tcPr>
          <w:p>
            <w:pPr>
              <w:spacing w:after="0" w:line="148" w:lineRule="exact"/>
              <w:rPr>
                <w:sz w:val="20"/>
                <w:szCs w:val="20"/>
                <w:color w:val="auto"/>
              </w:rPr>
            </w:pPr>
            <w:r>
              <w:rPr>
                <w:rFonts w:ascii="Arial" w:cs="Arial" w:eastAsia="Arial" w:hAnsi="Arial"/>
                <w:sz w:val="14"/>
                <w:szCs w:val="14"/>
                <w:b w:val="1"/>
                <w:bCs w:val="1"/>
                <w:color w:val="auto"/>
              </w:rPr>
              <w:t>Paid per Share</w:t>
            </w:r>
          </w:p>
        </w:tc>
        <w:tc>
          <w:tcPr>
            <w:tcW w:w="170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5"/>
              </w:rPr>
              <w:t>Programs</w:t>
            </w:r>
          </w:p>
        </w:tc>
        <w:tc>
          <w:tcPr>
            <w:tcW w:w="2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0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87"/>
              </w:rPr>
              <w:t>Programs (1)</w:t>
            </w:r>
          </w:p>
        </w:tc>
        <w:tc>
          <w:tcPr>
            <w:tcW w:w="0" w:type="dxa"/>
            <w:vAlign w:val="bottom"/>
          </w:tcPr>
          <w:p>
            <w:pPr>
              <w:spacing w:after="0"/>
              <w:rPr>
                <w:sz w:val="1"/>
                <w:szCs w:val="1"/>
                <w:color w:val="auto"/>
              </w:rPr>
            </w:pPr>
          </w:p>
        </w:tc>
      </w:tr>
      <w:tr>
        <w:trPr>
          <w:trHeight w:val="203"/>
        </w:trPr>
        <w:tc>
          <w:tcPr>
            <w:tcW w:w="528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January 29 – February 25, 2012</w:t>
            </w:r>
          </w:p>
        </w:tc>
        <w:tc>
          <w:tcPr>
            <w:tcW w:w="10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1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240" w:type="dxa"/>
            <w:vAlign w:val="bottom"/>
            <w:tcBorders>
              <w:top w:val="single" w:sz="8" w:color="CCEEFF"/>
            </w:tcBorders>
            <w:shd w:val="clear" w:color="auto" w:fill="CCEEFF"/>
          </w:tcPr>
          <w:p>
            <w:pPr>
              <w:spacing w:after="0"/>
              <w:rPr>
                <w:sz w:val="17"/>
                <w:szCs w:val="17"/>
                <w:color w:val="auto"/>
              </w:rPr>
            </w:pPr>
          </w:p>
        </w:tc>
        <w:tc>
          <w:tcPr>
            <w:tcW w:w="1700" w:type="dxa"/>
            <w:vAlign w:val="bottom"/>
            <w:tcBorders>
              <w:top w:val="single" w:sz="8" w:color="auto"/>
            </w:tcBorders>
            <w:shd w:val="clear" w:color="auto" w:fill="CCEEFF"/>
          </w:tcPr>
          <w:p>
            <w:pPr>
              <w:jc w:val="right"/>
              <w:ind w:right="22"/>
              <w:spacing w:after="0" w:line="203" w:lineRule="exact"/>
              <w:rPr>
                <w:sz w:val="20"/>
                <w:szCs w:val="20"/>
                <w:color w:val="auto"/>
              </w:rPr>
            </w:pPr>
            <w:r>
              <w:rPr>
                <w:rFonts w:ascii="Arial" w:cs="Arial" w:eastAsia="Arial" w:hAnsi="Arial"/>
                <w:sz w:val="18"/>
                <w:szCs w:val="18"/>
                <w:color w:val="auto"/>
              </w:rPr>
              <w:t>—</w:t>
            </w:r>
          </w:p>
        </w:tc>
        <w:tc>
          <w:tcPr>
            <w:tcW w:w="2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1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571,638</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280" w:type="dxa"/>
            <w:vAlign w:val="bottom"/>
            <w:gridSpan w:val="3"/>
          </w:tcPr>
          <w:p>
            <w:pPr>
              <w:spacing w:after="0"/>
              <w:rPr>
                <w:sz w:val="20"/>
                <w:szCs w:val="20"/>
                <w:color w:val="auto"/>
              </w:rPr>
            </w:pPr>
            <w:r>
              <w:rPr>
                <w:rFonts w:ascii="Arial" w:cs="Arial" w:eastAsia="Arial" w:hAnsi="Arial"/>
                <w:sz w:val="18"/>
                <w:szCs w:val="18"/>
                <w:color w:val="auto"/>
              </w:rPr>
              <w:t>February 26 – March 24, 2012</w:t>
            </w:r>
          </w:p>
        </w:tc>
        <w:tc>
          <w:tcPr>
            <w:tcW w:w="1160" w:type="dxa"/>
            <w:vAlign w:val="bottom"/>
            <w:gridSpan w:val="2"/>
          </w:tcPr>
          <w:p>
            <w:pPr>
              <w:jc w:val="right"/>
              <w:ind w:right="120"/>
              <w:spacing w:after="0"/>
              <w:rPr>
                <w:sz w:val="20"/>
                <w:szCs w:val="20"/>
                <w:color w:val="auto"/>
              </w:rPr>
            </w:pPr>
            <w:r>
              <w:rPr>
                <w:rFonts w:ascii="Arial" w:cs="Arial" w:eastAsia="Arial" w:hAnsi="Arial"/>
                <w:sz w:val="18"/>
                <w:szCs w:val="18"/>
                <w:color w:val="auto"/>
              </w:rPr>
              <w:t>6,115</w:t>
            </w:r>
          </w:p>
        </w:tc>
        <w:tc>
          <w:tcPr>
            <w:tcW w:w="40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15.20</w:t>
            </w:r>
          </w:p>
        </w:tc>
        <w:tc>
          <w:tcPr>
            <w:tcW w:w="240" w:type="dxa"/>
            <w:vAlign w:val="bottom"/>
          </w:tcPr>
          <w:p>
            <w:pPr>
              <w:spacing w:after="0"/>
              <w:rPr>
                <w:sz w:val="18"/>
                <w:szCs w:val="18"/>
                <w:color w:val="auto"/>
              </w:rPr>
            </w:pPr>
          </w:p>
        </w:tc>
        <w:tc>
          <w:tcPr>
            <w:tcW w:w="1700" w:type="dxa"/>
            <w:vAlign w:val="bottom"/>
          </w:tcPr>
          <w:p>
            <w:pPr>
              <w:jc w:val="right"/>
              <w:spacing w:after="0"/>
              <w:rPr>
                <w:sz w:val="20"/>
                <w:szCs w:val="20"/>
                <w:color w:val="auto"/>
              </w:rPr>
            </w:pPr>
            <w:r>
              <w:rPr>
                <w:rFonts w:ascii="Arial" w:cs="Arial" w:eastAsia="Arial" w:hAnsi="Arial"/>
                <w:sz w:val="18"/>
                <w:szCs w:val="18"/>
                <w:color w:val="auto"/>
              </w:rPr>
              <w:t>6,115</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600" w:type="dxa"/>
            <w:vAlign w:val="bottom"/>
          </w:tcPr>
          <w:p>
            <w:pPr>
              <w:jc w:val="right"/>
              <w:spacing w:after="0"/>
              <w:rPr>
                <w:sz w:val="20"/>
                <w:szCs w:val="20"/>
                <w:color w:val="auto"/>
              </w:rPr>
            </w:pPr>
            <w:r>
              <w:rPr>
                <w:rFonts w:ascii="Arial" w:cs="Arial" w:eastAsia="Arial" w:hAnsi="Arial"/>
                <w:sz w:val="18"/>
                <w:szCs w:val="18"/>
                <w:color w:val="auto"/>
              </w:rPr>
              <w:t>478,703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2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March 25 – April 28, 2012</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8,448</w:t>
            </w:r>
          </w:p>
        </w:tc>
        <w:tc>
          <w:tcPr>
            <w:tcW w:w="12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15.41</w:t>
            </w:r>
          </w:p>
        </w:tc>
        <w:tc>
          <w:tcPr>
            <w:tcW w:w="240" w:type="dxa"/>
            <w:vAlign w:val="bottom"/>
            <w:shd w:val="clear" w:color="auto" w:fill="CCEEFF"/>
          </w:tcPr>
          <w:p>
            <w:pPr>
              <w:spacing w:after="0"/>
              <w:rPr>
                <w:sz w:val="18"/>
                <w:szCs w:val="18"/>
                <w:color w:val="auto"/>
              </w:rPr>
            </w:pPr>
          </w:p>
        </w:tc>
        <w:tc>
          <w:tcPr>
            <w:tcW w:w="1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8,448</w:t>
            </w:r>
          </w:p>
        </w:tc>
        <w:tc>
          <w:tcPr>
            <w:tcW w:w="3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348,481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280" w:type="dxa"/>
            <w:vAlign w:val="bottom"/>
            <w:gridSpan w:val="3"/>
          </w:tcPr>
          <w:p>
            <w:pPr>
              <w:spacing w:after="0"/>
              <w:rPr>
                <w:sz w:val="20"/>
                <w:szCs w:val="20"/>
                <w:color w:val="auto"/>
              </w:rPr>
            </w:pPr>
            <w:r>
              <w:rPr>
                <w:rFonts w:ascii="Arial" w:cs="Arial" w:eastAsia="Arial" w:hAnsi="Arial"/>
                <w:sz w:val="18"/>
                <w:szCs w:val="18"/>
                <w:color w:val="auto"/>
              </w:rPr>
              <w:t>Total</w:t>
            </w: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14,563</w:t>
            </w:r>
          </w:p>
        </w:tc>
        <w:tc>
          <w:tcPr>
            <w:tcW w:w="120" w:type="dxa"/>
            <w:vAlign w:val="bottom"/>
          </w:tcPr>
          <w:p>
            <w:pPr>
              <w:spacing w:after="0"/>
              <w:rPr>
                <w:sz w:val="19"/>
                <w:szCs w:val="19"/>
                <w:color w:val="auto"/>
              </w:rPr>
            </w:pPr>
          </w:p>
        </w:tc>
        <w:tc>
          <w:tcPr>
            <w:tcW w:w="40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15.32</w:t>
            </w:r>
          </w:p>
        </w:tc>
        <w:tc>
          <w:tcPr>
            <w:tcW w:w="240" w:type="dxa"/>
            <w:vAlign w:val="bottom"/>
          </w:tcPr>
          <w:p>
            <w:pPr>
              <w:spacing w:after="0"/>
              <w:rPr>
                <w:sz w:val="19"/>
                <w:szCs w:val="19"/>
                <w:color w:val="auto"/>
              </w:rPr>
            </w:pPr>
          </w:p>
        </w:tc>
        <w:tc>
          <w:tcPr>
            <w:tcW w:w="1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14,563</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600" w:type="dxa"/>
            <w:vAlign w:val="bottom"/>
          </w:tcPr>
          <w:p>
            <w:pPr>
              <w:jc w:val="right"/>
              <w:spacing w:after="0"/>
              <w:rPr>
                <w:sz w:val="20"/>
                <w:szCs w:val="20"/>
                <w:color w:val="auto"/>
              </w:rPr>
            </w:pPr>
            <w:r>
              <w:rPr>
                <w:rFonts w:ascii="Arial" w:cs="Arial" w:eastAsia="Arial" w:hAnsi="Arial"/>
                <w:sz w:val="18"/>
                <w:szCs w:val="18"/>
                <w:color w:val="auto"/>
              </w:rPr>
              <w:t>348,481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412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400" w:type="dxa"/>
            <w:vAlign w:val="bottom"/>
            <w:tcBorders>
              <w:bottom w:val="single" w:sz="8" w:color="auto"/>
            </w:tcBorders>
          </w:tcPr>
          <w:p>
            <w:pPr>
              <w:spacing w:after="0"/>
              <w:rPr>
                <w:sz w:val="8"/>
                <w:szCs w:val="8"/>
                <w:color w:val="auto"/>
              </w:rPr>
            </w:pPr>
          </w:p>
        </w:tc>
        <w:tc>
          <w:tcPr>
            <w:tcW w:w="760" w:type="dxa"/>
            <w:vAlign w:val="bottom"/>
            <w:tcBorders>
              <w:bottom w:val="single" w:sz="8" w:color="auto"/>
            </w:tcBorders>
          </w:tcPr>
          <w:p>
            <w:pPr>
              <w:spacing w:after="0"/>
              <w:rPr>
                <w:sz w:val="8"/>
                <w:szCs w:val="8"/>
                <w:color w:val="auto"/>
              </w:rPr>
            </w:pPr>
          </w:p>
        </w:tc>
        <w:tc>
          <w:tcPr>
            <w:tcW w:w="4120" w:type="dxa"/>
            <w:vAlign w:val="bottom"/>
          </w:tcPr>
          <w:p>
            <w:pPr>
              <w:spacing w:after="0"/>
              <w:rPr>
                <w:sz w:val="8"/>
                <w:szCs w:val="8"/>
                <w:color w:val="auto"/>
              </w:rPr>
            </w:pPr>
          </w:p>
        </w:tc>
        <w:tc>
          <w:tcPr>
            <w:tcW w:w="1040" w:type="dxa"/>
            <w:vAlign w:val="bottom"/>
          </w:tcPr>
          <w:p>
            <w:pPr>
              <w:spacing w:after="0"/>
              <w:rPr>
                <w:sz w:val="8"/>
                <w:szCs w:val="8"/>
                <w:color w:val="auto"/>
              </w:rPr>
            </w:pPr>
          </w:p>
        </w:tc>
        <w:tc>
          <w:tcPr>
            <w:tcW w:w="120" w:type="dxa"/>
            <w:vAlign w:val="bottom"/>
          </w:tcPr>
          <w:p>
            <w:pPr>
              <w:spacing w:after="0"/>
              <w:rPr>
                <w:sz w:val="8"/>
                <w:szCs w:val="8"/>
                <w:color w:val="auto"/>
              </w:rPr>
            </w:pPr>
          </w:p>
        </w:tc>
        <w:tc>
          <w:tcPr>
            <w:tcW w:w="12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40" w:type="dxa"/>
            <w:vAlign w:val="bottom"/>
          </w:tcPr>
          <w:p>
            <w:pPr>
              <w:spacing w:after="0"/>
              <w:rPr>
                <w:sz w:val="8"/>
                <w:szCs w:val="8"/>
                <w:color w:val="auto"/>
              </w:rPr>
            </w:pPr>
          </w:p>
        </w:tc>
        <w:tc>
          <w:tcPr>
            <w:tcW w:w="1700" w:type="dxa"/>
            <w:vAlign w:val="bottom"/>
          </w:tcPr>
          <w:p>
            <w:pPr>
              <w:spacing w:after="0"/>
              <w:rPr>
                <w:sz w:val="8"/>
                <w:szCs w:val="8"/>
                <w:color w:val="auto"/>
              </w:rPr>
            </w:pPr>
          </w:p>
        </w:tc>
        <w:tc>
          <w:tcPr>
            <w:tcW w:w="2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40" w:hanging="452"/>
        <w:spacing w:after="0" w:line="288" w:lineRule="auto"/>
        <w:tabs>
          <w:tab w:leader="none" w:pos="460" w:val="left"/>
        </w:tabs>
        <w:numPr>
          <w:ilvl w:val="0"/>
          <w:numId w:val="12"/>
        </w:numPr>
        <w:rPr>
          <w:rFonts w:ascii="Arial" w:cs="Arial" w:eastAsia="Arial" w:hAnsi="Arial"/>
          <w:sz w:val="16"/>
          <w:szCs w:val="16"/>
          <w:color w:val="auto"/>
        </w:rPr>
      </w:pPr>
      <w:r>
        <w:rPr>
          <w:rFonts w:ascii="Arial" w:cs="Arial" w:eastAsia="Arial" w:hAnsi="Arial"/>
          <w:sz w:val="16"/>
          <w:szCs w:val="16"/>
          <w:color w:val="auto"/>
        </w:rPr>
        <w:t>In August 2010, our board of directors initially authorized our current share repurchase program to repurchase up to $500 million of our outstanding common shares. During fiscal 2012, our board of directors authorized an additional $1.5 billion to be used to repurchase our common shares under the share repurchase program. In May 2012, we announced an additional increase of $500 million to the share repurchase program. This increases the total available under the program to $2.5 billion. We intend to effect the repurchase program in accordance with the conditions of Rule 10b-18 under the Exchange Act. The repurchase program will be subject to market conditions and other factors and does not obligate us to repurchase any dollar amount or number of our common shares. The program may be extended, modified, suspended or discontinued at any time. We may make repurchases in open market or privately negotiated transactions in order to effect our repurchases. Subsequent to the end of the first quarter of fiscal 2013 and through May 25, 2012, we repurchased an additional 10.0 million common shares for $130.1 million at an average price per share of $13.00, bringing our total repurchases under the share repurchase program to $1.8 billion.</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(a)The following exhibits are filed as part of this report:</w:t>
      </w: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920" w:type="dxa"/>
            <w:vAlign w:val="bottom"/>
          </w:tcPr>
          <w:p>
            <w:pPr>
              <w:ind w:left="100"/>
              <w:spacing w:after="0"/>
              <w:rPr>
                <w:sz w:val="20"/>
                <w:szCs w:val="20"/>
                <w:color w:val="auto"/>
              </w:rPr>
            </w:pPr>
            <w:r>
              <w:rPr>
                <w:rFonts w:ascii="Arial" w:cs="Arial" w:eastAsia="Arial" w:hAnsi="Arial"/>
                <w:sz w:val="18"/>
                <w:szCs w:val="18"/>
                <w:color w:val="auto"/>
              </w:rPr>
              <w:t>10.1#</w:t>
            </w:r>
          </w:p>
        </w:tc>
        <w:tc>
          <w:tcPr>
            <w:tcW w:w="8060" w:type="dxa"/>
            <w:vAlign w:val="bottom"/>
          </w:tcPr>
          <w:p>
            <w:pPr>
              <w:ind w:left="240"/>
              <w:spacing w:after="0"/>
              <w:rPr>
                <w:sz w:val="20"/>
                <w:szCs w:val="20"/>
                <w:color w:val="auto"/>
              </w:rPr>
            </w:pPr>
            <w:r>
              <w:rPr>
                <w:rFonts w:ascii="Arial" w:cs="Arial" w:eastAsia="Arial" w:hAnsi="Arial"/>
                <w:sz w:val="18"/>
                <w:szCs w:val="18"/>
                <w:color w:val="auto"/>
              </w:rPr>
              <w:t>2007 Director Stock Incentive Plan, as amended and restated on March 15, 2012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806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spacing w:after="0"/>
        <w:rPr>
          <w:sz w:val="20"/>
          <w:szCs w:val="20"/>
          <w:color w:val="auto"/>
        </w:rPr>
      </w:pPr>
      <w:r>
        <w:rPr>
          <w:rFonts w:ascii="Arial" w:cs="Arial" w:eastAsia="Arial" w:hAnsi="Arial"/>
          <w:sz w:val="18"/>
          <w:szCs w:val="18"/>
          <w:color w:val="auto"/>
        </w:rPr>
        <w:t>#  Management contracts or compensation plans or arrangements in which directors or executive officers are eligible to participate.</w:t>
      </w:r>
    </w:p>
    <w:p>
      <w:pPr>
        <w:spacing w:after="0" w:line="15" w:lineRule="exact"/>
        <w:rPr>
          <w:sz w:val="20"/>
          <w:szCs w:val="20"/>
          <w:color w:val="auto"/>
        </w:rPr>
      </w:pPr>
    </w:p>
    <w:p>
      <w:pPr>
        <w:jc w:val="both"/>
        <w:ind w:left="220" w:right="660" w:hanging="212"/>
        <w:spacing w:after="0" w:line="302" w:lineRule="auto"/>
        <w:tabs>
          <w:tab w:leader="none" w:pos="220" w:val="left"/>
        </w:tabs>
        <w:numPr>
          <w:ilvl w:val="0"/>
          <w:numId w:val="13"/>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180" w:type="dxa"/>
            <w:vAlign w:val="bottom"/>
          </w:tcPr>
          <w:p>
            <w:pPr>
              <w:spacing w:after="0"/>
              <w:rPr>
                <w:sz w:val="19"/>
                <w:szCs w:val="19"/>
                <w:color w:val="auto"/>
              </w:rPr>
            </w:pPr>
          </w:p>
        </w:tc>
        <w:tc>
          <w:tcPr>
            <w:tcW w:w="8240" w:type="dxa"/>
            <w:vAlign w:val="bottom"/>
            <w:gridSpan w:val="2"/>
          </w:tcPr>
          <w:p>
            <w:pPr>
              <w:ind w:left="2280"/>
              <w:spacing w:after="0"/>
              <w:rPr>
                <w:sz w:val="20"/>
                <w:szCs w:val="20"/>
                <w:color w:val="auto"/>
              </w:rPr>
            </w:pPr>
            <w:r>
              <w:rPr>
                <w:rFonts w:ascii="Arial" w:cs="Arial" w:eastAsia="Arial" w:hAnsi="Arial"/>
                <w:sz w:val="18"/>
                <w:szCs w:val="18"/>
                <w:color w:val="auto"/>
              </w:rPr>
              <w:t>MARVELL TECHNOLOGY GROUP LTD.</w:t>
            </w:r>
          </w:p>
        </w:tc>
      </w:tr>
      <w:tr>
        <w:trPr>
          <w:trHeight w:val="432"/>
        </w:trPr>
        <w:tc>
          <w:tcPr>
            <w:tcW w:w="3180" w:type="dxa"/>
            <w:vAlign w:val="bottom"/>
          </w:tcPr>
          <w:p>
            <w:pPr>
              <w:spacing w:after="0"/>
              <w:rPr>
                <w:sz w:val="20"/>
                <w:szCs w:val="20"/>
                <w:color w:val="auto"/>
              </w:rPr>
            </w:pPr>
            <w:r>
              <w:rPr>
                <w:rFonts w:ascii="Arial" w:cs="Arial" w:eastAsia="Arial" w:hAnsi="Arial"/>
                <w:sz w:val="18"/>
                <w:szCs w:val="18"/>
                <w:color w:val="auto"/>
              </w:rPr>
              <w:t>June 1, 2012</w:t>
            </w:r>
          </w:p>
        </w:tc>
        <w:tc>
          <w:tcPr>
            <w:tcW w:w="8240" w:type="dxa"/>
            <w:vAlign w:val="bottom"/>
            <w:gridSpan w:val="2"/>
          </w:tcPr>
          <w:p>
            <w:pPr>
              <w:ind w:left="2280"/>
              <w:spacing w:after="0"/>
              <w:rPr>
                <w:sz w:val="20"/>
                <w:szCs w:val="20"/>
                <w:color w:val="auto"/>
              </w:rPr>
            </w:pPr>
            <w:r>
              <w:rPr>
                <w:rFonts w:ascii="Arial" w:cs="Arial" w:eastAsia="Arial" w:hAnsi="Arial"/>
                <w:sz w:val="18"/>
                <w:szCs w:val="18"/>
                <w:color w:val="auto"/>
              </w:rPr>
              <w:t>By:  /s/ Clyde R. Hosein</w:t>
            </w:r>
          </w:p>
        </w:tc>
      </w:tr>
      <w:tr>
        <w:trPr>
          <w:trHeight w:val="217"/>
        </w:trPr>
        <w:tc>
          <w:tcPr>
            <w:tcW w:w="3180" w:type="dxa"/>
            <w:vAlign w:val="bottom"/>
          </w:tcPr>
          <w:p>
            <w:pPr>
              <w:spacing w:after="0"/>
              <w:rPr>
                <w:sz w:val="20"/>
                <w:szCs w:val="20"/>
                <w:color w:val="auto"/>
              </w:rPr>
            </w:pPr>
            <w:r>
              <w:rPr>
                <w:rFonts w:ascii="Arial" w:cs="Arial" w:eastAsia="Arial" w:hAnsi="Arial"/>
                <w:sz w:val="18"/>
                <w:szCs w:val="18"/>
                <w:color w:val="auto"/>
              </w:rPr>
              <w:t>Date</w:t>
            </w:r>
          </w:p>
        </w:tc>
        <w:tc>
          <w:tcPr>
            <w:tcW w:w="2640" w:type="dxa"/>
            <w:vAlign w:val="bottom"/>
          </w:tcPr>
          <w:p>
            <w:pPr>
              <w:spacing w:after="0"/>
              <w:rPr>
                <w:sz w:val="18"/>
                <w:szCs w:val="18"/>
                <w:color w:val="auto"/>
              </w:rPr>
            </w:pPr>
          </w:p>
        </w:tc>
        <w:tc>
          <w:tcPr>
            <w:tcW w:w="560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Clyde R. Hosein</w:t>
            </w:r>
          </w:p>
        </w:tc>
      </w:tr>
      <w:tr>
        <w:trPr>
          <w:trHeight w:val="222"/>
        </w:trPr>
        <w:tc>
          <w:tcPr>
            <w:tcW w:w="3180" w:type="dxa"/>
            <w:vAlign w:val="bottom"/>
          </w:tcPr>
          <w:p>
            <w:pPr>
              <w:spacing w:after="0"/>
              <w:rPr>
                <w:sz w:val="19"/>
                <w:szCs w:val="19"/>
                <w:color w:val="auto"/>
              </w:rPr>
            </w:pPr>
          </w:p>
        </w:tc>
        <w:tc>
          <w:tcPr>
            <w:tcW w:w="2640" w:type="dxa"/>
            <w:vAlign w:val="bottom"/>
          </w:tcPr>
          <w:p>
            <w:pPr>
              <w:spacing w:after="0"/>
              <w:rPr>
                <w:sz w:val="19"/>
                <w:szCs w:val="19"/>
                <w:color w:val="auto"/>
              </w:rPr>
            </w:pPr>
          </w:p>
        </w:tc>
        <w:tc>
          <w:tcPr>
            <w:tcW w:w="5600" w:type="dxa"/>
            <w:vAlign w:val="bottom"/>
          </w:tcPr>
          <w:p>
            <w:pPr>
              <w:spacing w:after="0"/>
              <w:rPr>
                <w:sz w:val="20"/>
                <w:szCs w:val="20"/>
                <w:color w:val="auto"/>
              </w:rPr>
            </w:pPr>
            <w:r>
              <w:rPr>
                <w:rFonts w:ascii="Arial" w:cs="Arial" w:eastAsia="Arial" w:hAnsi="Arial"/>
                <w:sz w:val="18"/>
                <w:szCs w:val="18"/>
                <w:i w:val="1"/>
                <w:iCs w:val="1"/>
                <w:color w:val="auto"/>
              </w:rPr>
              <w:t>Chief Financial Officer and Secretary</w:t>
            </w:r>
          </w:p>
        </w:tc>
      </w:tr>
      <w:tr>
        <w:trPr>
          <w:trHeight w:val="365"/>
        </w:trPr>
        <w:tc>
          <w:tcPr>
            <w:tcW w:w="3180" w:type="dxa"/>
            <w:vAlign w:val="bottom"/>
          </w:tcPr>
          <w:p>
            <w:pPr>
              <w:spacing w:after="0"/>
              <w:rPr>
                <w:sz w:val="24"/>
                <w:szCs w:val="24"/>
                <w:color w:val="auto"/>
              </w:rPr>
            </w:pPr>
          </w:p>
        </w:tc>
        <w:tc>
          <w:tcPr>
            <w:tcW w:w="2640" w:type="dxa"/>
            <w:vAlign w:val="bottom"/>
          </w:tcPr>
          <w:p>
            <w:pPr>
              <w:jc w:val="right"/>
              <w:spacing w:after="0"/>
              <w:rPr>
                <w:sz w:val="20"/>
                <w:szCs w:val="20"/>
                <w:color w:val="auto"/>
              </w:rPr>
            </w:pPr>
            <w:r>
              <w:rPr>
                <w:rFonts w:ascii="Arial" w:cs="Arial" w:eastAsia="Arial" w:hAnsi="Arial"/>
                <w:sz w:val="18"/>
                <w:szCs w:val="18"/>
                <w:color w:val="auto"/>
              </w:rPr>
              <w:t>43</w:t>
            </w:r>
          </w:p>
        </w:tc>
        <w:tc>
          <w:tcPr>
            <w:tcW w:w="560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20" w:type="dxa"/>
            <w:vAlign w:val="bottom"/>
          </w:tcPr>
          <w:p>
            <w:pPr>
              <w:spacing w:after="0"/>
              <w:rPr>
                <w:sz w:val="19"/>
                <w:szCs w:val="19"/>
                <w:color w:val="auto"/>
              </w:rPr>
            </w:pPr>
          </w:p>
        </w:tc>
        <w:tc>
          <w:tcPr>
            <w:tcW w:w="8060" w:type="dxa"/>
            <w:vAlign w:val="bottom"/>
          </w:tcPr>
          <w:p>
            <w:pPr>
              <w:ind w:left="4120"/>
              <w:spacing w:after="0"/>
              <w:rPr>
                <w:sz w:val="20"/>
                <w:szCs w:val="20"/>
                <w:color w:val="auto"/>
              </w:rPr>
            </w:pPr>
            <w:r>
              <w:rPr>
                <w:rFonts w:ascii="Arial" w:cs="Arial" w:eastAsia="Arial" w:hAnsi="Arial"/>
                <w:sz w:val="18"/>
                <w:szCs w:val="18"/>
                <w:b w:val="1"/>
                <w:bCs w:val="1"/>
                <w:color w:val="auto"/>
              </w:rPr>
              <w:t>EXHIBIT INDEX</w:t>
            </w:r>
          </w:p>
        </w:tc>
      </w:tr>
      <w:tr>
        <w:trPr>
          <w:trHeight w:val="419"/>
        </w:trPr>
        <w:tc>
          <w:tcPr>
            <w:tcW w:w="920" w:type="dxa"/>
            <w:vAlign w:val="bottom"/>
          </w:tcPr>
          <w:p>
            <w:pPr>
              <w:ind w:left="100"/>
              <w:spacing w:after="0"/>
              <w:rPr>
                <w:sz w:val="20"/>
                <w:szCs w:val="20"/>
                <w:color w:val="auto"/>
              </w:rPr>
            </w:pPr>
            <w:r>
              <w:rPr>
                <w:rFonts w:ascii="Arial" w:cs="Arial" w:eastAsia="Arial" w:hAnsi="Arial"/>
                <w:sz w:val="18"/>
                <w:szCs w:val="18"/>
                <w:color w:val="auto"/>
              </w:rPr>
              <w:t>10.1 #</w:t>
            </w:r>
          </w:p>
        </w:tc>
        <w:tc>
          <w:tcPr>
            <w:tcW w:w="8060" w:type="dxa"/>
            <w:vAlign w:val="bottom"/>
          </w:tcPr>
          <w:p>
            <w:pPr>
              <w:ind w:left="240"/>
              <w:spacing w:after="0"/>
              <w:rPr>
                <w:sz w:val="20"/>
                <w:szCs w:val="20"/>
                <w:color w:val="auto"/>
              </w:rPr>
            </w:pPr>
            <w:r>
              <w:rPr>
                <w:rFonts w:ascii="Arial" w:cs="Arial" w:eastAsia="Arial" w:hAnsi="Arial"/>
                <w:sz w:val="18"/>
                <w:szCs w:val="18"/>
                <w:color w:val="auto"/>
              </w:rPr>
              <w:t>2007 Director Stock Incentive Plan, as amended and restated on March 15, 2012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8060" w:type="dxa"/>
            <w:vAlign w:val="bottom"/>
          </w:tcPr>
          <w:p>
            <w:pPr>
              <w:ind w:left="240"/>
              <w:spacing w:after="0"/>
              <w:rPr>
                <w:sz w:val="20"/>
                <w:szCs w:val="20"/>
                <w:color w:val="auto"/>
              </w:rPr>
            </w:pPr>
            <w:r>
              <w:rPr>
                <w:rFonts w:ascii="Arial" w:cs="Arial" w:eastAsia="Arial" w:hAnsi="Arial"/>
                <w:sz w:val="18"/>
                <w:szCs w:val="18"/>
                <w:color w:val="auto"/>
                <w:w w:val="89"/>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806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806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spacing w:after="0"/>
        <w:rPr>
          <w:sz w:val="20"/>
          <w:szCs w:val="20"/>
          <w:color w:val="auto"/>
        </w:rPr>
      </w:pPr>
      <w:r>
        <w:rPr>
          <w:rFonts w:ascii="Arial" w:cs="Arial" w:eastAsia="Arial" w:hAnsi="Arial"/>
          <w:sz w:val="18"/>
          <w:szCs w:val="18"/>
          <w:color w:val="auto"/>
        </w:rPr>
        <w:t>#  Management contracts or compensation plans or arrangements in which directors or executive officers are eligible to participate.</w:t>
      </w:r>
    </w:p>
    <w:p>
      <w:pPr>
        <w:spacing w:after="0" w:line="15" w:lineRule="exact"/>
        <w:rPr>
          <w:sz w:val="20"/>
          <w:szCs w:val="20"/>
          <w:color w:val="auto"/>
        </w:rPr>
      </w:pPr>
    </w:p>
    <w:p>
      <w:pPr>
        <w:jc w:val="both"/>
        <w:ind w:left="220" w:hanging="212"/>
        <w:spacing w:after="0" w:line="302" w:lineRule="auto"/>
        <w:tabs>
          <w:tab w:leader="none" w:pos="22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6"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0760"/>
          </w:cols>
          <w:pgMar w:left="240" w:top="459" w:right="899" w:bottom="1440" w:gutter="0" w:footer="0" w:header="0"/>
        </w:sectPr>
      </w:pPr>
    </w:p>
    <w:bookmarkStart w:id="45" w:name="page46"/>
    <w:bookmarkEnd w:id="45"/>
    <w:p>
      <w:pPr>
        <w:jc w:val="right"/>
        <w:spacing w:after="0"/>
        <w:rPr>
          <w:sz w:val="20"/>
          <w:szCs w:val="20"/>
          <w:color w:val="auto"/>
        </w:rPr>
      </w:pPr>
      <w:r>
        <w:rPr>
          <w:rFonts w:ascii="Arial" w:cs="Arial" w:eastAsia="Arial" w:hAnsi="Arial"/>
          <w:sz w:val="18"/>
          <w:szCs w:val="18"/>
          <w:b w:val="1"/>
          <w:bCs w:val="1"/>
          <w:color w:val="auto"/>
        </w:rPr>
        <w:t>Exhibit 10.1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2007 DIRECTOR STOCK INCENTIVE PLAN</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AND RESTATED EFFECTIVE AS OF MARCH 15, 2012</w:t>
      </w:r>
    </w:p>
    <w:p>
      <w:pPr>
        <w:spacing w:after="0" w:line="171" w:lineRule="exact"/>
        <w:rPr>
          <w:sz w:val="20"/>
          <w:szCs w:val="20"/>
          <w:color w:val="auto"/>
        </w:rPr>
      </w:pPr>
    </w:p>
    <w:p>
      <w:pPr>
        <w:ind w:right="500" w:firstLine="464"/>
        <w:spacing w:after="0" w:line="262" w:lineRule="auto"/>
        <w:tabs>
          <w:tab w:leader="none" w:pos="632" w:val="left"/>
        </w:tabs>
        <w:numPr>
          <w:ilvl w:val="0"/>
          <w:numId w:val="1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Purposes of the Plan. </w:t>
      </w:r>
      <w:r>
        <w:rPr>
          <w:rFonts w:ascii="Arial" w:cs="Arial" w:eastAsia="Arial" w:hAnsi="Arial"/>
          <w:sz w:val="18"/>
          <w:szCs w:val="18"/>
          <w:color w:val="auto"/>
        </w:rPr>
        <w:t>The purposes of this 2007 Director Stock Incentive Plan are to attract and retain the best available personnel for service as</w:t>
      </w:r>
      <w:r>
        <w:rPr>
          <w:rFonts w:ascii="Arial" w:cs="Arial" w:eastAsia="Arial" w:hAnsi="Arial"/>
          <w:sz w:val="18"/>
          <w:szCs w:val="18"/>
          <w:b w:val="1"/>
          <w:bCs w:val="1"/>
          <w:color w:val="auto"/>
        </w:rPr>
        <w:t xml:space="preserve"> </w:t>
      </w:r>
      <w:r>
        <w:rPr>
          <w:rFonts w:ascii="Arial" w:cs="Arial" w:eastAsia="Arial" w:hAnsi="Arial"/>
          <w:sz w:val="18"/>
          <w:szCs w:val="18"/>
          <w:color w:val="auto"/>
        </w:rPr>
        <w:t>Outside Directors (as defined herein) of the Company, to provide additional incentive to the Outside Directors of the Company to serve as Directors, and to encourage their continued service on the Board.</w:t>
      </w:r>
    </w:p>
    <w:p>
      <w:pPr>
        <w:spacing w:after="0" w:line="132" w:lineRule="exact"/>
        <w:rPr>
          <w:rFonts w:ascii="Arial" w:cs="Arial" w:eastAsia="Arial" w:hAnsi="Arial"/>
          <w:sz w:val="18"/>
          <w:szCs w:val="18"/>
          <w:b w:val="1"/>
          <w:bCs w:val="1"/>
          <w:color w:val="auto"/>
        </w:rPr>
      </w:pPr>
    </w:p>
    <w:p>
      <w:pPr>
        <w:ind w:left="640" w:hanging="176"/>
        <w:spacing w:after="0"/>
        <w:tabs>
          <w:tab w:leader="none" w:pos="640" w:val="left"/>
        </w:tabs>
        <w:numPr>
          <w:ilvl w:val="0"/>
          <w:numId w:val="1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Definitions. </w:t>
      </w:r>
      <w:r>
        <w:rPr>
          <w:rFonts w:ascii="Arial" w:cs="Arial" w:eastAsia="Arial" w:hAnsi="Arial"/>
          <w:sz w:val="18"/>
          <w:szCs w:val="18"/>
          <w:color w:val="auto"/>
        </w:rPr>
        <w:t>As used herein, the following definitions will apply:</w:t>
      </w:r>
    </w:p>
    <w:p>
      <w:pPr>
        <w:spacing w:after="0" w:line="177" w:lineRule="exact"/>
        <w:rPr>
          <w:rFonts w:ascii="Arial" w:cs="Arial" w:eastAsia="Arial" w:hAnsi="Arial"/>
          <w:sz w:val="18"/>
          <w:szCs w:val="18"/>
          <w:b w:val="1"/>
          <w:bCs w:val="1"/>
          <w:color w:val="auto"/>
        </w:rPr>
      </w:pPr>
    </w:p>
    <w:p>
      <w:pPr>
        <w:ind w:left="1160" w:hanging="239"/>
        <w:spacing w:after="0"/>
        <w:tabs>
          <w:tab w:leader="none" w:pos="1160" w:val="left"/>
        </w:tabs>
        <w:numPr>
          <w:ilvl w:val="1"/>
          <w:numId w:val="1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Administrator</w:t>
      </w:r>
      <w:r>
        <w:rPr>
          <w:rFonts w:ascii="Arial" w:cs="Arial" w:eastAsia="Arial" w:hAnsi="Arial"/>
          <w:sz w:val="18"/>
          <w:szCs w:val="18"/>
          <w:color w:val="auto"/>
        </w:rPr>
        <w:t>” means the Board or any of its Committees as will administer the Plan in accordance with Section 4 hereof.</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1"/>
          <w:numId w:val="1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Annual General Meeting</w:t>
      </w:r>
      <w:r>
        <w:rPr>
          <w:rFonts w:ascii="Arial" w:cs="Arial" w:eastAsia="Arial" w:hAnsi="Arial"/>
          <w:sz w:val="18"/>
          <w:szCs w:val="18"/>
          <w:color w:val="auto"/>
        </w:rPr>
        <w:t>” means the Company’s annual meeting of shareholders.</w:t>
      </w:r>
    </w:p>
    <w:p>
      <w:pPr>
        <w:spacing w:after="0" w:line="171" w:lineRule="exact"/>
        <w:rPr>
          <w:rFonts w:ascii="Arial" w:cs="Arial" w:eastAsia="Arial" w:hAnsi="Arial"/>
          <w:sz w:val="18"/>
          <w:szCs w:val="18"/>
          <w:color w:val="auto"/>
        </w:rPr>
      </w:pPr>
    </w:p>
    <w:p>
      <w:pPr>
        <w:ind w:right="280" w:firstLine="921"/>
        <w:spacing w:after="0" w:line="259" w:lineRule="auto"/>
        <w:tabs>
          <w:tab w:leader="none" w:pos="1152" w:val="left"/>
        </w:tabs>
        <w:numPr>
          <w:ilvl w:val="1"/>
          <w:numId w:val="1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Laws</w:t>
      </w:r>
      <w:r>
        <w:rPr>
          <w:rFonts w:ascii="Arial" w:cs="Arial" w:eastAsia="Arial" w:hAnsi="Arial"/>
          <w:sz w:val="18"/>
          <w:szCs w:val="18"/>
          <w:color w:val="auto"/>
        </w:rPr>
        <w:t>” means the requirements relating to the administration of equity-based awards under U.S. state corporate laws, U.S. federal and state securities laws, the Code, any stock exchange or quotation system on which the Common Stock is listed or quoted and the applicable laws of any foreign country or jurisdiction where Awards are, or will be, granted under the Plan.</w:t>
      </w:r>
    </w:p>
    <w:p>
      <w:pPr>
        <w:spacing w:after="0" w:line="140" w:lineRule="exact"/>
        <w:rPr>
          <w:rFonts w:ascii="Arial" w:cs="Arial" w:eastAsia="Arial" w:hAnsi="Arial"/>
          <w:sz w:val="18"/>
          <w:szCs w:val="18"/>
          <w:color w:val="auto"/>
        </w:rPr>
      </w:pPr>
    </w:p>
    <w:p>
      <w:pPr>
        <w:ind w:right="380" w:firstLine="921"/>
        <w:spacing w:after="0" w:line="268" w:lineRule="auto"/>
        <w:tabs>
          <w:tab w:leader="none" w:pos="1162" w:val="left"/>
        </w:tabs>
        <w:numPr>
          <w:ilvl w:val="1"/>
          <w:numId w:val="1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w:t>
      </w:r>
      <w:r>
        <w:rPr>
          <w:rFonts w:ascii="Arial" w:cs="Arial" w:eastAsia="Arial" w:hAnsi="Arial"/>
          <w:sz w:val="18"/>
          <w:szCs w:val="18"/>
          <w:color w:val="auto"/>
        </w:rPr>
        <w:t>” individually or collectively, a grant under the Plan of Options, Performance Shares, Performance Units, Stock Appreciation Rights, Restricted Stock or Restricted Stock Units.</w:t>
      </w:r>
    </w:p>
    <w:p>
      <w:pPr>
        <w:spacing w:after="0" w:line="131" w:lineRule="exact"/>
        <w:rPr>
          <w:rFonts w:ascii="Arial" w:cs="Arial" w:eastAsia="Arial" w:hAnsi="Arial"/>
          <w:sz w:val="18"/>
          <w:szCs w:val="18"/>
          <w:color w:val="auto"/>
        </w:rPr>
      </w:pPr>
    </w:p>
    <w:p>
      <w:pPr>
        <w:ind w:right="80" w:firstLine="921"/>
        <w:spacing w:after="0" w:line="268" w:lineRule="auto"/>
        <w:tabs>
          <w:tab w:leader="none" w:pos="1152" w:val="left"/>
        </w:tabs>
        <w:numPr>
          <w:ilvl w:val="1"/>
          <w:numId w:val="1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 Agreement</w:t>
      </w:r>
      <w:r>
        <w:rPr>
          <w:rFonts w:ascii="Arial" w:cs="Arial" w:eastAsia="Arial" w:hAnsi="Arial"/>
          <w:sz w:val="18"/>
          <w:szCs w:val="18"/>
          <w:color w:val="auto"/>
        </w:rPr>
        <w:t>” means the written or electronic agreement setting forth the terms and provisions applicable to each Award granted under the Plan. The Award Agreement is subject to the terms and conditions of the Plan.</w:t>
      </w:r>
    </w:p>
    <w:p>
      <w:pPr>
        <w:spacing w:after="0" w:line="131" w:lineRule="exact"/>
        <w:rPr>
          <w:rFonts w:ascii="Arial" w:cs="Arial" w:eastAsia="Arial" w:hAnsi="Arial"/>
          <w:sz w:val="18"/>
          <w:szCs w:val="18"/>
          <w:color w:val="auto"/>
        </w:rPr>
      </w:pPr>
    </w:p>
    <w:p>
      <w:pPr>
        <w:ind w:left="1140" w:hanging="219"/>
        <w:spacing w:after="0"/>
        <w:tabs>
          <w:tab w:leader="none" w:pos="1140" w:val="left"/>
        </w:tabs>
        <w:numPr>
          <w:ilvl w:val="1"/>
          <w:numId w:val="1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1"/>
          <w:numId w:val="1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in Control</w:t>
      </w:r>
      <w:r>
        <w:rPr>
          <w:rFonts w:ascii="Arial" w:cs="Arial" w:eastAsia="Arial" w:hAnsi="Arial"/>
          <w:sz w:val="18"/>
          <w:szCs w:val="18"/>
          <w:color w:val="auto"/>
        </w:rPr>
        <w:t>” means the occurrence of any of the following events:</w:t>
      </w:r>
    </w:p>
    <w:p>
      <w:pPr>
        <w:spacing w:after="0" w:line="171" w:lineRule="exact"/>
        <w:rPr>
          <w:rFonts w:ascii="Arial" w:cs="Arial" w:eastAsia="Arial" w:hAnsi="Arial"/>
          <w:sz w:val="18"/>
          <w:szCs w:val="18"/>
          <w:color w:val="auto"/>
        </w:rPr>
      </w:pPr>
    </w:p>
    <w:p>
      <w:pPr>
        <w:jc w:val="both"/>
        <w:ind w:right="60" w:firstLine="1492"/>
        <w:spacing w:after="0" w:line="259" w:lineRule="auto"/>
        <w:tabs>
          <w:tab w:leader="none" w:pos="1693" w:val="left"/>
        </w:tabs>
        <w:numPr>
          <w:ilvl w:val="2"/>
          <w:numId w:val="15"/>
        </w:numPr>
        <w:rPr>
          <w:rFonts w:ascii="Arial" w:cs="Arial" w:eastAsia="Arial" w:hAnsi="Arial"/>
          <w:sz w:val="18"/>
          <w:szCs w:val="18"/>
          <w:color w:val="auto"/>
        </w:rPr>
      </w:pPr>
      <w:r>
        <w:rPr>
          <w:rFonts w:ascii="Arial" w:cs="Arial" w:eastAsia="Arial" w:hAnsi="Arial"/>
          <w:sz w:val="18"/>
          <w:szCs w:val="18"/>
          <w:color w:val="auto"/>
        </w:rPr>
        <w:t>Any “person” (as such term is used in Sections 13(d) and 14(d) of the Exchange Act) becomes the “beneficial owner” (as defined in Rule 13d-3 of the Exchange Act), directly or indirectly, of securities of the Company representing fifty percent (50%) or more of the total voting power represented by the Company’s then outstanding voting securities; or</w:t>
      </w:r>
    </w:p>
    <w:p>
      <w:pPr>
        <w:spacing w:after="0" w:line="140" w:lineRule="exact"/>
        <w:rPr>
          <w:rFonts w:ascii="Arial" w:cs="Arial" w:eastAsia="Arial" w:hAnsi="Arial"/>
          <w:sz w:val="18"/>
          <w:szCs w:val="18"/>
          <w:color w:val="auto"/>
        </w:rPr>
      </w:pPr>
    </w:p>
    <w:p>
      <w:pPr>
        <w:ind w:left="1760" w:hanging="268"/>
        <w:spacing w:after="0"/>
        <w:tabs>
          <w:tab w:leader="none" w:pos="1760" w:val="left"/>
        </w:tabs>
        <w:numPr>
          <w:ilvl w:val="2"/>
          <w:numId w:val="15"/>
        </w:numPr>
        <w:rPr>
          <w:rFonts w:ascii="Arial" w:cs="Arial" w:eastAsia="Arial" w:hAnsi="Arial"/>
          <w:sz w:val="18"/>
          <w:szCs w:val="18"/>
          <w:color w:val="auto"/>
        </w:rPr>
      </w:pPr>
      <w:r>
        <w:rPr>
          <w:rFonts w:ascii="Arial" w:cs="Arial" w:eastAsia="Arial" w:hAnsi="Arial"/>
          <w:sz w:val="18"/>
          <w:szCs w:val="18"/>
          <w:color w:val="auto"/>
        </w:rPr>
        <w:t>The consummation of the sale or disposition by the Company of all or substantially all of the Company’s assets; or</w:t>
      </w:r>
    </w:p>
    <w:p>
      <w:pPr>
        <w:sectPr>
          <w:pgSz w:w="11900" w:h="16838" w:orient="portrait"/>
          <w:cols w:equalWidth="0" w:num="1">
            <w:col w:w="11420"/>
          </w:cols>
          <w:pgMar w:left="240" w:top="125" w:right="239" w:bottom="1440" w:gutter="0" w:footer="0" w:header="0"/>
        </w:sectPr>
      </w:pPr>
    </w:p>
    <w:bookmarkStart w:id="46" w:name="page47"/>
    <w:bookmarkEnd w:id="46"/>
    <w:p>
      <w:pPr>
        <w:ind w:right="40" w:firstLine="1492"/>
        <w:spacing w:after="0" w:line="298" w:lineRule="auto"/>
        <w:tabs>
          <w:tab w:leader="none" w:pos="1791" w:val="left"/>
        </w:tabs>
        <w:numPr>
          <w:ilvl w:val="1"/>
          <w:numId w:val="16"/>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consummation of a merger or consolidation of the Company with any other corporation, other than a merger or consolidation which would result in the voting securities of the Company outstanding immediately prior thereto continuing to represent (either by remaining outstanding or by being converted into voting securities of the surviving entity or its parent) at least fifty percent (50%) of the total voting power represented by the voting securities of the Company or such surviving entity or its parent outstanding immediately after such merger or consolidation.</w:t>
      </w:r>
    </w:p>
    <w:p>
      <w:pPr>
        <w:spacing w:after="0" w:line="112" w:lineRule="exact"/>
        <w:rPr>
          <w:rFonts w:ascii="Arial" w:cs="Arial" w:eastAsia="Arial" w:hAnsi="Arial"/>
          <w:sz w:val="16"/>
          <w:szCs w:val="16"/>
          <w:color w:val="auto"/>
        </w:rPr>
      </w:pPr>
    </w:p>
    <w:p>
      <w:pPr>
        <w:ind w:right="640" w:firstLine="1492"/>
        <w:spacing w:after="0" w:line="268" w:lineRule="auto"/>
        <w:tabs>
          <w:tab w:leader="none" w:pos="1781" w:val="left"/>
        </w:tabs>
        <w:numPr>
          <w:ilvl w:val="1"/>
          <w:numId w:val="16"/>
        </w:numPr>
        <w:rPr>
          <w:rFonts w:ascii="Arial" w:cs="Arial" w:eastAsia="Arial" w:hAnsi="Arial"/>
          <w:sz w:val="18"/>
          <w:szCs w:val="18"/>
          <w:color w:val="auto"/>
        </w:rPr>
      </w:pPr>
      <w:r>
        <w:rPr>
          <w:rFonts w:ascii="Arial" w:cs="Arial" w:eastAsia="Arial" w:hAnsi="Arial"/>
          <w:sz w:val="18"/>
          <w:szCs w:val="18"/>
          <w:color w:val="auto"/>
        </w:rPr>
        <w:t>A change in the composition of the Board occurring within a two (2) year period, as a result of which less than a majority of the Directors are Incumbent Directors.</w:t>
      </w:r>
    </w:p>
    <w:p>
      <w:pPr>
        <w:spacing w:after="0" w:line="131" w:lineRule="exact"/>
        <w:rPr>
          <w:rFonts w:ascii="Arial" w:cs="Arial" w:eastAsia="Arial" w:hAnsi="Arial"/>
          <w:sz w:val="18"/>
          <w:szCs w:val="18"/>
          <w:color w:val="auto"/>
        </w:rPr>
      </w:pPr>
    </w:p>
    <w:p>
      <w:pPr>
        <w:ind w:right="720" w:firstLine="921"/>
        <w:spacing w:after="0" w:line="268" w:lineRule="auto"/>
        <w:tabs>
          <w:tab w:leader="none" w:pos="1162" w:val="left"/>
        </w:tabs>
        <w:numPr>
          <w:ilvl w:val="0"/>
          <w:numId w:val="1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 Any reference to a section of the Code herein will be a reference to any successor or amended section of the Code.</w:t>
      </w:r>
    </w:p>
    <w:p>
      <w:pPr>
        <w:spacing w:after="0" w:line="131" w:lineRule="exact"/>
        <w:rPr>
          <w:rFonts w:ascii="Arial" w:cs="Arial" w:eastAsia="Arial" w:hAnsi="Arial"/>
          <w:sz w:val="18"/>
          <w:szCs w:val="18"/>
          <w:color w:val="auto"/>
        </w:rPr>
      </w:pPr>
    </w:p>
    <w:p>
      <w:pPr>
        <w:ind w:right="440" w:firstLine="921"/>
        <w:spacing w:after="0" w:line="268" w:lineRule="auto"/>
        <w:tabs>
          <w:tab w:leader="none" w:pos="1123" w:val="left"/>
        </w:tabs>
        <w:numPr>
          <w:ilvl w:val="0"/>
          <w:numId w:val="1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Committee</w:t>
      </w:r>
      <w:r>
        <w:rPr>
          <w:rFonts w:ascii="Arial" w:cs="Arial" w:eastAsia="Arial" w:hAnsi="Arial"/>
          <w:sz w:val="18"/>
          <w:szCs w:val="18"/>
          <w:color w:val="auto"/>
        </w:rPr>
        <w:t>” means a committee of Directors or of other individuals satisfying Applicable Laws appointed by the Board in accordance with Section 4 hereof.</w:t>
      </w:r>
    </w:p>
    <w:p>
      <w:pPr>
        <w:spacing w:after="0" w:line="131" w:lineRule="exact"/>
        <w:rPr>
          <w:rFonts w:ascii="Arial" w:cs="Arial" w:eastAsia="Arial" w:hAnsi="Arial"/>
          <w:sz w:val="18"/>
          <w:szCs w:val="18"/>
          <w:color w:val="auto"/>
        </w:rPr>
      </w:pPr>
    </w:p>
    <w:p>
      <w:pPr>
        <w:ind w:left="1140" w:hanging="219"/>
        <w:spacing w:after="0"/>
        <w:tabs>
          <w:tab w:leader="none" w:pos="1140" w:val="left"/>
        </w:tabs>
        <w:numPr>
          <w:ilvl w:val="0"/>
          <w:numId w:val="1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Common Stock</w:t>
      </w:r>
      <w:r>
        <w:rPr>
          <w:rFonts w:ascii="Arial" w:cs="Arial" w:eastAsia="Arial" w:hAnsi="Arial"/>
          <w:sz w:val="18"/>
          <w:szCs w:val="18"/>
          <w:color w:val="auto"/>
        </w:rPr>
        <w:t>” means the common shares of the Company.</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a Bermuda company.</w:t>
      </w:r>
    </w:p>
    <w:p>
      <w:pPr>
        <w:spacing w:after="0" w:line="171" w:lineRule="exact"/>
        <w:rPr>
          <w:rFonts w:ascii="Arial" w:cs="Arial" w:eastAsia="Arial" w:hAnsi="Arial"/>
          <w:sz w:val="18"/>
          <w:szCs w:val="18"/>
          <w:color w:val="auto"/>
        </w:rPr>
      </w:pPr>
    </w:p>
    <w:p>
      <w:pPr>
        <w:ind w:right="520" w:firstLine="921"/>
        <w:spacing w:after="0" w:line="268" w:lineRule="auto"/>
        <w:tabs>
          <w:tab w:leader="none" w:pos="1123" w:val="left"/>
        </w:tabs>
        <w:numPr>
          <w:ilvl w:val="0"/>
          <w:numId w:val="1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Consultant</w:t>
      </w:r>
      <w:r>
        <w:rPr>
          <w:rFonts w:ascii="Arial" w:cs="Arial" w:eastAsia="Arial" w:hAnsi="Arial"/>
          <w:sz w:val="18"/>
          <w:szCs w:val="18"/>
          <w:color w:val="auto"/>
        </w:rPr>
        <w:t>” means any natural person, including an advisor, engaged by the Company or a Parent or Subsidiary of the Company to render services to such entity.</w:t>
      </w:r>
    </w:p>
    <w:p>
      <w:pPr>
        <w:spacing w:after="0" w:line="131" w:lineRule="exact"/>
        <w:rPr>
          <w:rFonts w:ascii="Arial" w:cs="Arial" w:eastAsia="Arial" w:hAnsi="Arial"/>
          <w:sz w:val="18"/>
          <w:szCs w:val="18"/>
          <w:color w:val="auto"/>
        </w:rPr>
      </w:pPr>
    </w:p>
    <w:p>
      <w:pPr>
        <w:ind w:left="1220" w:hanging="299"/>
        <w:spacing w:after="0"/>
        <w:tabs>
          <w:tab w:leader="none" w:pos="12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Director</w:t>
      </w:r>
      <w:r>
        <w:rPr>
          <w:rFonts w:ascii="Arial" w:cs="Arial" w:eastAsia="Arial" w:hAnsi="Arial"/>
          <w:sz w:val="18"/>
          <w:szCs w:val="18"/>
          <w:color w:val="auto"/>
        </w:rPr>
        <w:t>” means a member of the Board.</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Disability</w:t>
      </w:r>
      <w:r>
        <w:rPr>
          <w:rFonts w:ascii="Arial" w:cs="Arial" w:eastAsia="Arial" w:hAnsi="Arial"/>
          <w:sz w:val="18"/>
          <w:szCs w:val="18"/>
          <w:color w:val="auto"/>
        </w:rPr>
        <w:t>” means total and permanent disability as defined in Section 22(e)(3) of the Code.</w:t>
      </w:r>
    </w:p>
    <w:p>
      <w:pPr>
        <w:spacing w:after="0" w:line="171" w:lineRule="exact"/>
        <w:rPr>
          <w:rFonts w:ascii="Arial" w:cs="Arial" w:eastAsia="Arial" w:hAnsi="Arial"/>
          <w:sz w:val="18"/>
          <w:szCs w:val="18"/>
          <w:color w:val="auto"/>
        </w:rPr>
      </w:pPr>
    </w:p>
    <w:p>
      <w:pPr>
        <w:ind w:right="180" w:firstLine="921"/>
        <w:spacing w:after="0" w:line="332" w:lineRule="auto"/>
        <w:tabs>
          <w:tab w:leader="none" w:pos="1162" w:val="left"/>
        </w:tabs>
        <w:numPr>
          <w:ilvl w:val="0"/>
          <w:numId w:val="17"/>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Employee</w:t>
      </w:r>
      <w:r>
        <w:rPr>
          <w:rFonts w:ascii="Arial" w:cs="Arial" w:eastAsia="Arial" w:hAnsi="Arial"/>
          <w:sz w:val="16"/>
          <w:szCs w:val="16"/>
          <w:color w:val="auto"/>
        </w:rPr>
        <w:t>” means any person, including Officers and Directors, employed by the Company or any Parent or Subsidiary of the Company. Neither service as a Director nor the payment of a Director’s fee by the Company will be sufficient in and of itself to constitute “employment” by the Company.</w:t>
      </w:r>
    </w:p>
    <w:p>
      <w:pPr>
        <w:spacing w:after="0" w:line="85" w:lineRule="exact"/>
        <w:rPr>
          <w:rFonts w:ascii="Arial" w:cs="Arial" w:eastAsia="Arial" w:hAnsi="Arial"/>
          <w:sz w:val="16"/>
          <w:szCs w:val="16"/>
          <w:color w:val="auto"/>
        </w:rPr>
      </w:pPr>
    </w:p>
    <w:p>
      <w:pPr>
        <w:ind w:left="1160" w:hanging="239"/>
        <w:spacing w:after="0"/>
        <w:tabs>
          <w:tab w:leader="none" w:pos="11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w:t>
      </w:r>
    </w:p>
    <w:p>
      <w:pPr>
        <w:spacing w:after="0" w:line="171" w:lineRule="exact"/>
        <w:rPr>
          <w:rFonts w:ascii="Arial" w:cs="Arial" w:eastAsia="Arial" w:hAnsi="Arial"/>
          <w:sz w:val="18"/>
          <w:szCs w:val="18"/>
          <w:color w:val="auto"/>
        </w:rPr>
      </w:pPr>
    </w:p>
    <w:p>
      <w:pPr>
        <w:ind w:firstLine="921"/>
        <w:spacing w:after="0" w:line="298" w:lineRule="auto"/>
        <w:tabs>
          <w:tab w:leader="none" w:pos="1162" w:val="left"/>
        </w:tabs>
        <w:numPr>
          <w:ilvl w:val="0"/>
          <w:numId w:val="17"/>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Exchange Program</w:t>
      </w:r>
      <w:r>
        <w:rPr>
          <w:rFonts w:ascii="Arial" w:cs="Arial" w:eastAsia="Arial" w:hAnsi="Arial"/>
          <w:sz w:val="16"/>
          <w:szCs w:val="16"/>
          <w:color w:val="auto"/>
        </w:rPr>
        <w:t>” means a program under which (i) outstanding Awards are surrendered or cancelled in exchange for Awards of the same type (which may have lower exercise prices and different terms), Awards of a different type, and/or cash, (ii) Participants would have the opportunity to transfer any outstanding Awards to a financial institution or other person or entity selected by the Administrator, and/or (iii) the exercise price of an outstanding Award is reduced. The Administrator will determine the terms and conditions of any Exchange Program in its sole discretion, subject to Section 4.</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80" w:right="239" w:bottom="1440" w:gutter="0" w:footer="0" w:header="0"/>
        </w:sectPr>
      </w:pPr>
    </w:p>
    <w:bookmarkStart w:id="47" w:name="page48"/>
    <w:bookmarkEnd w:id="47"/>
    <w:p>
      <w:pPr>
        <w:ind w:left="1140" w:hanging="219"/>
        <w:spacing w:after="0"/>
        <w:tabs>
          <w:tab w:leader="none" w:pos="1140" w:val="left"/>
        </w:tabs>
        <w:numPr>
          <w:ilvl w:val="0"/>
          <w:numId w:val="1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Fair Market Value</w:t>
      </w:r>
      <w:r>
        <w:rPr>
          <w:rFonts w:ascii="Arial" w:cs="Arial" w:eastAsia="Arial" w:hAnsi="Arial"/>
          <w:sz w:val="18"/>
          <w:szCs w:val="18"/>
          <w:color w:val="auto"/>
        </w:rPr>
        <w:t>” means, as of any date, the value of a share of Common Stock determined as follows:</w:t>
      </w:r>
    </w:p>
    <w:p>
      <w:pPr>
        <w:spacing w:after="0" w:line="171" w:lineRule="exact"/>
        <w:rPr>
          <w:rFonts w:ascii="Arial" w:cs="Arial" w:eastAsia="Arial" w:hAnsi="Arial"/>
          <w:sz w:val="18"/>
          <w:szCs w:val="18"/>
          <w:color w:val="auto"/>
        </w:rPr>
      </w:pPr>
    </w:p>
    <w:p>
      <w:pPr>
        <w:ind w:right="200" w:firstLine="1492"/>
        <w:spacing w:after="0" w:line="298" w:lineRule="auto"/>
        <w:tabs>
          <w:tab w:leader="none" w:pos="1693" w:val="left"/>
        </w:tabs>
        <w:numPr>
          <w:ilvl w:val="1"/>
          <w:numId w:val="18"/>
        </w:numPr>
        <w:rPr>
          <w:rFonts w:ascii="Arial" w:cs="Arial" w:eastAsia="Arial" w:hAnsi="Arial"/>
          <w:sz w:val="16"/>
          <w:szCs w:val="16"/>
          <w:color w:val="auto"/>
        </w:rPr>
      </w:pPr>
      <w:r>
        <w:rPr>
          <w:rFonts w:ascii="Arial" w:cs="Arial" w:eastAsia="Arial" w:hAnsi="Arial"/>
          <w:sz w:val="16"/>
          <w:szCs w:val="16"/>
          <w:color w:val="auto"/>
        </w:rPr>
        <w:t xml:space="preserve">If the Common Stock is listed on any established stock exchange or a national market system, including without limitation the Nasdaq Global Market, the Nasdaq Global Select Market or the Nasdaq Capital Market, its Fair Market Value shall be the closing sales price for such stock (or, if no closing sales price was reported on that date, as applicable, on the last trading date such closing sales price was reported) as quoted on such exchange or system on the day of determination, as reported in </w:t>
      </w:r>
      <w:r>
        <w:rPr>
          <w:rFonts w:ascii="Arial" w:cs="Arial" w:eastAsia="Arial" w:hAnsi="Arial"/>
          <w:sz w:val="16"/>
          <w:szCs w:val="16"/>
          <w:i w:val="1"/>
          <w:iCs w:val="1"/>
          <w:color w:val="auto"/>
        </w:rPr>
        <w:t>The Wall Street Journal</w:t>
      </w:r>
      <w:r>
        <w:rPr>
          <w:rFonts w:ascii="Arial" w:cs="Arial" w:eastAsia="Arial" w:hAnsi="Arial"/>
          <w:sz w:val="16"/>
          <w:szCs w:val="16"/>
          <w:color w:val="auto"/>
        </w:rPr>
        <w:t xml:space="preserve"> or such other source as the Administrator deems reliable;</w:t>
      </w:r>
    </w:p>
    <w:p>
      <w:pPr>
        <w:spacing w:after="0" w:line="112" w:lineRule="exact"/>
        <w:rPr>
          <w:rFonts w:ascii="Arial" w:cs="Arial" w:eastAsia="Arial" w:hAnsi="Arial"/>
          <w:sz w:val="16"/>
          <w:szCs w:val="16"/>
          <w:color w:val="auto"/>
        </w:rPr>
      </w:pPr>
    </w:p>
    <w:p>
      <w:pPr>
        <w:jc w:val="both"/>
        <w:ind w:right="100" w:firstLine="1492"/>
        <w:spacing w:after="0" w:line="259" w:lineRule="auto"/>
        <w:tabs>
          <w:tab w:leader="none" w:pos="1742" w:val="left"/>
        </w:tabs>
        <w:numPr>
          <w:ilvl w:val="1"/>
          <w:numId w:val="18"/>
        </w:numPr>
        <w:rPr>
          <w:rFonts w:ascii="Arial" w:cs="Arial" w:eastAsia="Arial" w:hAnsi="Arial"/>
          <w:sz w:val="18"/>
          <w:szCs w:val="18"/>
          <w:color w:val="auto"/>
        </w:rPr>
      </w:pPr>
      <w:r>
        <w:rPr>
          <w:rFonts w:ascii="Arial" w:cs="Arial" w:eastAsia="Arial" w:hAnsi="Arial"/>
          <w:sz w:val="18"/>
          <w:szCs w:val="18"/>
          <w:color w:val="auto"/>
        </w:rPr>
        <w:t>If the Common Stock is regularly quoted by a recognized securities dealer but selling prices are not reported, its Fair Market Value shall be the mean between the high bid and low asked prices for the Common Stock on the day of determination (or, if no bids and asks were reported on that date, as applicable, on the last trading date such bids and asks were reported); or</w:t>
      </w:r>
    </w:p>
    <w:p>
      <w:pPr>
        <w:spacing w:after="0" w:line="140" w:lineRule="exact"/>
        <w:rPr>
          <w:rFonts w:ascii="Arial" w:cs="Arial" w:eastAsia="Arial" w:hAnsi="Arial"/>
          <w:sz w:val="18"/>
          <w:szCs w:val="18"/>
          <w:color w:val="auto"/>
        </w:rPr>
      </w:pPr>
    </w:p>
    <w:p>
      <w:pPr>
        <w:ind w:left="1800" w:hanging="308"/>
        <w:spacing w:after="0"/>
        <w:tabs>
          <w:tab w:leader="none" w:pos="1800" w:val="left"/>
        </w:tabs>
        <w:numPr>
          <w:ilvl w:val="1"/>
          <w:numId w:val="18"/>
        </w:numPr>
        <w:rPr>
          <w:rFonts w:ascii="Arial" w:cs="Arial" w:eastAsia="Arial" w:hAnsi="Arial"/>
          <w:sz w:val="16"/>
          <w:szCs w:val="16"/>
          <w:color w:val="auto"/>
        </w:rPr>
      </w:pPr>
      <w:r>
        <w:rPr>
          <w:rFonts w:ascii="Arial" w:cs="Arial" w:eastAsia="Arial" w:hAnsi="Arial"/>
          <w:sz w:val="16"/>
          <w:szCs w:val="16"/>
          <w:color w:val="auto"/>
        </w:rPr>
        <w:t>In the absence of an established market for the Common Stock, the Fair Market Value thereof shall be determined in good faith by the</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Administrator.</w:t>
      </w:r>
    </w:p>
    <w:p>
      <w:pPr>
        <w:spacing w:after="0" w:line="164" w:lineRule="exact"/>
        <w:rPr>
          <w:rFonts w:ascii="Arial" w:cs="Arial" w:eastAsia="Arial" w:hAnsi="Arial"/>
          <w:sz w:val="16"/>
          <w:szCs w:val="16"/>
          <w:color w:val="auto"/>
        </w:rPr>
      </w:pPr>
    </w:p>
    <w:p>
      <w:pPr>
        <w:ind w:firstLine="921"/>
        <w:spacing w:after="0" w:line="306" w:lineRule="auto"/>
        <w:tabs>
          <w:tab w:leader="none" w:pos="1142" w:val="left"/>
        </w:tabs>
        <w:numPr>
          <w:ilvl w:val="0"/>
          <w:numId w:val="18"/>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Incumbent Director</w:t>
      </w:r>
      <w:r>
        <w:rPr>
          <w:rFonts w:ascii="Arial" w:cs="Arial" w:eastAsia="Arial" w:hAnsi="Arial"/>
          <w:sz w:val="16"/>
          <w:szCs w:val="16"/>
          <w:color w:val="auto"/>
        </w:rPr>
        <w:t>” means a Director who either (A) is a Director as of the effective date of the Plan, or (B) is elected, or nominated for election, to the Board with the affirmative votes of at least a majority of the Directors at the time of such election or nomination (but will not include an individual whose election or nomination is in connection with an actual or threatened proxy contest relating to the election of Directors to the Company).</w:t>
      </w:r>
    </w:p>
    <w:p>
      <w:pPr>
        <w:spacing w:after="0" w:line="106" w:lineRule="exact"/>
        <w:rPr>
          <w:rFonts w:ascii="Arial" w:cs="Arial" w:eastAsia="Arial" w:hAnsi="Arial"/>
          <w:sz w:val="16"/>
          <w:szCs w:val="16"/>
          <w:color w:val="auto"/>
        </w:rPr>
      </w:pPr>
    </w:p>
    <w:p>
      <w:pPr>
        <w:ind w:left="1140" w:hanging="219"/>
        <w:spacing w:after="0"/>
        <w:tabs>
          <w:tab w:leader="none" w:pos="1140" w:val="left"/>
        </w:tabs>
        <w:numPr>
          <w:ilvl w:val="0"/>
          <w:numId w:val="1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Inside Director</w:t>
      </w:r>
      <w:r>
        <w:rPr>
          <w:rFonts w:ascii="Arial" w:cs="Arial" w:eastAsia="Arial" w:hAnsi="Arial"/>
          <w:sz w:val="18"/>
          <w:szCs w:val="18"/>
          <w:color w:val="auto"/>
        </w:rPr>
        <w:t>” means a Director who is an Employee.</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18"/>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Nonstatutory Stock Option</w:t>
      </w:r>
      <w:r>
        <w:rPr>
          <w:rFonts w:ascii="Arial" w:cs="Arial" w:eastAsia="Arial" w:hAnsi="Arial"/>
          <w:sz w:val="16"/>
          <w:szCs w:val="16"/>
          <w:color w:val="auto"/>
        </w:rPr>
        <w:t>” means an Option that by its terms does not qualify or is not intended to qualify as an incentive stock option.</w:t>
      </w:r>
    </w:p>
    <w:p>
      <w:pPr>
        <w:spacing w:after="0" w:line="194" w:lineRule="exact"/>
        <w:rPr>
          <w:rFonts w:ascii="Arial" w:cs="Arial" w:eastAsia="Arial" w:hAnsi="Arial"/>
          <w:sz w:val="16"/>
          <w:szCs w:val="16"/>
          <w:color w:val="auto"/>
        </w:rPr>
      </w:pPr>
    </w:p>
    <w:p>
      <w:pPr>
        <w:ind w:right="140" w:firstLine="921"/>
        <w:spacing w:after="0" w:line="268" w:lineRule="auto"/>
        <w:tabs>
          <w:tab w:leader="none" w:pos="1162" w:val="left"/>
        </w:tabs>
        <w:numPr>
          <w:ilvl w:val="0"/>
          <w:numId w:val="1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w:t>
      </w:r>
      <w:r>
        <w:rPr>
          <w:rFonts w:ascii="Arial" w:cs="Arial" w:eastAsia="Arial" w:hAnsi="Arial"/>
          <w:sz w:val="18"/>
          <w:szCs w:val="18"/>
          <w:color w:val="auto"/>
        </w:rPr>
        <w:t>” means a person who is an officer of the Company within the meaning of Section 16 of the Exchange Act and the rules and regulations promulgated thereunder.</w:t>
      </w:r>
    </w:p>
    <w:p>
      <w:pPr>
        <w:spacing w:after="0" w:line="131" w:lineRule="exact"/>
        <w:rPr>
          <w:rFonts w:ascii="Arial" w:cs="Arial" w:eastAsia="Arial" w:hAnsi="Arial"/>
          <w:sz w:val="18"/>
          <w:szCs w:val="18"/>
          <w:color w:val="auto"/>
        </w:rPr>
      </w:pPr>
    </w:p>
    <w:p>
      <w:pPr>
        <w:ind w:left="1200" w:hanging="279"/>
        <w:spacing w:after="0"/>
        <w:tabs>
          <w:tab w:leader="none" w:pos="1200" w:val="left"/>
        </w:tabs>
        <w:numPr>
          <w:ilvl w:val="0"/>
          <w:numId w:val="18"/>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Option</w:t>
      </w:r>
      <w:r>
        <w:rPr>
          <w:rFonts w:ascii="Arial" w:cs="Arial" w:eastAsia="Arial" w:hAnsi="Arial"/>
          <w:sz w:val="16"/>
          <w:szCs w:val="16"/>
          <w:color w:val="auto"/>
        </w:rPr>
        <w:t>” means a stock option granted pursuant to the Plan. All Options granted under the Plan will be Nonstatutory Stock Options.</w:t>
      </w:r>
    </w:p>
    <w:p>
      <w:pPr>
        <w:spacing w:after="0" w:line="194" w:lineRule="exact"/>
        <w:rPr>
          <w:rFonts w:ascii="Arial" w:cs="Arial" w:eastAsia="Arial" w:hAnsi="Arial"/>
          <w:sz w:val="16"/>
          <w:szCs w:val="16"/>
          <w:color w:val="auto"/>
        </w:rPr>
      </w:pPr>
    </w:p>
    <w:p>
      <w:pPr>
        <w:ind w:left="1160" w:hanging="239"/>
        <w:spacing w:after="0"/>
        <w:tabs>
          <w:tab w:leader="none" w:pos="11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Outside Director</w:t>
      </w:r>
      <w:r>
        <w:rPr>
          <w:rFonts w:ascii="Arial" w:cs="Arial" w:eastAsia="Arial" w:hAnsi="Arial"/>
          <w:sz w:val="18"/>
          <w:szCs w:val="18"/>
          <w:color w:val="auto"/>
        </w:rPr>
        <w:t>” means a Director who is not an Employee of the Company or any affiliate of the Company.</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means a “parent corporation,” whether now or hereafter existing, as defined in Section 424(e) of the Code.</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w:t>
      </w:r>
      <w:r>
        <w:rPr>
          <w:rFonts w:ascii="Arial" w:cs="Arial" w:eastAsia="Arial" w:hAnsi="Arial"/>
          <w:sz w:val="18"/>
          <w:szCs w:val="18"/>
          <w:color w:val="auto"/>
        </w:rPr>
        <w:t>” means the holder of an outstanding Award.</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80" w:right="239" w:bottom="1440" w:gutter="0" w:footer="0" w:header="0"/>
        </w:sectPr>
      </w:pPr>
    </w:p>
    <w:bookmarkStart w:id="48" w:name="page49"/>
    <w:bookmarkEnd w:id="48"/>
    <w:p>
      <w:pPr>
        <w:ind w:left="-60" w:firstLine="921"/>
        <w:spacing w:after="0" w:line="332" w:lineRule="auto"/>
        <w:tabs>
          <w:tab w:leader="none" w:pos="1170" w:val="left"/>
        </w:tabs>
        <w:numPr>
          <w:ilvl w:val="1"/>
          <w:numId w:val="19"/>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6"/>
          <w:szCs w:val="16"/>
          <w:u w:val="single" w:color="auto"/>
          <w:color w:val="auto"/>
        </w:rPr>
        <w:t>Performance Share</w:t>
      </w:r>
      <w:r>
        <w:rPr>
          <w:rFonts w:ascii="Arial" w:cs="Arial" w:eastAsia="Arial" w:hAnsi="Arial"/>
          <w:sz w:val="16"/>
          <w:szCs w:val="16"/>
          <w:color w:val="auto"/>
        </w:rPr>
        <w:t>” means an Award denominated in Shares which may be earned in whole or in part upon attainment of performance goals or other vesting criteria as the Administrator may determine pursuant to Section 13.</w:t>
      </w:r>
    </w:p>
    <w:p>
      <w:pPr>
        <w:spacing w:after="0" w:line="85" w:lineRule="exact"/>
        <w:rPr>
          <w:rFonts w:ascii="Arial" w:cs="Arial" w:eastAsia="Arial" w:hAnsi="Arial"/>
          <w:sz w:val="16"/>
          <w:szCs w:val="16"/>
          <w:color w:val="auto"/>
        </w:rPr>
      </w:pPr>
    </w:p>
    <w:p>
      <w:pPr>
        <w:ind w:left="-60" w:right="40" w:firstLine="921"/>
        <w:spacing w:after="0" w:line="332" w:lineRule="auto"/>
        <w:tabs>
          <w:tab w:leader="none" w:pos="1189" w:val="left"/>
        </w:tabs>
        <w:numPr>
          <w:ilvl w:val="1"/>
          <w:numId w:val="19"/>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Performance Unit</w:t>
      </w:r>
      <w:r>
        <w:rPr>
          <w:rFonts w:ascii="Arial" w:cs="Arial" w:eastAsia="Arial" w:hAnsi="Arial"/>
          <w:sz w:val="16"/>
          <w:szCs w:val="16"/>
          <w:color w:val="auto"/>
        </w:rPr>
        <w:t>” means an Award which may be earned in whole or in part upon attainment of performance goals or other vesting criteria as the Administrator may determine and which may be settled for cash, Shares or other securities, or a combination of the foregoing pursuant to Section 13.</w:t>
      </w:r>
    </w:p>
    <w:p>
      <w:pPr>
        <w:spacing w:after="0" w:line="85" w:lineRule="exact"/>
        <w:rPr>
          <w:rFonts w:ascii="Arial" w:cs="Arial" w:eastAsia="Arial" w:hAnsi="Arial"/>
          <w:sz w:val="16"/>
          <w:szCs w:val="16"/>
          <w:color w:val="auto"/>
        </w:rPr>
      </w:pPr>
    </w:p>
    <w:p>
      <w:pPr>
        <w:ind w:left="1180" w:hanging="319"/>
        <w:spacing w:after="0"/>
        <w:tabs>
          <w:tab w:leader="none" w:pos="1180" w:val="left"/>
        </w:tabs>
        <w:numPr>
          <w:ilvl w:val="1"/>
          <w:numId w:val="1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this 2007 Director Stock Incentive Plan.</w:t>
      </w:r>
    </w:p>
    <w:p>
      <w:pPr>
        <w:spacing w:after="0" w:line="171" w:lineRule="exact"/>
        <w:rPr>
          <w:rFonts w:ascii="Arial" w:cs="Arial" w:eastAsia="Arial" w:hAnsi="Arial"/>
          <w:sz w:val="18"/>
          <w:szCs w:val="18"/>
          <w:color w:val="auto"/>
        </w:rPr>
      </w:pPr>
    </w:p>
    <w:p>
      <w:pPr>
        <w:ind w:left="1200" w:hanging="339"/>
        <w:spacing w:after="0"/>
        <w:tabs>
          <w:tab w:leader="none" w:pos="12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Stock</w:t>
      </w:r>
      <w:r>
        <w:rPr>
          <w:rFonts w:ascii="Arial" w:cs="Arial" w:eastAsia="Arial" w:hAnsi="Arial"/>
          <w:sz w:val="18"/>
          <w:szCs w:val="18"/>
          <w:color w:val="auto"/>
        </w:rPr>
        <w:t>” means Shares issued pursuant to a Restricted Stock Award under the Plan.</w:t>
      </w:r>
    </w:p>
    <w:p>
      <w:pPr>
        <w:spacing w:after="0" w:line="171" w:lineRule="exact"/>
        <w:rPr>
          <w:rFonts w:ascii="Arial" w:cs="Arial" w:eastAsia="Arial" w:hAnsi="Arial"/>
          <w:sz w:val="18"/>
          <w:szCs w:val="18"/>
          <w:color w:val="auto"/>
        </w:rPr>
      </w:pPr>
    </w:p>
    <w:p>
      <w:pPr>
        <w:ind w:left="-60" w:right="360" w:firstLine="921"/>
        <w:spacing w:after="0" w:line="332" w:lineRule="auto"/>
        <w:tabs>
          <w:tab w:leader="none" w:pos="1170" w:val="left"/>
        </w:tabs>
        <w:numPr>
          <w:ilvl w:val="1"/>
          <w:numId w:val="19"/>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Restricted Stock Unit</w:t>
      </w:r>
      <w:r>
        <w:rPr>
          <w:rFonts w:ascii="Arial" w:cs="Arial" w:eastAsia="Arial" w:hAnsi="Arial"/>
          <w:sz w:val="16"/>
          <w:szCs w:val="16"/>
          <w:color w:val="auto"/>
        </w:rPr>
        <w:t>” or “</w:t>
      </w:r>
      <w:r>
        <w:rPr>
          <w:rFonts w:ascii="Arial" w:cs="Arial" w:eastAsia="Arial" w:hAnsi="Arial"/>
          <w:sz w:val="16"/>
          <w:szCs w:val="16"/>
          <w:u w:val="single" w:color="auto"/>
          <w:color w:val="auto"/>
        </w:rPr>
        <w:t>RSU</w:t>
      </w:r>
      <w:r>
        <w:rPr>
          <w:rFonts w:ascii="Arial" w:cs="Arial" w:eastAsia="Arial" w:hAnsi="Arial"/>
          <w:sz w:val="16"/>
          <w:szCs w:val="16"/>
          <w:color w:val="auto"/>
        </w:rPr>
        <w:t>” means a bookkeeping entry representing an amount equal to the Fair Market Value of one Share, granted pursuant to the Plan. Each Restricted Stock Unit represents an unfunded and unsecured obligation of the Company.</w:t>
      </w:r>
    </w:p>
    <w:p>
      <w:pPr>
        <w:spacing w:after="0" w:line="85" w:lineRule="exact"/>
        <w:rPr>
          <w:rFonts w:ascii="Arial" w:cs="Arial" w:eastAsia="Arial" w:hAnsi="Arial"/>
          <w:sz w:val="16"/>
          <w:szCs w:val="16"/>
          <w:color w:val="auto"/>
        </w:rPr>
      </w:pPr>
    </w:p>
    <w:p>
      <w:pPr>
        <w:ind w:left="1140" w:hanging="279"/>
        <w:spacing w:after="0"/>
        <w:tabs>
          <w:tab w:leader="none" w:pos="1140" w:val="left"/>
        </w:tabs>
        <w:numPr>
          <w:ilvl w:val="1"/>
          <w:numId w:val="1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Service Provider</w:t>
      </w:r>
      <w:r>
        <w:rPr>
          <w:rFonts w:ascii="Arial" w:cs="Arial" w:eastAsia="Arial" w:hAnsi="Arial"/>
          <w:sz w:val="18"/>
          <w:szCs w:val="18"/>
          <w:color w:val="auto"/>
        </w:rPr>
        <w:t>” means an Employee, Director or Consultant.</w:t>
      </w:r>
    </w:p>
    <w:p>
      <w:pPr>
        <w:spacing w:after="0" w:line="171" w:lineRule="exact"/>
        <w:rPr>
          <w:rFonts w:ascii="Arial" w:cs="Arial" w:eastAsia="Arial" w:hAnsi="Arial"/>
          <w:sz w:val="18"/>
          <w:szCs w:val="18"/>
          <w:color w:val="auto"/>
        </w:rPr>
      </w:pPr>
    </w:p>
    <w:p>
      <w:pPr>
        <w:ind w:left="1200" w:hanging="339"/>
        <w:spacing w:after="0"/>
        <w:tabs>
          <w:tab w:leader="none" w:pos="12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Share</w:t>
      </w:r>
      <w:r>
        <w:rPr>
          <w:rFonts w:ascii="Arial" w:cs="Arial" w:eastAsia="Arial" w:hAnsi="Arial"/>
          <w:sz w:val="18"/>
          <w:szCs w:val="18"/>
          <w:color w:val="auto"/>
        </w:rPr>
        <w:t>” means a share of Common Stock, as adjusted in accordance with Section 18 hereof.</w:t>
      </w:r>
    </w:p>
    <w:p>
      <w:pPr>
        <w:spacing w:after="0" w:line="171" w:lineRule="exact"/>
        <w:rPr>
          <w:rFonts w:ascii="Arial" w:cs="Arial" w:eastAsia="Arial" w:hAnsi="Arial"/>
          <w:sz w:val="18"/>
          <w:szCs w:val="18"/>
          <w:color w:val="auto"/>
        </w:rPr>
      </w:pPr>
    </w:p>
    <w:p>
      <w:pPr>
        <w:ind w:left="-60" w:right="400" w:firstLine="921"/>
        <w:spacing w:after="0" w:line="268" w:lineRule="auto"/>
        <w:tabs>
          <w:tab w:leader="none" w:pos="1189" w:val="left"/>
        </w:tabs>
        <w:numPr>
          <w:ilvl w:val="1"/>
          <w:numId w:val="1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Stock Appreciation Right</w:t>
      </w:r>
      <w:r>
        <w:rPr>
          <w:rFonts w:ascii="Arial" w:cs="Arial" w:eastAsia="Arial" w:hAnsi="Arial"/>
          <w:sz w:val="18"/>
          <w:szCs w:val="18"/>
          <w:color w:val="auto"/>
        </w:rPr>
        <w:t>” means an Award granted under the Plan, granted alone or in connection with an Option, that is designated as a Stock Appreciation Right.</w:t>
      </w:r>
    </w:p>
    <w:p>
      <w:pPr>
        <w:spacing w:after="0" w:line="131" w:lineRule="exact"/>
        <w:rPr>
          <w:rFonts w:ascii="Arial" w:cs="Arial" w:eastAsia="Arial" w:hAnsi="Arial"/>
          <w:sz w:val="18"/>
          <w:szCs w:val="18"/>
          <w:color w:val="auto"/>
        </w:rPr>
      </w:pPr>
    </w:p>
    <w:p>
      <w:pPr>
        <w:ind w:left="1120" w:hanging="259"/>
        <w:spacing w:after="0"/>
        <w:tabs>
          <w:tab w:leader="none" w:pos="1120" w:val="left"/>
        </w:tabs>
        <w:numPr>
          <w:ilvl w:val="1"/>
          <w:numId w:val="1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 “subsidiary corporation,” whether now or hereafter existing, as defined in Section 424(f) of the Code.</w:t>
      </w:r>
    </w:p>
    <w:p>
      <w:pPr>
        <w:spacing w:after="0" w:line="165" w:lineRule="exact"/>
        <w:rPr>
          <w:rFonts w:ascii="Arial" w:cs="Arial" w:eastAsia="Arial" w:hAnsi="Arial"/>
          <w:sz w:val="18"/>
          <w:szCs w:val="18"/>
          <w:color w:val="auto"/>
        </w:rPr>
      </w:pPr>
    </w:p>
    <w:p>
      <w:pPr>
        <w:ind w:left="580" w:hanging="176"/>
        <w:spacing w:after="0"/>
        <w:tabs>
          <w:tab w:leader="none" w:pos="580" w:val="left"/>
        </w:tabs>
        <w:numPr>
          <w:ilvl w:val="0"/>
          <w:numId w:val="20"/>
        </w:numPr>
        <w:rPr>
          <w:rFonts w:ascii="Arial" w:cs="Arial" w:eastAsia="Arial" w:hAnsi="Arial"/>
          <w:sz w:val="18"/>
          <w:szCs w:val="18"/>
          <w:b w:val="1"/>
          <w:bCs w:val="1"/>
          <w:color w:val="auto"/>
        </w:rPr>
      </w:pPr>
      <w:r>
        <w:rPr>
          <w:rFonts w:ascii="Arial" w:cs="Arial" w:eastAsia="Arial" w:hAnsi="Arial"/>
          <w:sz w:val="18"/>
          <w:szCs w:val="18"/>
          <w:b w:val="1"/>
          <w:bCs w:val="1"/>
          <w:color w:val="auto"/>
        </w:rPr>
        <w:t>Stock Subject to the Plan.</w:t>
      </w:r>
    </w:p>
    <w:p>
      <w:pPr>
        <w:spacing w:after="0" w:line="177" w:lineRule="exact"/>
        <w:rPr>
          <w:rFonts w:ascii="Arial" w:cs="Arial" w:eastAsia="Arial" w:hAnsi="Arial"/>
          <w:sz w:val="18"/>
          <w:szCs w:val="18"/>
          <w:b w:val="1"/>
          <w:bCs w:val="1"/>
          <w:color w:val="auto"/>
        </w:rPr>
      </w:pPr>
    </w:p>
    <w:p>
      <w:pPr>
        <w:ind w:left="-60" w:right="100" w:firstLine="921"/>
        <w:spacing w:after="0" w:line="268" w:lineRule="auto"/>
        <w:tabs>
          <w:tab w:leader="none" w:pos="1092" w:val="left"/>
        </w:tabs>
        <w:numPr>
          <w:ilvl w:val="1"/>
          <w:numId w:val="20"/>
        </w:numPr>
        <w:rPr>
          <w:rFonts w:ascii="Arial" w:cs="Arial" w:eastAsia="Arial" w:hAnsi="Arial"/>
          <w:sz w:val="18"/>
          <w:szCs w:val="18"/>
          <w:color w:val="auto"/>
        </w:rPr>
      </w:pPr>
      <w:r>
        <w:rPr>
          <w:rFonts w:ascii="Arial" w:cs="Arial" w:eastAsia="Arial" w:hAnsi="Arial"/>
          <w:sz w:val="18"/>
          <w:szCs w:val="18"/>
          <w:u w:val="single" w:color="auto"/>
          <w:color w:val="auto"/>
        </w:rPr>
        <w:t>Plan Pool</w:t>
      </w:r>
      <w:r>
        <w:rPr>
          <w:rFonts w:ascii="Arial" w:cs="Arial" w:eastAsia="Arial" w:hAnsi="Arial"/>
          <w:sz w:val="18"/>
          <w:szCs w:val="18"/>
          <w:color w:val="auto"/>
        </w:rPr>
        <w:t>. The maximum aggregate number of Shares which may be granted pursuant to Awards under the Plan is seven hundred-fifty thousand (750,000) Shares. The Shares may be authorized, but unissued, or reacquired Common Stock.</w:t>
      </w:r>
    </w:p>
    <w:p>
      <w:pPr>
        <w:spacing w:after="0" w:line="131" w:lineRule="exact"/>
        <w:rPr>
          <w:rFonts w:ascii="Arial" w:cs="Arial" w:eastAsia="Arial" w:hAnsi="Arial"/>
          <w:sz w:val="18"/>
          <w:szCs w:val="18"/>
          <w:color w:val="auto"/>
        </w:rPr>
      </w:pPr>
    </w:p>
    <w:p>
      <w:pPr>
        <w:ind w:left="-60" w:right="40" w:firstLine="921"/>
        <w:spacing w:after="0" w:line="290" w:lineRule="auto"/>
        <w:tabs>
          <w:tab w:leader="none" w:pos="1101" w:val="left"/>
        </w:tabs>
        <w:numPr>
          <w:ilvl w:val="1"/>
          <w:numId w:val="20"/>
        </w:numPr>
        <w:rPr>
          <w:rFonts w:ascii="Arial" w:cs="Arial" w:eastAsia="Arial" w:hAnsi="Arial"/>
          <w:sz w:val="16"/>
          <w:szCs w:val="16"/>
          <w:color w:val="auto"/>
        </w:rPr>
      </w:pPr>
      <w:r>
        <w:rPr>
          <w:rFonts w:ascii="Arial" w:cs="Arial" w:eastAsia="Arial" w:hAnsi="Arial"/>
          <w:sz w:val="16"/>
          <w:szCs w:val="16"/>
          <w:u w:val="single" w:color="auto"/>
          <w:color w:val="auto"/>
        </w:rPr>
        <w:t>Lapsed Awards</w:t>
      </w:r>
      <w:r>
        <w:rPr>
          <w:rFonts w:ascii="Arial" w:cs="Arial" w:eastAsia="Arial" w:hAnsi="Arial"/>
          <w:sz w:val="16"/>
          <w:szCs w:val="16"/>
          <w:color w:val="auto"/>
        </w:rPr>
        <w:t>. If an Award expires or becomes unexercisable without having been exercised in full, is surrendered pursuant to an Exchange Program, or, with respect to Performance Shares, Performance Units, Restricted Stock or Restricted Stock Units, is forfeited to or repurchased by the Company due to failure to vest, the unpurchased Shares (or for Awards other than Options or Stock Appreciation Rights the forfeited or repurchased Shares) which were subject thereto will become available for future grant or sale under the Plan (unless the Plan has terminated). Shares that have actually been issued under the Plan under any Award will not be returned to the Plan and will not become available for future distribution under the Plan; provided, however, that if Shares issued pursuant to Awards are repurchased by the Company or are forfeited to the Company due to their failure to vest, such Shares will become available for future grant under the Plan. Shares used to pay the exercise price of an Award or to</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20"/>
          </w:cols>
          <w:pgMar w:left="300" w:top="280" w:right="279" w:bottom="1440" w:gutter="0" w:footer="0" w:header="0"/>
        </w:sectPr>
      </w:pPr>
    </w:p>
    <w:bookmarkStart w:id="49" w:name="page50"/>
    <w:bookmarkEnd w:id="49"/>
    <w:p>
      <w:pPr>
        <w:ind w:right="1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satisfy the minimum statutory withholding obligations related to an Award will not become available for future grant or sale under the Plan. To the extent an Award under the Plan is paid out in cash rather than Shares, such cash payment will not result in reducing the number of Shares available for issuance under the Plan.</w:t>
      </w:r>
    </w:p>
    <w:p>
      <w:pPr>
        <w:spacing w:after="0" w:line="134" w:lineRule="exact"/>
        <w:rPr>
          <w:sz w:val="20"/>
          <w:szCs w:val="20"/>
          <w:color w:val="auto"/>
        </w:rPr>
      </w:pPr>
    </w:p>
    <w:p>
      <w:pPr>
        <w:jc w:val="both"/>
        <w:ind w:right="100" w:firstLine="464"/>
        <w:spacing w:after="0" w:line="287" w:lineRule="auto"/>
        <w:tabs>
          <w:tab w:leader="none" w:pos="632" w:val="left"/>
        </w:tabs>
        <w:numPr>
          <w:ilvl w:val="1"/>
          <w:numId w:val="2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Administration. </w:t>
      </w:r>
      <w:r>
        <w:rPr>
          <w:rFonts w:ascii="Arial" w:cs="Arial" w:eastAsia="Arial" w:hAnsi="Arial"/>
          <w:sz w:val="16"/>
          <w:szCs w:val="16"/>
          <w:color w:val="auto"/>
        </w:rPr>
        <w:t>The Plan will be administered by (A) the Board or (B) a Committee, which will be constituted to satisfy Applicable Laws. Subject to</w:t>
      </w:r>
      <w:r>
        <w:rPr>
          <w:rFonts w:ascii="Arial" w:cs="Arial" w:eastAsia="Arial" w:hAnsi="Arial"/>
          <w:sz w:val="16"/>
          <w:szCs w:val="16"/>
          <w:b w:val="1"/>
          <w:bCs w:val="1"/>
          <w:color w:val="auto"/>
        </w:rPr>
        <w:t xml:space="preserve"> </w:t>
      </w:r>
      <w:r>
        <w:rPr>
          <w:rFonts w:ascii="Arial" w:cs="Arial" w:eastAsia="Arial" w:hAnsi="Arial"/>
          <w:sz w:val="16"/>
          <w:szCs w:val="16"/>
          <w:color w:val="auto"/>
        </w:rPr>
        <w:t>the provisions of the Plan, and in the case of a Committee, subject to the specific duties delegated by the Board to such Committee, the Administrator will have the authority, in its discretion: (i) to determine the Fair Market Value; (ii) to construe and interpret the terms of the Plan and Awards granted pursuant to the Plan;</w:t>
      </w:r>
    </w:p>
    <w:p>
      <w:pPr>
        <w:ind w:right="40" w:firstLine="8"/>
        <w:spacing w:after="0" w:line="281" w:lineRule="auto"/>
        <w:tabs>
          <w:tab w:leader="none" w:pos="307" w:val="left"/>
        </w:tabs>
        <w:numPr>
          <w:ilvl w:val="0"/>
          <w:numId w:val="22"/>
        </w:numPr>
        <w:rPr>
          <w:rFonts w:ascii="Arial" w:cs="Arial" w:eastAsia="Arial" w:hAnsi="Arial"/>
          <w:sz w:val="16"/>
          <w:szCs w:val="16"/>
          <w:color w:val="auto"/>
        </w:rPr>
      </w:pPr>
      <w:r>
        <w:rPr>
          <w:rFonts w:ascii="Arial" w:cs="Arial" w:eastAsia="Arial" w:hAnsi="Arial"/>
          <w:sz w:val="16"/>
          <w:szCs w:val="16"/>
          <w:color w:val="auto"/>
        </w:rPr>
        <w:t>to prescribe, amend and rescind rules and regulations relating to the Plan, including the ability to accelerate the vesting of awards granted to Outside Directors who will not stand for reelection; (iv) to make such other determinations and take such other actions as permitted under the Plan; (v) to determine the terms and conditions of, and to institute, any Exchange Program, subject to the following sentence; and (vi) to make all other determinations deemed necessary or advisable for administering the Plan. Notwithstanding anything herein to the contrary, the Administrator may not (a) modify or amend an Award to reduce the exercise price of such Award after it has been granted; (b) cancel any Award and immediately replace it with any other Award with a lower exercise price; or</w:t>
      </w:r>
    </w:p>
    <w:p>
      <w:pPr>
        <w:spacing w:after="0" w:line="3" w:lineRule="exact"/>
        <w:rPr>
          <w:rFonts w:ascii="Arial" w:cs="Arial" w:eastAsia="Arial" w:hAnsi="Arial"/>
          <w:sz w:val="16"/>
          <w:szCs w:val="16"/>
          <w:color w:val="auto"/>
        </w:rPr>
      </w:pPr>
    </w:p>
    <w:p>
      <w:pPr>
        <w:ind w:firstLine="8"/>
        <w:spacing w:after="0" w:line="255" w:lineRule="auto"/>
        <w:tabs>
          <w:tab w:leader="none" w:pos="239" w:val="left"/>
        </w:tabs>
        <w:numPr>
          <w:ilvl w:val="0"/>
          <w:numId w:val="23"/>
        </w:numPr>
        <w:rPr>
          <w:rFonts w:ascii="Arial" w:cs="Arial" w:eastAsia="Arial" w:hAnsi="Arial"/>
          <w:sz w:val="18"/>
          <w:szCs w:val="18"/>
          <w:color w:val="auto"/>
        </w:rPr>
      </w:pPr>
      <w:r>
        <w:rPr>
          <w:rFonts w:ascii="Arial" w:cs="Arial" w:eastAsia="Arial" w:hAnsi="Arial"/>
          <w:sz w:val="18"/>
          <w:szCs w:val="18"/>
          <w:color w:val="auto"/>
        </w:rPr>
        <w:t>authorize the buyout of Options or Stock Appreciation Rights with exercise prices per share that are greater than the then-current Fair Market Value, in each case, unless such action is approved by the Company’s shareholders prior to such action. The Administrator’s decisions, determinations and interpretations will be final and binding on all Participants and any other holders of Awards.</w:t>
      </w:r>
    </w:p>
    <w:p>
      <w:pPr>
        <w:spacing w:after="0" w:line="138" w:lineRule="exact"/>
        <w:rPr>
          <w:rFonts w:ascii="Arial" w:cs="Arial" w:eastAsia="Arial" w:hAnsi="Arial"/>
          <w:sz w:val="18"/>
          <w:szCs w:val="18"/>
          <w:color w:val="auto"/>
        </w:rPr>
      </w:pPr>
    </w:p>
    <w:p>
      <w:pPr>
        <w:ind w:left="640" w:hanging="176"/>
        <w:spacing w:after="0"/>
        <w:tabs>
          <w:tab w:leader="none" w:pos="640" w:val="left"/>
        </w:tabs>
        <w:numPr>
          <w:ilvl w:val="1"/>
          <w:numId w:val="23"/>
        </w:numPr>
        <w:rPr>
          <w:rFonts w:ascii="Arial" w:cs="Arial" w:eastAsia="Arial" w:hAnsi="Arial"/>
          <w:sz w:val="18"/>
          <w:szCs w:val="18"/>
          <w:b w:val="1"/>
          <w:bCs w:val="1"/>
          <w:color w:val="auto"/>
        </w:rPr>
      </w:pPr>
      <w:r>
        <w:rPr>
          <w:rFonts w:ascii="Arial" w:cs="Arial" w:eastAsia="Arial" w:hAnsi="Arial"/>
          <w:sz w:val="18"/>
          <w:szCs w:val="18"/>
          <w:b w:val="1"/>
          <w:bCs w:val="1"/>
          <w:color w:val="auto"/>
        </w:rPr>
        <w:t>Grants of Awards under the Plan.</w:t>
      </w:r>
    </w:p>
    <w:p>
      <w:pPr>
        <w:spacing w:after="0" w:line="177" w:lineRule="exact"/>
        <w:rPr>
          <w:rFonts w:ascii="Arial" w:cs="Arial" w:eastAsia="Arial" w:hAnsi="Arial"/>
          <w:sz w:val="18"/>
          <w:szCs w:val="18"/>
          <w:b w:val="1"/>
          <w:bCs w:val="1"/>
          <w:color w:val="auto"/>
        </w:rPr>
      </w:pPr>
    </w:p>
    <w:p>
      <w:pPr>
        <w:ind w:left="1160" w:hanging="239"/>
        <w:spacing w:after="0"/>
        <w:tabs>
          <w:tab w:leader="none" w:pos="1160" w:val="left"/>
        </w:tabs>
        <w:numPr>
          <w:ilvl w:val="2"/>
          <w:numId w:val="23"/>
        </w:numPr>
        <w:rPr>
          <w:rFonts w:ascii="Arial" w:cs="Arial" w:eastAsia="Arial" w:hAnsi="Arial"/>
          <w:sz w:val="16"/>
          <w:szCs w:val="16"/>
          <w:color w:val="auto"/>
        </w:rPr>
      </w:pPr>
      <w:r>
        <w:rPr>
          <w:rFonts w:ascii="Arial" w:cs="Arial" w:eastAsia="Arial" w:hAnsi="Arial"/>
          <w:sz w:val="16"/>
          <w:szCs w:val="16"/>
          <w:u w:val="single" w:color="auto"/>
          <w:color w:val="auto"/>
        </w:rPr>
        <w:t>Procedure for Grants.</w:t>
      </w:r>
      <w:r>
        <w:rPr>
          <w:rFonts w:ascii="Arial" w:cs="Arial" w:eastAsia="Arial" w:hAnsi="Arial"/>
          <w:sz w:val="16"/>
          <w:szCs w:val="16"/>
          <w:color w:val="auto"/>
        </w:rPr>
        <w:t xml:space="preserve"> All grants of Awards to Outside Directors under this Plan shall be made strictly in accordance with the following</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provisions:</w:t>
      </w:r>
    </w:p>
    <w:p>
      <w:pPr>
        <w:spacing w:after="0" w:line="164" w:lineRule="exact"/>
        <w:rPr>
          <w:rFonts w:ascii="Arial" w:cs="Arial" w:eastAsia="Arial" w:hAnsi="Arial"/>
          <w:sz w:val="16"/>
          <w:szCs w:val="16"/>
          <w:color w:val="auto"/>
        </w:rPr>
      </w:pPr>
    </w:p>
    <w:p>
      <w:pPr>
        <w:ind w:right="280" w:firstLine="921"/>
        <w:spacing w:after="0" w:line="268" w:lineRule="auto"/>
        <w:tabs>
          <w:tab w:leader="none" w:pos="1161" w:val="left"/>
        </w:tabs>
        <w:numPr>
          <w:ilvl w:val="2"/>
          <w:numId w:val="23"/>
        </w:numPr>
        <w:rPr>
          <w:rFonts w:ascii="Arial" w:cs="Arial" w:eastAsia="Arial" w:hAnsi="Arial"/>
          <w:sz w:val="18"/>
          <w:szCs w:val="18"/>
          <w:color w:val="auto"/>
        </w:rPr>
      </w:pPr>
      <w:r>
        <w:rPr>
          <w:rFonts w:ascii="Arial" w:cs="Arial" w:eastAsia="Arial" w:hAnsi="Arial"/>
          <w:sz w:val="18"/>
          <w:szCs w:val="18"/>
          <w:u w:val="single" w:color="auto"/>
          <w:color w:val="auto"/>
        </w:rPr>
        <w:t>Type of Option</w:t>
      </w:r>
      <w:r>
        <w:rPr>
          <w:rFonts w:ascii="Arial" w:cs="Arial" w:eastAsia="Arial" w:hAnsi="Arial"/>
          <w:sz w:val="18"/>
          <w:szCs w:val="18"/>
          <w:color w:val="auto"/>
        </w:rPr>
        <w:t>. If Options are granted pursuant to the Plan they will be Nonstatutory Stock Options and, except as otherwise provided herein, will be subject to the other terms and conditions of the Plan.</w:t>
      </w:r>
    </w:p>
    <w:p>
      <w:pPr>
        <w:spacing w:after="0" w:line="131" w:lineRule="exact"/>
        <w:rPr>
          <w:rFonts w:ascii="Arial" w:cs="Arial" w:eastAsia="Arial" w:hAnsi="Arial"/>
          <w:sz w:val="18"/>
          <w:szCs w:val="18"/>
          <w:color w:val="auto"/>
        </w:rPr>
      </w:pPr>
    </w:p>
    <w:p>
      <w:pPr>
        <w:ind w:left="1160" w:hanging="239"/>
        <w:spacing w:after="0"/>
        <w:tabs>
          <w:tab w:leader="none" w:pos="1160" w:val="left"/>
        </w:tabs>
        <w:numPr>
          <w:ilvl w:val="2"/>
          <w:numId w:val="23"/>
        </w:numPr>
        <w:rPr>
          <w:rFonts w:ascii="Arial" w:cs="Arial" w:eastAsia="Arial" w:hAnsi="Arial"/>
          <w:sz w:val="18"/>
          <w:szCs w:val="18"/>
          <w:color w:val="auto"/>
        </w:rPr>
      </w:pPr>
      <w:r>
        <w:rPr>
          <w:rFonts w:ascii="Arial" w:cs="Arial" w:eastAsia="Arial" w:hAnsi="Arial"/>
          <w:sz w:val="18"/>
          <w:szCs w:val="18"/>
          <w:u w:val="single" w:color="auto"/>
          <w:color w:val="auto"/>
        </w:rPr>
        <w:t>Eligibility for Awards</w:t>
      </w:r>
      <w:r>
        <w:rPr>
          <w:rFonts w:ascii="Arial" w:cs="Arial" w:eastAsia="Arial" w:hAnsi="Arial"/>
          <w:sz w:val="18"/>
          <w:szCs w:val="18"/>
          <w:color w:val="auto"/>
        </w:rPr>
        <w:t>. Awards under the Plan shall be granted only to Outside Directors of the Company.</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2"/>
          <w:numId w:val="23"/>
        </w:numPr>
        <w:rPr>
          <w:rFonts w:ascii="Arial" w:cs="Arial" w:eastAsia="Arial" w:hAnsi="Arial"/>
          <w:sz w:val="18"/>
          <w:szCs w:val="18"/>
          <w:color w:val="auto"/>
        </w:rPr>
      </w:pPr>
      <w:r>
        <w:rPr>
          <w:rFonts w:ascii="Arial" w:cs="Arial" w:eastAsia="Arial" w:hAnsi="Arial"/>
          <w:sz w:val="18"/>
          <w:szCs w:val="18"/>
          <w:u w:val="single" w:color="auto"/>
          <w:color w:val="auto"/>
        </w:rPr>
        <w:t>Annual Option Award</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right="80" w:firstLine="1492"/>
        <w:spacing w:after="0" w:line="255" w:lineRule="auto"/>
        <w:tabs>
          <w:tab w:leader="none" w:pos="1693" w:val="left"/>
        </w:tabs>
        <w:numPr>
          <w:ilvl w:val="3"/>
          <w:numId w:val="23"/>
        </w:numPr>
        <w:rPr>
          <w:rFonts w:ascii="Arial" w:cs="Arial" w:eastAsia="Arial" w:hAnsi="Arial"/>
          <w:sz w:val="18"/>
          <w:szCs w:val="18"/>
          <w:color w:val="auto"/>
        </w:rPr>
      </w:pPr>
      <w:r>
        <w:rPr>
          <w:rFonts w:ascii="Arial" w:cs="Arial" w:eastAsia="Arial" w:hAnsi="Arial"/>
          <w:sz w:val="18"/>
          <w:szCs w:val="18"/>
          <w:color w:val="auto"/>
        </w:rPr>
        <w:t>Each Outside Director who continues to serve as an Outside Director or who commences service as an Outside Director by reason of his or her election to the Board at an Annual General Meeting will be automatically granted an Option to purchase such number of Shares as set forth in this Section 5(d)(i) (the “Annual Option Award”) immediately following each Annual General Meeting. The Annual Option Award will cover a number of Shares so that the Annual Option Award has an aggregate grant date fair value equal to $110,000; provided that such number of Shares subject to the Annual Option Award will be rounded down to the nearest whole number of Shares.</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80" w:right="239" w:bottom="1440" w:gutter="0" w:footer="0" w:header="0"/>
        </w:sectPr>
      </w:pPr>
    </w:p>
    <w:bookmarkStart w:id="50" w:name="page51"/>
    <w:bookmarkEnd w:id="50"/>
    <w:p>
      <w:pPr>
        <w:ind w:left="-20" w:right="100" w:firstLine="1492"/>
        <w:spacing w:after="0" w:line="291" w:lineRule="auto"/>
        <w:tabs>
          <w:tab w:leader="none" w:pos="1722" w:val="left"/>
        </w:tabs>
        <w:numPr>
          <w:ilvl w:val="1"/>
          <w:numId w:val="24"/>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Each individual who is first elected or appointed as an Outside Director other than as a result of his or her initial election to the Board at an Annual General Meeting, shall, on the date he or she commences service as an Outside Director, automatically be granted an Option to purchase such number of Shares as set for this Section 5(d)(ii) (the “Pro Rata Option Award”). The Pro Rata Option Award will cover a number of Shares so that the Pro Rata Option Award has an aggregate grate date fair value determined by multiplying $110,000 by a fraction (x) the numerator of which is four, </w:t>
      </w:r>
      <w:r>
        <w:rPr>
          <w:rFonts w:ascii="Arial" w:cs="Arial" w:eastAsia="Arial" w:hAnsi="Arial"/>
          <w:sz w:val="16"/>
          <w:szCs w:val="16"/>
          <w:i w:val="1"/>
          <w:iCs w:val="1"/>
          <w:color w:val="auto"/>
        </w:rPr>
        <w:t>less</w:t>
      </w:r>
      <w:r>
        <w:rPr>
          <w:rFonts w:ascii="Arial" w:cs="Arial" w:eastAsia="Arial" w:hAnsi="Arial"/>
          <w:sz w:val="16"/>
          <w:szCs w:val="16"/>
          <w:color w:val="auto"/>
        </w:rPr>
        <w:t xml:space="preserve"> the number of quarters (including any portions of a quarter) that have lapsed since the last Annual General Meeting and (y) the denominator which is four quarters; provided that such number of Shares subject to the Annual Option Award will be rounded down to the nearest whole number of Shares.</w:t>
      </w:r>
    </w:p>
    <w:p>
      <w:pPr>
        <w:spacing w:after="0" w:line="120" w:lineRule="exact"/>
        <w:rPr>
          <w:rFonts w:ascii="Arial" w:cs="Arial" w:eastAsia="Arial" w:hAnsi="Arial"/>
          <w:sz w:val="16"/>
          <w:szCs w:val="16"/>
          <w:color w:val="auto"/>
        </w:rPr>
      </w:pPr>
    </w:p>
    <w:p>
      <w:pPr>
        <w:ind w:left="-20" w:right="60" w:firstLine="1492"/>
        <w:spacing w:after="0" w:line="253" w:lineRule="auto"/>
        <w:tabs>
          <w:tab w:leader="none" w:pos="1771" w:val="left"/>
        </w:tabs>
        <w:numPr>
          <w:ilvl w:val="1"/>
          <w:numId w:val="24"/>
        </w:numPr>
        <w:rPr>
          <w:rFonts w:ascii="Arial" w:cs="Arial" w:eastAsia="Arial" w:hAnsi="Arial"/>
          <w:sz w:val="18"/>
          <w:szCs w:val="18"/>
          <w:color w:val="auto"/>
        </w:rPr>
      </w:pPr>
      <w:r>
        <w:rPr>
          <w:rFonts w:ascii="Arial" w:cs="Arial" w:eastAsia="Arial" w:hAnsi="Arial"/>
          <w:sz w:val="18"/>
          <w:szCs w:val="18"/>
          <w:color w:val="auto"/>
        </w:rPr>
        <w:t>The number of Shares calculated pursuant to this Section 5(d) will be determined by using the Black-Scholes option valuation methodology, or such other methodology the Administrator may determine, on the grant date. Unless otherwise determined, the input assumptions underlying the valuation calculation shall be consistent with the respective input assumptions in the Company’s most recent quarterly or annual report. Notwithstanding the foregoing, in no event shall any Outside Director be awarded an Annual Option Award or Pro Rata Option Award for more than 25,000 Shares (i.e., if determination of the Shares subject to an award under Section(s) 5(d)(i) and/or 5(d)(ii) result in an award in excess of 25,000 Shares, then the applicable award shall cover 25,000 Shares). There shall be no limit on the number of such Annual Option Awards any one Outside Director may receive over his or her period of Board service.</w:t>
      </w:r>
    </w:p>
    <w:p>
      <w:pPr>
        <w:spacing w:after="0" w:line="228" w:lineRule="exact"/>
        <w:rPr>
          <w:rFonts w:ascii="Arial" w:cs="Arial" w:eastAsia="Arial" w:hAnsi="Arial"/>
          <w:sz w:val="18"/>
          <w:szCs w:val="18"/>
          <w:color w:val="auto"/>
        </w:rPr>
      </w:pPr>
    </w:p>
    <w:p>
      <w:pPr>
        <w:ind w:left="1140" w:hanging="239"/>
        <w:spacing w:after="0"/>
        <w:tabs>
          <w:tab w:leader="none" w:pos="1140" w:val="left"/>
        </w:tabs>
        <w:numPr>
          <w:ilvl w:val="0"/>
          <w:numId w:val="25"/>
        </w:numPr>
        <w:rPr>
          <w:rFonts w:ascii="Arial" w:cs="Arial" w:eastAsia="Arial" w:hAnsi="Arial"/>
          <w:sz w:val="18"/>
          <w:szCs w:val="18"/>
          <w:color w:val="auto"/>
        </w:rPr>
      </w:pPr>
      <w:r>
        <w:rPr>
          <w:rFonts w:ascii="Arial" w:cs="Arial" w:eastAsia="Arial" w:hAnsi="Arial"/>
          <w:sz w:val="18"/>
          <w:szCs w:val="18"/>
          <w:u w:val="single" w:color="auto"/>
          <w:color w:val="auto"/>
        </w:rPr>
        <w:t>Annual RSU Award</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left="-20" w:right="60" w:firstLine="1492"/>
        <w:spacing w:after="0" w:line="291" w:lineRule="auto"/>
        <w:tabs>
          <w:tab w:leader="none" w:pos="1673" w:val="left"/>
        </w:tabs>
        <w:numPr>
          <w:ilvl w:val="1"/>
          <w:numId w:val="25"/>
        </w:numPr>
        <w:rPr>
          <w:rFonts w:ascii="Arial" w:cs="Arial" w:eastAsia="Arial" w:hAnsi="Arial"/>
          <w:sz w:val="16"/>
          <w:szCs w:val="16"/>
          <w:color w:val="auto"/>
        </w:rPr>
      </w:pPr>
      <w:r>
        <w:rPr>
          <w:rFonts w:ascii="Arial" w:cs="Arial" w:eastAsia="Arial" w:hAnsi="Arial"/>
          <w:sz w:val="16"/>
          <w:szCs w:val="16"/>
          <w:color w:val="auto"/>
        </w:rPr>
        <w:t>Each Outside Director who continues to serve as an Outside Director or who commences service as an Outside Director by reason of his or her election to the Board at an Annual General Meeting will be automatically granted such number of Shares subject to Restricted Stock Units as set forth in this Section 5(e)(i) (the “Annual RSU Award”) immediately following each Annual General Meeting. The Annual RSU Award will cover a number of Shares with an aggregate Fair Market Value equal to $110,000 on the grant date; provided that such number of Shares subject to the Annual RSU Award will be rounded down to the nearest whole number of Shares. The determination of fair value shall be made in a manner consistent with the fair value determination of Restricted Stock Units in the Company’s most recent quarterly or annual report.</w:t>
      </w:r>
    </w:p>
    <w:p>
      <w:pPr>
        <w:spacing w:after="0" w:line="120" w:lineRule="exact"/>
        <w:rPr>
          <w:rFonts w:ascii="Arial" w:cs="Arial" w:eastAsia="Arial" w:hAnsi="Arial"/>
          <w:sz w:val="16"/>
          <w:szCs w:val="16"/>
          <w:color w:val="auto"/>
        </w:rPr>
      </w:pPr>
    </w:p>
    <w:p>
      <w:pPr>
        <w:ind w:left="-20" w:firstLine="1492"/>
        <w:spacing w:after="0" w:line="254" w:lineRule="auto"/>
        <w:tabs>
          <w:tab w:leader="none" w:pos="1722" w:val="left"/>
        </w:tabs>
        <w:numPr>
          <w:ilvl w:val="1"/>
          <w:numId w:val="25"/>
        </w:numPr>
        <w:rPr>
          <w:rFonts w:ascii="Arial" w:cs="Arial" w:eastAsia="Arial" w:hAnsi="Arial"/>
          <w:sz w:val="18"/>
          <w:szCs w:val="18"/>
          <w:color w:val="auto"/>
        </w:rPr>
      </w:pPr>
      <w:r>
        <w:rPr>
          <w:rFonts w:ascii="Arial" w:cs="Arial" w:eastAsia="Arial" w:hAnsi="Arial"/>
          <w:sz w:val="18"/>
          <w:szCs w:val="18"/>
          <w:color w:val="auto"/>
        </w:rPr>
        <w:t xml:space="preserve">Each individual who is first elected or appointed as an Outside Director other than as a result of his or her initial election to the Board at an Annual General Meeting, shall, on the date he or she commences service as an Outside Director, automatically be granted such number of Shares subject to Restricted Stock Units as set for this Section 5(e)(ii) (the “Pro Rata RSU Award”). The Pro Rata RSU Award will cover a number of Shares determined by (i) first multiplying $110,000 by a fraction (x) the numerator of which is four, </w:t>
      </w:r>
      <w:r>
        <w:rPr>
          <w:rFonts w:ascii="Arial" w:cs="Arial" w:eastAsia="Arial" w:hAnsi="Arial"/>
          <w:sz w:val="18"/>
          <w:szCs w:val="18"/>
          <w:i w:val="1"/>
          <w:iCs w:val="1"/>
          <w:color w:val="auto"/>
        </w:rPr>
        <w:t>less</w:t>
      </w:r>
      <w:r>
        <w:rPr>
          <w:rFonts w:ascii="Arial" w:cs="Arial" w:eastAsia="Arial" w:hAnsi="Arial"/>
          <w:sz w:val="18"/>
          <w:szCs w:val="18"/>
          <w:color w:val="auto"/>
        </w:rPr>
        <w:t xml:space="preserve"> the number of quarters (including any portions of a quarter) that have lapsed since the last Annual General Meeting and (y) the denominator which is four quarters and (ii) then, by dividing the pro-rated dollar amount so calculated by the Fair Market Value per Share on such grant date.</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80"/>
          </w:cols>
          <w:pgMar w:left="260" w:top="280" w:right="259" w:bottom="1440" w:gutter="0" w:footer="0" w:header="0"/>
        </w:sectPr>
      </w:pPr>
    </w:p>
    <w:bookmarkStart w:id="51" w:name="page52"/>
    <w:bookmarkEnd w:id="51"/>
    <w:p>
      <w:pPr>
        <w:ind w:right="160" w:firstLine="1492"/>
        <w:spacing w:after="0" w:line="256" w:lineRule="auto"/>
        <w:tabs>
          <w:tab w:leader="none" w:pos="1791" w:val="left"/>
        </w:tabs>
        <w:numPr>
          <w:ilvl w:val="1"/>
          <w:numId w:val="2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Notwithstanding the foregoing, in no event shall any Outside Director be awarded an Annual RSU Award or Pro Rata RSU Award for more than 10,000 Shares (i.e., if determination of the Shares subject to an award under Section(s) 5(e)(i) and/or 5(e)(ii) result in an award in excess of 10,000 Shares, then the applicable award shall cover 10,000 Shares). There shall be no limit on the number of such Annual RSU Awards any one Outside Director may receive over his or her period of Board service.</w:t>
      </w:r>
    </w:p>
    <w:p>
      <w:pPr>
        <w:spacing w:after="0" w:line="143" w:lineRule="exact"/>
        <w:rPr>
          <w:rFonts w:ascii="Arial" w:cs="Arial" w:eastAsia="Arial" w:hAnsi="Arial"/>
          <w:sz w:val="18"/>
          <w:szCs w:val="18"/>
          <w:color w:val="auto"/>
        </w:rPr>
      </w:pPr>
    </w:p>
    <w:p>
      <w:pPr>
        <w:ind w:left="1140" w:hanging="219"/>
        <w:spacing w:after="0"/>
        <w:tabs>
          <w:tab w:leader="none" w:pos="114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t>Terms</w:t>
      </w:r>
      <w:r>
        <w:rPr>
          <w:rFonts w:ascii="Arial" w:cs="Arial" w:eastAsia="Arial" w:hAnsi="Arial"/>
          <w:sz w:val="18"/>
          <w:szCs w:val="18"/>
          <w:color w:val="auto"/>
        </w:rPr>
        <w:t>. The terms of each Award granted pursuant to the Plan will be as follows:</w:t>
      </w:r>
    </w:p>
    <w:p>
      <w:pPr>
        <w:spacing w:after="0" w:line="171" w:lineRule="exact"/>
        <w:rPr>
          <w:rFonts w:ascii="Arial" w:cs="Arial" w:eastAsia="Arial" w:hAnsi="Arial"/>
          <w:sz w:val="18"/>
          <w:szCs w:val="18"/>
          <w:color w:val="auto"/>
        </w:rPr>
      </w:pPr>
    </w:p>
    <w:p>
      <w:pPr>
        <w:ind w:left="1700" w:hanging="208"/>
        <w:spacing w:after="0"/>
        <w:tabs>
          <w:tab w:leader="none" w:pos="1700" w:val="left"/>
        </w:tabs>
        <w:numPr>
          <w:ilvl w:val="1"/>
          <w:numId w:val="27"/>
        </w:numPr>
        <w:rPr>
          <w:rFonts w:ascii="Arial" w:cs="Arial" w:eastAsia="Arial" w:hAnsi="Arial"/>
          <w:sz w:val="16"/>
          <w:szCs w:val="16"/>
          <w:color w:val="auto"/>
        </w:rPr>
      </w:pPr>
      <w:r>
        <w:rPr>
          <w:rFonts w:ascii="Arial" w:cs="Arial" w:eastAsia="Arial" w:hAnsi="Arial"/>
          <w:sz w:val="16"/>
          <w:szCs w:val="16"/>
          <w:color w:val="auto"/>
        </w:rPr>
        <w:t>If the Award is an Option, the term of the Award will be ten (10) years; provided, however, that the Option may expire earlier pursuant to</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Section 8 hereof.</w:t>
      </w:r>
    </w:p>
    <w:p>
      <w:pPr>
        <w:spacing w:after="0" w:line="165" w:lineRule="exact"/>
        <w:rPr>
          <w:sz w:val="20"/>
          <w:szCs w:val="20"/>
          <w:color w:val="auto"/>
        </w:rPr>
      </w:pPr>
    </w:p>
    <w:p>
      <w:pPr>
        <w:ind w:left="1760" w:hanging="268"/>
        <w:spacing w:after="0"/>
        <w:tabs>
          <w:tab w:leader="none" w:pos="1760" w:val="left"/>
        </w:tabs>
        <w:numPr>
          <w:ilvl w:val="2"/>
          <w:numId w:val="28"/>
        </w:numPr>
        <w:rPr>
          <w:rFonts w:ascii="Arial" w:cs="Arial" w:eastAsia="Arial" w:hAnsi="Arial"/>
          <w:sz w:val="16"/>
          <w:szCs w:val="16"/>
          <w:color w:val="auto"/>
        </w:rPr>
      </w:pPr>
      <w:r>
        <w:rPr>
          <w:rFonts w:ascii="Arial" w:cs="Arial" w:eastAsia="Arial" w:hAnsi="Arial"/>
          <w:sz w:val="16"/>
          <w:szCs w:val="16"/>
          <w:color w:val="auto"/>
        </w:rPr>
        <w:t>To the extent not in conflict with the terms of this Section, the other terms and conditions of the Plan will apply to Awards granted</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pursuant to this Section.</w:t>
      </w:r>
    </w:p>
    <w:p>
      <w:pPr>
        <w:spacing w:after="0" w:line="164" w:lineRule="exact"/>
        <w:rPr>
          <w:rFonts w:ascii="Arial" w:cs="Arial" w:eastAsia="Arial" w:hAnsi="Arial"/>
          <w:sz w:val="16"/>
          <w:szCs w:val="16"/>
          <w:color w:val="auto"/>
        </w:rPr>
      </w:pPr>
    </w:p>
    <w:p>
      <w:pPr>
        <w:ind w:right="820" w:firstLine="921"/>
        <w:spacing w:after="0" w:line="332" w:lineRule="auto"/>
        <w:tabs>
          <w:tab w:leader="none" w:pos="1161" w:val="left"/>
        </w:tabs>
        <w:numPr>
          <w:ilvl w:val="1"/>
          <w:numId w:val="29"/>
        </w:numPr>
        <w:rPr>
          <w:rFonts w:ascii="Arial" w:cs="Arial" w:eastAsia="Arial" w:hAnsi="Arial"/>
          <w:sz w:val="16"/>
          <w:szCs w:val="16"/>
          <w:color w:val="auto"/>
        </w:rPr>
      </w:pPr>
      <w:r>
        <w:rPr>
          <w:rFonts w:ascii="Arial" w:cs="Arial" w:eastAsia="Arial" w:hAnsi="Arial"/>
          <w:sz w:val="16"/>
          <w:szCs w:val="16"/>
          <w:u w:val="single" w:color="auto"/>
          <w:color w:val="auto"/>
        </w:rPr>
        <w:t>Acceleration of Awards</w:t>
      </w:r>
      <w:r>
        <w:rPr>
          <w:rFonts w:ascii="Arial" w:cs="Arial" w:eastAsia="Arial" w:hAnsi="Arial"/>
          <w:sz w:val="16"/>
          <w:szCs w:val="16"/>
          <w:color w:val="auto"/>
        </w:rPr>
        <w:t>. If a Participant’s status as a Service Provider terminates as result of the Participant’s death or Disability, each outstanding Award granted to the Participant under the Plan shall be immediately vested in full as of the date of such termination.</w:t>
      </w:r>
    </w:p>
    <w:p>
      <w:pPr>
        <w:spacing w:after="0" w:line="85" w:lineRule="exact"/>
        <w:rPr>
          <w:rFonts w:ascii="Arial" w:cs="Arial" w:eastAsia="Arial" w:hAnsi="Arial"/>
          <w:sz w:val="16"/>
          <w:szCs w:val="16"/>
          <w:color w:val="auto"/>
        </w:rPr>
      </w:pPr>
    </w:p>
    <w:p>
      <w:pPr>
        <w:ind w:right="240" w:firstLine="921"/>
        <w:spacing w:after="0" w:line="259" w:lineRule="auto"/>
        <w:tabs>
          <w:tab w:leader="none" w:pos="1161" w:val="left"/>
        </w:tabs>
        <w:numPr>
          <w:ilvl w:val="1"/>
          <w:numId w:val="29"/>
        </w:numPr>
        <w:rPr>
          <w:rFonts w:ascii="Arial" w:cs="Arial" w:eastAsia="Arial" w:hAnsi="Arial"/>
          <w:sz w:val="18"/>
          <w:szCs w:val="18"/>
          <w:color w:val="auto"/>
        </w:rPr>
      </w:pPr>
      <w:r>
        <w:rPr>
          <w:rFonts w:ascii="Arial" w:cs="Arial" w:eastAsia="Arial" w:hAnsi="Arial"/>
          <w:sz w:val="18"/>
          <w:szCs w:val="18"/>
          <w:u w:val="single" w:color="auto"/>
          <w:color w:val="auto"/>
        </w:rPr>
        <w:t>Form and Timing of Payment</w:t>
      </w:r>
      <w:r>
        <w:rPr>
          <w:rFonts w:ascii="Arial" w:cs="Arial" w:eastAsia="Arial" w:hAnsi="Arial"/>
          <w:sz w:val="18"/>
          <w:szCs w:val="18"/>
          <w:color w:val="auto"/>
        </w:rPr>
        <w:t>. Payment of earned Performance Units or Restricted Stock Units granted under the Plan will be made as soon as practicable after the applicable vesting date. On the date set forth in the Award Agreement, all unvested Performance Units or Restricted Stock Units will be forfeited to the Company.</w:t>
      </w:r>
    </w:p>
    <w:p>
      <w:pPr>
        <w:spacing w:after="0" w:line="140" w:lineRule="exact"/>
        <w:rPr>
          <w:rFonts w:ascii="Arial" w:cs="Arial" w:eastAsia="Arial" w:hAnsi="Arial"/>
          <w:sz w:val="18"/>
          <w:szCs w:val="18"/>
          <w:color w:val="auto"/>
        </w:rPr>
      </w:pPr>
    </w:p>
    <w:p>
      <w:pPr>
        <w:ind w:firstLine="921"/>
        <w:spacing w:after="0" w:line="291" w:lineRule="auto"/>
        <w:tabs>
          <w:tab w:leader="none" w:pos="1122" w:val="left"/>
        </w:tabs>
        <w:numPr>
          <w:ilvl w:val="1"/>
          <w:numId w:val="29"/>
        </w:numPr>
        <w:rPr>
          <w:rFonts w:ascii="Arial" w:cs="Arial" w:eastAsia="Arial" w:hAnsi="Arial"/>
          <w:sz w:val="16"/>
          <w:szCs w:val="16"/>
          <w:color w:val="auto"/>
        </w:rPr>
      </w:pPr>
      <w:r>
        <w:rPr>
          <w:rFonts w:ascii="Arial" w:cs="Arial" w:eastAsia="Arial" w:hAnsi="Arial"/>
          <w:sz w:val="16"/>
          <w:szCs w:val="16"/>
          <w:u w:val="single" w:color="auto"/>
          <w:color w:val="auto"/>
        </w:rPr>
        <w:t>Amendment</w:t>
      </w:r>
      <w:r>
        <w:rPr>
          <w:rFonts w:ascii="Arial" w:cs="Arial" w:eastAsia="Arial" w:hAnsi="Arial"/>
          <w:sz w:val="16"/>
          <w:szCs w:val="16"/>
          <w:color w:val="auto"/>
        </w:rPr>
        <w:t>. The Administrator in its discretion may change and otherwise revise the terms of Awards granted under this Plan for Awards granted on or after the date the Administrator determines to make any such change or revision, including, without limitation, the allocation between types of equity Awards, the number of Shares subject to such Awards, the vesting schedule and the exercise or purchase price thereof. The Administrator will determine from time to time whether other service by Directors on committees of the Board not covered by the Plan warrants grants of Awards for such service, and will have the power and authority to modify the Plan from time to time to establish non-discretionary, automatic award grants to be made to such committee members on such terms and at such times as the Administrator will determine.</w:t>
      </w:r>
    </w:p>
    <w:p>
      <w:pPr>
        <w:spacing w:after="0" w:line="114" w:lineRule="exact"/>
        <w:rPr>
          <w:rFonts w:ascii="Arial" w:cs="Arial" w:eastAsia="Arial" w:hAnsi="Arial"/>
          <w:sz w:val="16"/>
          <w:szCs w:val="16"/>
          <w:color w:val="auto"/>
        </w:rPr>
      </w:pPr>
    </w:p>
    <w:p>
      <w:pPr>
        <w:ind w:firstLine="464"/>
        <w:spacing w:after="0" w:line="293" w:lineRule="auto"/>
        <w:tabs>
          <w:tab w:leader="none" w:pos="632" w:val="left"/>
        </w:tabs>
        <w:numPr>
          <w:ilvl w:val="0"/>
          <w:numId w:val="3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Consideration. </w:t>
      </w:r>
      <w:r>
        <w:rPr>
          <w:rFonts w:ascii="Arial" w:cs="Arial" w:eastAsia="Arial" w:hAnsi="Arial"/>
          <w:sz w:val="16"/>
          <w:szCs w:val="16"/>
          <w:color w:val="auto"/>
        </w:rPr>
        <w:t>The consideration to be paid for the Shares to be issued upon exercise of an Award or the purchase of Shares thereunder shall consist</w:t>
      </w:r>
      <w:r>
        <w:rPr>
          <w:rFonts w:ascii="Arial" w:cs="Arial" w:eastAsia="Arial" w:hAnsi="Arial"/>
          <w:sz w:val="16"/>
          <w:szCs w:val="16"/>
          <w:b w:val="1"/>
          <w:bCs w:val="1"/>
          <w:color w:val="auto"/>
        </w:rPr>
        <w:t xml:space="preserve"> </w:t>
      </w:r>
      <w:r>
        <w:rPr>
          <w:rFonts w:ascii="Arial" w:cs="Arial" w:eastAsia="Arial" w:hAnsi="Arial"/>
          <w:sz w:val="16"/>
          <w:szCs w:val="16"/>
          <w:color w:val="auto"/>
        </w:rPr>
        <w:t>entirely of: (i) cash; (ii) check; (iii) other Shares, provided that such Shares have a Fair Market Value on the date of surrender equal to the aggregate exercise or purchase price of the Shares as to which such Awards shall be exercised and provided that accepting such Shares, in the sole discretion of the Administrator, shall not result in any adverse accounting consequences to the Company; (iv) consideration received by the Company under a broker-assisted (or other) cashless exercise program implemented by the Company in connection with the Plan; (v) such other consideration and method of payment for the issuance of Shares to the extent permitted by Applicable Laws; or (vi) any combination of the foregoing methods of payment.</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280" w:right="259" w:bottom="1440" w:gutter="0" w:footer="0" w:header="0"/>
        </w:sectPr>
      </w:pPr>
    </w:p>
    <w:bookmarkStart w:id="52" w:name="page53"/>
    <w:bookmarkEnd w:id="52"/>
    <w:p>
      <w:pPr>
        <w:ind w:right="240" w:firstLine="464"/>
        <w:spacing w:after="0" w:line="310" w:lineRule="auto"/>
        <w:tabs>
          <w:tab w:leader="none" w:pos="632" w:val="left"/>
        </w:tabs>
        <w:numPr>
          <w:ilvl w:val="0"/>
          <w:numId w:val="31"/>
        </w:numPr>
        <w:rPr>
          <w:rFonts w:ascii="Arial" w:cs="Arial" w:eastAsia="Arial" w:hAnsi="Arial"/>
          <w:sz w:val="16"/>
          <w:szCs w:val="16"/>
          <w:b w:val="1"/>
          <w:bCs w:val="1"/>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Exercise of Options or Stock Appreciation Rights. </w:t>
      </w:r>
      <w:r>
        <w:rPr>
          <w:rFonts w:ascii="Arial" w:cs="Arial" w:eastAsia="Arial" w:hAnsi="Arial"/>
          <w:sz w:val="16"/>
          <w:szCs w:val="16"/>
          <w:color w:val="auto"/>
        </w:rPr>
        <w:t>Any Option or Stock Appreciation Right granted hereunder will be exercisable as set forth in</w:t>
      </w:r>
      <w:r>
        <w:rPr>
          <w:rFonts w:ascii="Arial" w:cs="Arial" w:eastAsia="Arial" w:hAnsi="Arial"/>
          <w:sz w:val="16"/>
          <w:szCs w:val="16"/>
          <w:b w:val="1"/>
          <w:bCs w:val="1"/>
          <w:color w:val="auto"/>
        </w:rPr>
        <w:t xml:space="preserve"> </w:t>
      </w:r>
      <w:r>
        <w:rPr>
          <w:rFonts w:ascii="Arial" w:cs="Arial" w:eastAsia="Arial" w:hAnsi="Arial"/>
          <w:sz w:val="16"/>
          <w:szCs w:val="16"/>
          <w:color w:val="auto"/>
        </w:rPr>
        <w:t>Section 5 hereof; provided, however, that no Option or Stock Appreciation Right shall be exercisable until shareholder approval of the Plan in accordance with Section 25 hereof has been obtained. An Option or Stock Appreciation Right may not be exercised for a fraction of a Share.</w:t>
      </w:r>
    </w:p>
    <w:p>
      <w:pPr>
        <w:spacing w:after="0" w:line="103" w:lineRule="exact"/>
        <w:rPr>
          <w:sz w:val="20"/>
          <w:szCs w:val="20"/>
          <w:color w:val="auto"/>
        </w:rPr>
      </w:pPr>
    </w:p>
    <w:p>
      <w:pPr>
        <w:ind w:right="20" w:firstLine="913"/>
        <w:spacing w:after="0" w:line="288" w:lineRule="auto"/>
        <w:rPr>
          <w:sz w:val="20"/>
          <w:szCs w:val="20"/>
          <w:color w:val="auto"/>
        </w:rPr>
      </w:pPr>
      <w:r>
        <w:rPr>
          <w:rFonts w:ascii="Arial" w:cs="Arial" w:eastAsia="Arial" w:hAnsi="Arial"/>
          <w:sz w:val="16"/>
          <w:szCs w:val="16"/>
          <w:color w:val="auto"/>
        </w:rPr>
        <w:t>An Option or Stock Appreciation Right will be deemed exercised when the Company receives: (i) notice of exercise (in such form as the Administrator specify from time to time) from the person entitled to exercise the Option, and (ii) full payment for the Shares with respect to which the Option or Stock Appreciation Right is exercised (together with applicable tax withholdings). Full payment may consist of any consideration and method of payment authorized under the Plan and Applicable Law. Shares issued upon exercise of an Option or Stock Appreciation Right will be issued in the name of the Participant or, if requested by the Participant, in the name of the Participant and his or her spouse. Until the Shares are issued (as evidenced by the appropriate entry on the books of the Company or of a duly authorized transfer agent of the Company), no right to vote or receive dividends or any other rights as a shareholder will exist with respect to the Shares subject to an Option or Stock Appreciation Right, notwithstanding the exercise of the Option or Stock Appreciation Right, as applicable. The Company will issue (or cause to be issued) such Shares promptly after the Option or Stock Appreciation Right, as applicable is exercised. No adjustment will be made for a dividend or other right for which the record date is prior to the date the Shares are issued.</w:t>
      </w:r>
    </w:p>
    <w:p>
      <w:pPr>
        <w:spacing w:after="0" w:line="120" w:lineRule="exact"/>
        <w:rPr>
          <w:sz w:val="20"/>
          <w:szCs w:val="20"/>
          <w:color w:val="auto"/>
        </w:rPr>
      </w:pPr>
    </w:p>
    <w:p>
      <w:pPr>
        <w:jc w:val="both"/>
        <w:ind w:right="260" w:firstLine="913"/>
        <w:spacing w:after="0" w:line="259" w:lineRule="auto"/>
        <w:rPr>
          <w:sz w:val="20"/>
          <w:szCs w:val="20"/>
          <w:color w:val="auto"/>
        </w:rPr>
      </w:pPr>
      <w:r>
        <w:rPr>
          <w:rFonts w:ascii="Arial" w:cs="Arial" w:eastAsia="Arial" w:hAnsi="Arial"/>
          <w:sz w:val="18"/>
          <w:szCs w:val="18"/>
          <w:color w:val="auto"/>
        </w:rPr>
        <w:t>Exercising an Option or Stock Appreciation Right in any manner will decrease the number of Shares thereafter available, both for purposes of the Plan and for sale under the Option or Stock Appreciation Right, as applicable, by the number of Shares as to which the Option or Stock Appreciation Right is exercised.</w:t>
      </w:r>
    </w:p>
    <w:p>
      <w:pPr>
        <w:spacing w:after="0" w:line="134" w:lineRule="exact"/>
        <w:rPr>
          <w:sz w:val="20"/>
          <w:szCs w:val="20"/>
          <w:color w:val="auto"/>
        </w:rPr>
      </w:pPr>
    </w:p>
    <w:p>
      <w:pPr>
        <w:ind w:left="640" w:hanging="176"/>
        <w:spacing w:after="0"/>
        <w:tabs>
          <w:tab w:leader="none" w:pos="640" w:val="left"/>
        </w:tabs>
        <w:numPr>
          <w:ilvl w:val="0"/>
          <w:numId w:val="32"/>
        </w:numPr>
        <w:rPr>
          <w:rFonts w:ascii="Arial" w:cs="Arial" w:eastAsia="Arial" w:hAnsi="Arial"/>
          <w:sz w:val="18"/>
          <w:szCs w:val="18"/>
          <w:b w:val="1"/>
          <w:bCs w:val="1"/>
          <w:color w:val="auto"/>
        </w:rPr>
      </w:pPr>
      <w:r>
        <w:rPr>
          <w:rFonts w:ascii="Arial" w:cs="Arial" w:eastAsia="Arial" w:hAnsi="Arial"/>
          <w:sz w:val="18"/>
          <w:szCs w:val="18"/>
          <w:b w:val="1"/>
          <w:bCs w:val="1"/>
          <w:color w:val="auto"/>
        </w:rPr>
        <w:t>Termination of Status as a Service Provider.</w:t>
      </w:r>
    </w:p>
    <w:p>
      <w:pPr>
        <w:spacing w:after="0" w:line="177" w:lineRule="exact"/>
        <w:rPr>
          <w:rFonts w:ascii="Arial" w:cs="Arial" w:eastAsia="Arial" w:hAnsi="Arial"/>
          <w:sz w:val="18"/>
          <w:szCs w:val="18"/>
          <w:b w:val="1"/>
          <w:bCs w:val="1"/>
          <w:color w:val="auto"/>
        </w:rPr>
      </w:pPr>
    </w:p>
    <w:p>
      <w:pPr>
        <w:ind w:firstLine="921"/>
        <w:spacing w:after="0" w:line="290" w:lineRule="auto"/>
        <w:tabs>
          <w:tab w:leader="none" w:pos="1152" w:val="left"/>
        </w:tabs>
        <w:numPr>
          <w:ilvl w:val="1"/>
          <w:numId w:val="32"/>
        </w:numPr>
        <w:rPr>
          <w:rFonts w:ascii="Arial" w:cs="Arial" w:eastAsia="Arial" w:hAnsi="Arial"/>
          <w:sz w:val="16"/>
          <w:szCs w:val="16"/>
          <w:color w:val="auto"/>
        </w:rPr>
      </w:pPr>
      <w:r>
        <w:rPr>
          <w:rFonts w:ascii="Arial" w:cs="Arial" w:eastAsia="Arial" w:hAnsi="Arial"/>
          <w:sz w:val="16"/>
          <w:szCs w:val="16"/>
          <w:u w:val="single" w:color="auto"/>
          <w:color w:val="auto"/>
        </w:rPr>
        <w:t>Termination of Relationship as a Service Provider</w:t>
      </w:r>
      <w:r>
        <w:rPr>
          <w:rFonts w:ascii="Arial" w:cs="Arial" w:eastAsia="Arial" w:hAnsi="Arial"/>
          <w:sz w:val="16"/>
          <w:szCs w:val="16"/>
          <w:color w:val="auto"/>
        </w:rPr>
        <w:t>. If a Participant ceases to be a Service Provider, other than termination as a result of the Participant’s death or Disability, the Participant may exercise his or her Option or Stock Appreciation Right, as applicable, within ninety (90) days following such termination to the extent that the Option or Stock Appreciation Right, as applicable, is vested on the date of termination (but in no event later than the expiration of the term of such Award, as set forth in the Award Agreement). If on the date of termination the Participant is not vested as to his or her entire Option or Stock Appreciation Right, as applicable, the Shares covered by the unvested portion of the Award will revert to the Plan. If after termination the Participant does not exercise his or her Option or Stock Appreciation Right, as applicable, within the above-specified time period, the Award will terminate, and the Shares covered by such Award will revert to the Plan.</w:t>
      </w:r>
    </w:p>
    <w:p>
      <w:pPr>
        <w:spacing w:after="0" w:line="118" w:lineRule="exact"/>
        <w:rPr>
          <w:rFonts w:ascii="Arial" w:cs="Arial" w:eastAsia="Arial" w:hAnsi="Arial"/>
          <w:sz w:val="16"/>
          <w:szCs w:val="16"/>
          <w:color w:val="auto"/>
        </w:rPr>
      </w:pPr>
    </w:p>
    <w:p>
      <w:pPr>
        <w:jc w:val="both"/>
        <w:ind w:right="80" w:firstLine="921"/>
        <w:spacing w:after="0" w:line="256" w:lineRule="auto"/>
        <w:tabs>
          <w:tab w:leader="none" w:pos="1161" w:val="left"/>
        </w:tabs>
        <w:numPr>
          <w:ilvl w:val="1"/>
          <w:numId w:val="32"/>
        </w:numPr>
        <w:rPr>
          <w:rFonts w:ascii="Arial" w:cs="Arial" w:eastAsia="Arial" w:hAnsi="Arial"/>
          <w:sz w:val="18"/>
          <w:szCs w:val="18"/>
          <w:color w:val="auto"/>
        </w:rPr>
      </w:pPr>
      <w:r>
        <w:rPr>
          <w:rFonts w:ascii="Arial" w:cs="Arial" w:eastAsia="Arial" w:hAnsi="Arial"/>
          <w:sz w:val="18"/>
          <w:szCs w:val="18"/>
          <w:u w:val="single" w:color="auto"/>
          <w:color w:val="auto"/>
        </w:rPr>
        <w:t>Death or Disability of Participant</w:t>
      </w:r>
      <w:r>
        <w:rPr>
          <w:rFonts w:ascii="Arial" w:cs="Arial" w:eastAsia="Arial" w:hAnsi="Arial"/>
          <w:sz w:val="18"/>
          <w:szCs w:val="18"/>
          <w:color w:val="auto"/>
        </w:rPr>
        <w:t>. If a Participant ceases to be a Service Provider as a result of the Participant’s death or Disability, the Option or Stock Appreciation Right, as applicable, may be exercised following the Participant’s termination within six (6) months following the date of such termination to the extent that the Option or Stock Appreciation Right, as applicable, is vested on the date of termination (but in no event later than the expiration of the term of such Award as set forth in the Award Agreement), by the</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274" w:right="239" w:bottom="1440" w:gutter="0" w:footer="0" w:header="0"/>
        </w:sectPr>
      </w:pPr>
    </w:p>
    <w:bookmarkStart w:id="53" w:name="page54"/>
    <w:bookmarkEnd w:id="53"/>
    <w:p>
      <w:pPr>
        <w:ind w:right="100"/>
        <w:spacing w:after="0" w:line="29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Participant or, in the case of the Participant’s death, the Participant’s designated beneficiary, provided such beneficiary has been designated prior to Participant’s death in a form acceptable to the Administrator. If no such beneficiary has been designated by the Participant, then such Award may be exercised by the personal representative of the Participant’s estate or by the person(s) to whom the Award is transferred pursuant to the Participant’s will or in accordance with the laws of descent and distribution. If the Option or Stock Appreciation Right, as applicable, is not so exercised within the above-specified time period, the Option will terminate, and the Shares covered by such Award will revert to the Plan.</w:t>
      </w:r>
    </w:p>
    <w:p>
      <w:pPr>
        <w:spacing w:after="0" w:line="110" w:lineRule="exact"/>
        <w:rPr>
          <w:sz w:val="20"/>
          <w:szCs w:val="20"/>
          <w:color w:val="auto"/>
        </w:rPr>
      </w:pPr>
    </w:p>
    <w:p>
      <w:pPr>
        <w:ind w:left="640" w:hanging="176"/>
        <w:spacing w:after="0"/>
        <w:tabs>
          <w:tab w:leader="none" w:pos="640" w:val="left"/>
        </w:tabs>
        <w:numPr>
          <w:ilvl w:val="0"/>
          <w:numId w:val="33"/>
        </w:numPr>
        <w:rPr>
          <w:rFonts w:ascii="Arial" w:cs="Arial" w:eastAsia="Arial" w:hAnsi="Arial"/>
          <w:sz w:val="18"/>
          <w:szCs w:val="18"/>
          <w:b w:val="1"/>
          <w:bCs w:val="1"/>
          <w:color w:val="auto"/>
        </w:rPr>
      </w:pPr>
      <w:r>
        <w:rPr>
          <w:rFonts w:ascii="Arial" w:cs="Arial" w:eastAsia="Arial" w:hAnsi="Arial"/>
          <w:sz w:val="18"/>
          <w:szCs w:val="18"/>
          <w:b w:val="1"/>
          <w:bCs w:val="1"/>
          <w:color w:val="auto"/>
        </w:rPr>
        <w:t>Options.</w:t>
      </w:r>
    </w:p>
    <w:p>
      <w:pPr>
        <w:spacing w:after="0" w:line="177" w:lineRule="exact"/>
        <w:rPr>
          <w:rFonts w:ascii="Arial" w:cs="Arial" w:eastAsia="Arial" w:hAnsi="Arial"/>
          <w:sz w:val="18"/>
          <w:szCs w:val="18"/>
          <w:b w:val="1"/>
          <w:bCs w:val="1"/>
          <w:color w:val="auto"/>
        </w:rPr>
      </w:pPr>
    </w:p>
    <w:p>
      <w:pPr>
        <w:ind w:right="240" w:firstLine="921"/>
        <w:spacing w:after="0" w:line="259" w:lineRule="auto"/>
        <w:tabs>
          <w:tab w:leader="none" w:pos="1152" w:val="left"/>
        </w:tabs>
        <w:numPr>
          <w:ilvl w:val="1"/>
          <w:numId w:val="33"/>
        </w:numPr>
        <w:rPr>
          <w:rFonts w:ascii="Arial" w:cs="Arial" w:eastAsia="Arial" w:hAnsi="Arial"/>
          <w:sz w:val="18"/>
          <w:szCs w:val="18"/>
          <w:color w:val="auto"/>
        </w:rPr>
      </w:pPr>
      <w:r>
        <w:rPr>
          <w:rFonts w:ascii="Arial" w:cs="Arial" w:eastAsia="Arial" w:hAnsi="Arial"/>
          <w:sz w:val="18"/>
          <w:szCs w:val="18"/>
          <w:u w:val="single" w:color="auto"/>
          <w:color w:val="auto"/>
        </w:rPr>
        <w:t>Grant of Options</w:t>
      </w:r>
      <w:r>
        <w:rPr>
          <w:rFonts w:ascii="Arial" w:cs="Arial" w:eastAsia="Arial" w:hAnsi="Arial"/>
          <w:sz w:val="18"/>
          <w:szCs w:val="18"/>
          <w:color w:val="auto"/>
        </w:rPr>
        <w:t>. Subject to the terms and provisions of the Plan and pursuant to Section 5(i), the Administrator, may change or add automatic Awards granted pursuant to Section 5 to include different or additional Awards of Options in such amounts as the Administrator, in its sole discretion, will determine.</w:t>
      </w:r>
    </w:p>
    <w:p>
      <w:pPr>
        <w:spacing w:after="0" w:line="140" w:lineRule="exact"/>
        <w:rPr>
          <w:rFonts w:ascii="Arial" w:cs="Arial" w:eastAsia="Arial" w:hAnsi="Arial"/>
          <w:sz w:val="18"/>
          <w:szCs w:val="18"/>
          <w:color w:val="auto"/>
        </w:rPr>
      </w:pPr>
    </w:p>
    <w:p>
      <w:pPr>
        <w:ind w:left="1160" w:hanging="239"/>
        <w:spacing w:after="0"/>
        <w:tabs>
          <w:tab w:leader="none" w:pos="1160" w:val="left"/>
        </w:tabs>
        <w:numPr>
          <w:ilvl w:val="1"/>
          <w:numId w:val="33"/>
        </w:numPr>
        <w:rPr>
          <w:rFonts w:ascii="Arial" w:cs="Arial" w:eastAsia="Arial" w:hAnsi="Arial"/>
          <w:sz w:val="18"/>
          <w:szCs w:val="18"/>
          <w:color w:val="auto"/>
        </w:rPr>
      </w:pPr>
      <w:r>
        <w:rPr>
          <w:rFonts w:ascii="Arial" w:cs="Arial" w:eastAsia="Arial" w:hAnsi="Arial"/>
          <w:sz w:val="18"/>
          <w:szCs w:val="18"/>
          <w:u w:val="single" w:color="auto"/>
          <w:color w:val="auto"/>
        </w:rPr>
        <w:t>Terms</w:t>
      </w:r>
      <w:r>
        <w:rPr>
          <w:rFonts w:ascii="Arial" w:cs="Arial" w:eastAsia="Arial" w:hAnsi="Arial"/>
          <w:sz w:val="18"/>
          <w:szCs w:val="18"/>
          <w:color w:val="auto"/>
        </w:rPr>
        <w:t>. The terms of each Option granted pursuant to the Plan will be as follows:</w:t>
      </w:r>
    </w:p>
    <w:p>
      <w:pPr>
        <w:spacing w:after="0" w:line="171" w:lineRule="exact"/>
        <w:rPr>
          <w:rFonts w:ascii="Arial" w:cs="Arial" w:eastAsia="Arial" w:hAnsi="Arial"/>
          <w:sz w:val="18"/>
          <w:szCs w:val="18"/>
          <w:color w:val="auto"/>
        </w:rPr>
      </w:pPr>
    </w:p>
    <w:p>
      <w:pPr>
        <w:ind w:left="1700" w:hanging="208"/>
        <w:spacing w:after="0"/>
        <w:tabs>
          <w:tab w:leader="none" w:pos="1700" w:val="left"/>
        </w:tabs>
        <w:numPr>
          <w:ilvl w:val="2"/>
          <w:numId w:val="33"/>
        </w:numPr>
        <w:rPr>
          <w:rFonts w:ascii="Arial" w:cs="Arial" w:eastAsia="Arial" w:hAnsi="Arial"/>
          <w:sz w:val="16"/>
          <w:szCs w:val="16"/>
          <w:color w:val="auto"/>
        </w:rPr>
      </w:pPr>
      <w:r>
        <w:rPr>
          <w:rFonts w:ascii="Arial" w:cs="Arial" w:eastAsia="Arial" w:hAnsi="Arial"/>
          <w:sz w:val="16"/>
          <w:szCs w:val="16"/>
          <w:color w:val="auto"/>
        </w:rPr>
        <w:t>The term of an Option will be ten (10) years; provided, however, that the Option may expire earlier pursuant to Section 8 hereof.</w:t>
      </w:r>
    </w:p>
    <w:p>
      <w:pPr>
        <w:spacing w:after="0" w:line="194" w:lineRule="exact"/>
        <w:rPr>
          <w:rFonts w:ascii="Arial" w:cs="Arial" w:eastAsia="Arial" w:hAnsi="Arial"/>
          <w:sz w:val="16"/>
          <w:szCs w:val="16"/>
          <w:color w:val="auto"/>
        </w:rPr>
      </w:pPr>
    </w:p>
    <w:p>
      <w:pPr>
        <w:ind w:left="1760" w:hanging="268"/>
        <w:spacing w:after="0"/>
        <w:tabs>
          <w:tab w:leader="none" w:pos="1760" w:val="left"/>
        </w:tabs>
        <w:numPr>
          <w:ilvl w:val="2"/>
          <w:numId w:val="33"/>
        </w:numPr>
        <w:rPr>
          <w:rFonts w:ascii="Arial" w:cs="Arial" w:eastAsia="Arial" w:hAnsi="Arial"/>
          <w:sz w:val="15"/>
          <w:szCs w:val="15"/>
          <w:color w:val="auto"/>
        </w:rPr>
      </w:pPr>
      <w:r>
        <w:rPr>
          <w:rFonts w:ascii="Arial" w:cs="Arial" w:eastAsia="Arial" w:hAnsi="Arial"/>
          <w:sz w:val="15"/>
          <w:szCs w:val="15"/>
          <w:color w:val="auto"/>
        </w:rPr>
        <w:t>The per share exercise price for Shares subject to Options will be one hundred percent (100%) of the Fair Market Value on the grant date.</w:t>
      </w:r>
    </w:p>
    <w:p>
      <w:pPr>
        <w:spacing w:after="0" w:line="205" w:lineRule="exact"/>
        <w:rPr>
          <w:rFonts w:ascii="Arial" w:cs="Arial" w:eastAsia="Arial" w:hAnsi="Arial"/>
          <w:sz w:val="15"/>
          <w:szCs w:val="15"/>
          <w:color w:val="auto"/>
        </w:rPr>
      </w:pPr>
    </w:p>
    <w:p>
      <w:pPr>
        <w:ind w:left="1800" w:hanging="308"/>
        <w:spacing w:after="0"/>
        <w:tabs>
          <w:tab w:leader="none" w:pos="1800" w:val="left"/>
        </w:tabs>
        <w:numPr>
          <w:ilvl w:val="2"/>
          <w:numId w:val="33"/>
        </w:numPr>
        <w:rPr>
          <w:rFonts w:ascii="Arial" w:cs="Arial" w:eastAsia="Arial" w:hAnsi="Arial"/>
          <w:sz w:val="16"/>
          <w:szCs w:val="16"/>
          <w:color w:val="auto"/>
        </w:rPr>
      </w:pPr>
      <w:r>
        <w:rPr>
          <w:rFonts w:ascii="Arial" w:cs="Arial" w:eastAsia="Arial" w:hAnsi="Arial"/>
          <w:sz w:val="16"/>
          <w:szCs w:val="16"/>
          <w:color w:val="auto"/>
        </w:rPr>
        <w:t>Subject to Section 5(g) and Section 18, each Annual Option Award will vest and become exercisable as to one hundred percent</w:t>
      </w:r>
    </w:p>
    <w:p>
      <w:pPr>
        <w:spacing w:after="0" w:line="38" w:lineRule="exact"/>
        <w:rPr>
          <w:sz w:val="20"/>
          <w:szCs w:val="20"/>
          <w:color w:val="auto"/>
        </w:rPr>
      </w:pPr>
    </w:p>
    <w:p>
      <w:pPr>
        <w:ind w:right="160"/>
        <w:spacing w:after="0" w:line="323" w:lineRule="auto"/>
        <w:rPr>
          <w:sz w:val="20"/>
          <w:szCs w:val="20"/>
          <w:color w:val="auto"/>
        </w:rPr>
      </w:pPr>
      <w:r>
        <w:rPr>
          <w:rFonts w:ascii="Arial" w:cs="Arial" w:eastAsia="Arial" w:hAnsi="Arial"/>
          <w:sz w:val="16"/>
          <w:szCs w:val="16"/>
          <w:color w:val="auto"/>
        </w:rPr>
        <w:t>(100%) of the Shares subject to the Option on the earlier of the next Annual General Meeting or the one year anniversary of the Option grant date (or on the last day of the month, if there is no corresponding date); provided that the Outside Director continues to serve as a Service Provider through such date.</w:t>
      </w:r>
    </w:p>
    <w:p>
      <w:pPr>
        <w:spacing w:after="0" w:line="93" w:lineRule="exact"/>
        <w:rPr>
          <w:sz w:val="20"/>
          <w:szCs w:val="20"/>
          <w:color w:val="auto"/>
        </w:rPr>
      </w:pPr>
    </w:p>
    <w:p>
      <w:pPr>
        <w:ind w:firstLine="921"/>
        <w:spacing w:after="0" w:line="332" w:lineRule="auto"/>
        <w:tabs>
          <w:tab w:leader="none" w:pos="1152" w:val="left"/>
        </w:tabs>
        <w:numPr>
          <w:ilvl w:val="1"/>
          <w:numId w:val="34"/>
        </w:numPr>
        <w:rPr>
          <w:rFonts w:ascii="Arial" w:cs="Arial" w:eastAsia="Arial" w:hAnsi="Arial"/>
          <w:sz w:val="16"/>
          <w:szCs w:val="16"/>
          <w:color w:val="auto"/>
        </w:rPr>
      </w:pPr>
      <w:r>
        <w:rPr>
          <w:rFonts w:ascii="Arial" w:cs="Arial" w:eastAsia="Arial" w:hAnsi="Arial"/>
          <w:sz w:val="16"/>
          <w:szCs w:val="16"/>
          <w:u w:val="single" w:color="auto"/>
          <w:color w:val="auto"/>
        </w:rPr>
        <w:t>Option Agreement</w:t>
      </w:r>
      <w:r>
        <w:rPr>
          <w:rFonts w:ascii="Arial" w:cs="Arial" w:eastAsia="Arial" w:hAnsi="Arial"/>
          <w:sz w:val="16"/>
          <w:szCs w:val="16"/>
          <w:color w:val="auto"/>
        </w:rPr>
        <w:t>. Each Option will be evidenced by an Award Agreement that will specify the vesting criteria, the number of Shares covered by the Award, the applicable vesting schedule, and such other terms and conditions as the Administrator, in its sole discretion, will determine.</w:t>
      </w:r>
    </w:p>
    <w:p>
      <w:pPr>
        <w:spacing w:after="0" w:line="85" w:lineRule="exact"/>
        <w:rPr>
          <w:rFonts w:ascii="Arial" w:cs="Arial" w:eastAsia="Arial" w:hAnsi="Arial"/>
          <w:sz w:val="16"/>
          <w:szCs w:val="16"/>
          <w:color w:val="auto"/>
        </w:rPr>
      </w:pPr>
    </w:p>
    <w:p>
      <w:pPr>
        <w:ind w:right="60" w:firstLine="921"/>
        <w:spacing w:after="0" w:line="268" w:lineRule="auto"/>
        <w:tabs>
          <w:tab w:leader="none" w:pos="1161" w:val="left"/>
        </w:tabs>
        <w:numPr>
          <w:ilvl w:val="1"/>
          <w:numId w:val="34"/>
        </w:numPr>
        <w:rPr>
          <w:rFonts w:ascii="Arial" w:cs="Arial" w:eastAsia="Arial" w:hAnsi="Arial"/>
          <w:sz w:val="18"/>
          <w:szCs w:val="18"/>
          <w:color w:val="auto"/>
        </w:rPr>
      </w:pPr>
      <w:r>
        <w:rPr>
          <w:rFonts w:ascii="Arial" w:cs="Arial" w:eastAsia="Arial" w:hAnsi="Arial"/>
          <w:sz w:val="18"/>
          <w:szCs w:val="18"/>
          <w:u w:val="single" w:color="auto"/>
          <w:color w:val="auto"/>
        </w:rPr>
        <w:t>Expiration of Options</w:t>
      </w:r>
      <w:r>
        <w:rPr>
          <w:rFonts w:ascii="Arial" w:cs="Arial" w:eastAsia="Arial" w:hAnsi="Arial"/>
          <w:sz w:val="18"/>
          <w:szCs w:val="18"/>
          <w:color w:val="auto"/>
        </w:rPr>
        <w:t>. An Option granted under the Plan will expire upon the date determined by the Administrator, in its sole discretion, and set forth in the Award Agreement. Notwithstanding the foregoing, the rules of Section 8 also will apply to Options.</w:t>
      </w:r>
    </w:p>
    <w:p>
      <w:pPr>
        <w:spacing w:after="0" w:line="125" w:lineRule="exact"/>
        <w:rPr>
          <w:rFonts w:ascii="Arial" w:cs="Arial" w:eastAsia="Arial" w:hAnsi="Arial"/>
          <w:sz w:val="18"/>
          <w:szCs w:val="18"/>
          <w:color w:val="auto"/>
        </w:rPr>
      </w:pPr>
    </w:p>
    <w:p>
      <w:pPr>
        <w:ind w:left="720" w:hanging="256"/>
        <w:spacing w:after="0"/>
        <w:tabs>
          <w:tab w:leader="none" w:pos="720" w:val="left"/>
        </w:tabs>
        <w:numPr>
          <w:ilvl w:val="0"/>
          <w:numId w:val="35"/>
        </w:numPr>
        <w:rPr>
          <w:rFonts w:ascii="Arial" w:cs="Arial" w:eastAsia="Arial" w:hAnsi="Arial"/>
          <w:sz w:val="18"/>
          <w:szCs w:val="18"/>
          <w:b w:val="1"/>
          <w:bCs w:val="1"/>
          <w:color w:val="auto"/>
        </w:rPr>
      </w:pPr>
      <w:r>
        <w:rPr>
          <w:rFonts w:ascii="Arial" w:cs="Arial" w:eastAsia="Arial" w:hAnsi="Arial"/>
          <w:sz w:val="18"/>
          <w:szCs w:val="18"/>
          <w:b w:val="1"/>
          <w:bCs w:val="1"/>
          <w:color w:val="auto"/>
        </w:rPr>
        <w:t>Restricted Stock.</w:t>
      </w:r>
    </w:p>
    <w:p>
      <w:pPr>
        <w:spacing w:after="0" w:line="177" w:lineRule="exact"/>
        <w:rPr>
          <w:rFonts w:ascii="Arial" w:cs="Arial" w:eastAsia="Arial" w:hAnsi="Arial"/>
          <w:sz w:val="18"/>
          <w:szCs w:val="18"/>
          <w:b w:val="1"/>
          <w:bCs w:val="1"/>
          <w:color w:val="auto"/>
        </w:rPr>
      </w:pPr>
    </w:p>
    <w:p>
      <w:pPr>
        <w:ind w:right="40" w:firstLine="921"/>
        <w:spacing w:after="0" w:line="370" w:lineRule="auto"/>
        <w:tabs>
          <w:tab w:leader="none" w:pos="1152" w:val="left"/>
        </w:tabs>
        <w:numPr>
          <w:ilvl w:val="1"/>
          <w:numId w:val="35"/>
        </w:numPr>
        <w:rPr>
          <w:rFonts w:ascii="Arial" w:cs="Arial" w:eastAsia="Arial" w:hAnsi="Arial"/>
          <w:sz w:val="15"/>
          <w:szCs w:val="15"/>
          <w:color w:val="auto"/>
        </w:rPr>
      </w:pPr>
      <w:r>
        <w:rPr>
          <w:rFonts w:ascii="Arial" w:cs="Arial" w:eastAsia="Arial" w:hAnsi="Arial"/>
          <w:sz w:val="15"/>
          <w:szCs w:val="15"/>
          <w:u w:val="single" w:color="auto"/>
          <w:color w:val="auto"/>
        </w:rPr>
        <w:t>Grant of Restricted Stock</w:t>
      </w:r>
      <w:r>
        <w:rPr>
          <w:rFonts w:ascii="Arial" w:cs="Arial" w:eastAsia="Arial" w:hAnsi="Arial"/>
          <w:sz w:val="15"/>
          <w:szCs w:val="15"/>
          <w:color w:val="auto"/>
        </w:rPr>
        <w:t>. Subject to the terms and provisions of the Plan and pursuant to Section 5(i), the Administrator, may change or add automatic Awards granted pursuant to Section 5 to include Awards of Restricted Stock in such amounts as the Administrator, in its sole discretion, will determine.</w:t>
      </w:r>
    </w:p>
    <w:p>
      <w:pPr>
        <w:spacing w:after="0" w:line="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280" w:right="239" w:bottom="1440" w:gutter="0" w:footer="0" w:header="0"/>
        </w:sectPr>
      </w:pPr>
    </w:p>
    <w:bookmarkStart w:id="54" w:name="page55"/>
    <w:bookmarkEnd w:id="54"/>
    <w:p>
      <w:pPr>
        <w:ind w:left="-20" w:right="120" w:firstLine="921"/>
        <w:spacing w:after="0" w:line="256" w:lineRule="auto"/>
        <w:tabs>
          <w:tab w:leader="none" w:pos="1141"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Restricted Stock Agreement</w:t>
      </w:r>
      <w:r>
        <w:rPr>
          <w:rFonts w:ascii="Arial" w:cs="Arial" w:eastAsia="Arial" w:hAnsi="Arial"/>
          <w:sz w:val="18"/>
          <w:szCs w:val="18"/>
          <w:color w:val="auto"/>
        </w:rPr>
        <w:t>. Each Award of Restricted Stock will be evidenced by an Award Agreement that will specify the vesting criteria, number of Shares granted, and such other terms and conditions as the Administrator, in its sole discretion, will determine. An Award of Restricted Stock will not be fully vested until the period of restriction (“Period of Restriction”) has lapsed. Unless the Administrator determines otherwise, the Company as escrow agent will hold Shares of Restricted Stock until the restrictions on such Shares have lapsed.</w:t>
      </w:r>
    </w:p>
    <w:p>
      <w:pPr>
        <w:spacing w:after="0" w:line="143" w:lineRule="exact"/>
        <w:rPr>
          <w:rFonts w:ascii="Arial" w:cs="Arial" w:eastAsia="Arial" w:hAnsi="Arial"/>
          <w:sz w:val="18"/>
          <w:szCs w:val="18"/>
          <w:color w:val="auto"/>
        </w:rPr>
      </w:pPr>
    </w:p>
    <w:p>
      <w:pPr>
        <w:ind w:left="-20" w:right="340" w:firstLine="921"/>
        <w:spacing w:after="0" w:line="268" w:lineRule="auto"/>
        <w:tabs>
          <w:tab w:leader="none" w:pos="1132"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Other Restrictions</w:t>
      </w:r>
      <w:r>
        <w:rPr>
          <w:rFonts w:ascii="Arial" w:cs="Arial" w:eastAsia="Arial" w:hAnsi="Arial"/>
          <w:sz w:val="18"/>
          <w:szCs w:val="18"/>
          <w:color w:val="auto"/>
        </w:rPr>
        <w:t>. The Administrator, in its sole discretion, may impose such other restrictions on Shares of Restricted Stock as it may deem advisable or appropriate.</w:t>
      </w:r>
    </w:p>
    <w:p>
      <w:pPr>
        <w:spacing w:after="0" w:line="131" w:lineRule="exact"/>
        <w:rPr>
          <w:rFonts w:ascii="Arial" w:cs="Arial" w:eastAsia="Arial" w:hAnsi="Arial"/>
          <w:sz w:val="18"/>
          <w:szCs w:val="18"/>
          <w:color w:val="auto"/>
        </w:rPr>
      </w:pPr>
    </w:p>
    <w:p>
      <w:pPr>
        <w:ind w:left="-20" w:right="280" w:firstLine="921"/>
        <w:spacing w:after="0" w:line="259" w:lineRule="auto"/>
        <w:tabs>
          <w:tab w:leader="none" w:pos="1141"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Removal of Restrictions</w:t>
      </w:r>
      <w:r>
        <w:rPr>
          <w:rFonts w:ascii="Arial" w:cs="Arial" w:eastAsia="Arial" w:hAnsi="Arial"/>
          <w:sz w:val="18"/>
          <w:szCs w:val="18"/>
          <w:color w:val="auto"/>
        </w:rPr>
        <w:t>. Except as otherwise provided in the Plan, Shares of Restricted Stock covered by each Restricted Stock grant made under the Plan will be released from escrow as soon as practicable after the last day of the Period of Restriction or at such other time as the Administrator may determine.</w:t>
      </w:r>
    </w:p>
    <w:p>
      <w:pPr>
        <w:spacing w:after="0" w:line="140" w:lineRule="exact"/>
        <w:rPr>
          <w:rFonts w:ascii="Arial" w:cs="Arial" w:eastAsia="Arial" w:hAnsi="Arial"/>
          <w:sz w:val="18"/>
          <w:szCs w:val="18"/>
          <w:color w:val="auto"/>
        </w:rPr>
      </w:pPr>
    </w:p>
    <w:p>
      <w:pPr>
        <w:ind w:left="-20" w:right="40" w:firstLine="921"/>
        <w:spacing w:after="0" w:line="268" w:lineRule="auto"/>
        <w:tabs>
          <w:tab w:leader="none" w:pos="1132"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Voting Rights</w:t>
      </w:r>
      <w:r>
        <w:rPr>
          <w:rFonts w:ascii="Arial" w:cs="Arial" w:eastAsia="Arial" w:hAnsi="Arial"/>
          <w:sz w:val="18"/>
          <w:szCs w:val="18"/>
          <w:color w:val="auto"/>
        </w:rPr>
        <w:t>. During the Period of Restriction, Participants holding Shares of Restricted Stock granted hereunder may exercise full voting rights with respect to those Shares, unless the Administrator determines otherwise.</w:t>
      </w:r>
    </w:p>
    <w:p>
      <w:pPr>
        <w:spacing w:after="0" w:line="131" w:lineRule="exact"/>
        <w:rPr>
          <w:rFonts w:ascii="Arial" w:cs="Arial" w:eastAsia="Arial" w:hAnsi="Arial"/>
          <w:sz w:val="18"/>
          <w:szCs w:val="18"/>
          <w:color w:val="auto"/>
        </w:rPr>
      </w:pPr>
    </w:p>
    <w:p>
      <w:pPr>
        <w:ind w:left="-20" w:right="60" w:firstLine="921"/>
        <w:spacing w:after="0" w:line="256" w:lineRule="auto"/>
        <w:tabs>
          <w:tab w:leader="none" w:pos="1112"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Dividends and Other Distributions</w:t>
      </w:r>
      <w:r>
        <w:rPr>
          <w:rFonts w:ascii="Arial" w:cs="Arial" w:eastAsia="Arial" w:hAnsi="Arial"/>
          <w:sz w:val="18"/>
          <w:szCs w:val="18"/>
          <w:color w:val="auto"/>
        </w:rPr>
        <w:t>. During the Period of Restriction, Participants holding Shares of Restricted Stock will be entitled to receive all dividends and other distributions paid with respect to such Shares, unless the Administrator provides otherwise. If any such dividends or distributions are paid in Shares, the Shares will be subject to the same restrictions on transferability and forfeitability as the Shares of Restricted Stock with respect to which they were paid.</w:t>
      </w:r>
    </w:p>
    <w:p>
      <w:pPr>
        <w:spacing w:after="0" w:line="143" w:lineRule="exact"/>
        <w:rPr>
          <w:rFonts w:ascii="Arial" w:cs="Arial" w:eastAsia="Arial" w:hAnsi="Arial"/>
          <w:sz w:val="18"/>
          <w:szCs w:val="18"/>
          <w:color w:val="auto"/>
        </w:rPr>
      </w:pPr>
    </w:p>
    <w:p>
      <w:pPr>
        <w:ind w:left="-20" w:firstLine="921"/>
        <w:spacing w:after="0" w:line="268" w:lineRule="auto"/>
        <w:tabs>
          <w:tab w:leader="none" w:pos="1141"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Return of Restricted Stock to Company</w:t>
      </w:r>
      <w:r>
        <w:rPr>
          <w:rFonts w:ascii="Arial" w:cs="Arial" w:eastAsia="Arial" w:hAnsi="Arial"/>
          <w:sz w:val="18"/>
          <w:szCs w:val="18"/>
          <w:color w:val="auto"/>
        </w:rPr>
        <w:t>. On the date set forth in the Award Agreement, the Restricted Stock for which restrictions have not lapsed will revert to the Company and again will become available for grant under the Plan.</w:t>
      </w:r>
    </w:p>
    <w:p>
      <w:pPr>
        <w:spacing w:after="0" w:line="125" w:lineRule="exact"/>
        <w:rPr>
          <w:rFonts w:ascii="Arial" w:cs="Arial" w:eastAsia="Arial" w:hAnsi="Arial"/>
          <w:sz w:val="18"/>
          <w:szCs w:val="18"/>
          <w:color w:val="auto"/>
        </w:rPr>
      </w:pPr>
    </w:p>
    <w:p>
      <w:pPr>
        <w:ind w:left="700" w:hanging="256"/>
        <w:spacing w:after="0"/>
        <w:tabs>
          <w:tab w:leader="none" w:pos="700" w:val="left"/>
        </w:tabs>
        <w:numPr>
          <w:ilvl w:val="0"/>
          <w:numId w:val="37"/>
        </w:numPr>
        <w:rPr>
          <w:rFonts w:ascii="Arial" w:cs="Arial" w:eastAsia="Arial" w:hAnsi="Arial"/>
          <w:sz w:val="18"/>
          <w:szCs w:val="18"/>
          <w:b w:val="1"/>
          <w:bCs w:val="1"/>
          <w:color w:val="auto"/>
        </w:rPr>
      </w:pPr>
      <w:r>
        <w:rPr>
          <w:rFonts w:ascii="Arial" w:cs="Arial" w:eastAsia="Arial" w:hAnsi="Arial"/>
          <w:sz w:val="18"/>
          <w:szCs w:val="18"/>
          <w:b w:val="1"/>
          <w:bCs w:val="1"/>
          <w:color w:val="auto"/>
        </w:rPr>
        <w:t>Restricted Stock Units.</w:t>
      </w:r>
    </w:p>
    <w:p>
      <w:pPr>
        <w:spacing w:after="0" w:line="177" w:lineRule="exact"/>
        <w:rPr>
          <w:rFonts w:ascii="Arial" w:cs="Arial" w:eastAsia="Arial" w:hAnsi="Arial"/>
          <w:sz w:val="18"/>
          <w:szCs w:val="18"/>
          <w:b w:val="1"/>
          <w:bCs w:val="1"/>
          <w:color w:val="auto"/>
        </w:rPr>
      </w:pPr>
    </w:p>
    <w:p>
      <w:pPr>
        <w:ind w:left="-20" w:right="160" w:firstLine="921"/>
        <w:spacing w:after="0" w:line="259" w:lineRule="auto"/>
        <w:tabs>
          <w:tab w:leader="none" w:pos="1132" w:val="left"/>
        </w:tabs>
        <w:numPr>
          <w:ilvl w:val="1"/>
          <w:numId w:val="37"/>
        </w:numPr>
        <w:rPr>
          <w:rFonts w:ascii="Arial" w:cs="Arial" w:eastAsia="Arial" w:hAnsi="Arial"/>
          <w:sz w:val="18"/>
          <w:szCs w:val="18"/>
          <w:color w:val="auto"/>
        </w:rPr>
      </w:pPr>
      <w:r>
        <w:rPr>
          <w:rFonts w:ascii="Arial" w:cs="Arial" w:eastAsia="Arial" w:hAnsi="Arial"/>
          <w:sz w:val="18"/>
          <w:szCs w:val="18"/>
          <w:u w:val="single" w:color="auto"/>
          <w:color w:val="auto"/>
        </w:rPr>
        <w:t>Grant of Restricted Stock Units</w:t>
      </w:r>
      <w:r>
        <w:rPr>
          <w:rFonts w:ascii="Arial" w:cs="Arial" w:eastAsia="Arial" w:hAnsi="Arial"/>
          <w:sz w:val="18"/>
          <w:szCs w:val="18"/>
          <w:color w:val="auto"/>
        </w:rPr>
        <w:t>. Subject to the terms and provisions of the Plan and pursuant to Section 5(i), the Administrator, may change or add automatic Awards granted pursuant to Section 5 to include different or additional Awards of Restricted Stock Units in such amounts as the Administrator, in its sole discretion, will determine.</w:t>
      </w:r>
    </w:p>
    <w:p>
      <w:pPr>
        <w:spacing w:after="0" w:line="140" w:lineRule="exact"/>
        <w:rPr>
          <w:rFonts w:ascii="Arial" w:cs="Arial" w:eastAsia="Arial" w:hAnsi="Arial"/>
          <w:sz w:val="18"/>
          <w:szCs w:val="18"/>
          <w:color w:val="auto"/>
        </w:rPr>
      </w:pPr>
    </w:p>
    <w:p>
      <w:pPr>
        <w:ind w:left="-20" w:right="140" w:firstLine="921"/>
        <w:spacing w:after="0" w:line="332" w:lineRule="auto"/>
        <w:tabs>
          <w:tab w:leader="none" w:pos="1141" w:val="left"/>
        </w:tabs>
        <w:numPr>
          <w:ilvl w:val="1"/>
          <w:numId w:val="37"/>
        </w:numPr>
        <w:rPr>
          <w:rFonts w:ascii="Arial" w:cs="Arial" w:eastAsia="Arial" w:hAnsi="Arial"/>
          <w:sz w:val="16"/>
          <w:szCs w:val="16"/>
          <w:color w:val="auto"/>
        </w:rPr>
      </w:pPr>
      <w:r>
        <w:rPr>
          <w:rFonts w:ascii="Arial" w:cs="Arial" w:eastAsia="Arial" w:hAnsi="Arial"/>
          <w:sz w:val="16"/>
          <w:szCs w:val="16"/>
          <w:u w:val="single" w:color="auto"/>
          <w:color w:val="auto"/>
        </w:rPr>
        <w:t>Restricted Stock Unit Agreement</w:t>
      </w:r>
      <w:r>
        <w:rPr>
          <w:rFonts w:ascii="Arial" w:cs="Arial" w:eastAsia="Arial" w:hAnsi="Arial"/>
          <w:sz w:val="16"/>
          <w:szCs w:val="16"/>
          <w:color w:val="auto"/>
        </w:rPr>
        <w:t>. Each Award of Restricted Stock Units will be evidenced by an Award Agreement that will specify the vesting criteria, the number of Shares granted, and such other terms and conditions as the Administrator, in its sole discretion, will determine.</w:t>
      </w:r>
    </w:p>
    <w:p>
      <w:pPr>
        <w:spacing w:after="0" w:line="85" w:lineRule="exact"/>
        <w:rPr>
          <w:rFonts w:ascii="Arial" w:cs="Arial" w:eastAsia="Arial" w:hAnsi="Arial"/>
          <w:sz w:val="16"/>
          <w:szCs w:val="16"/>
          <w:color w:val="auto"/>
        </w:rPr>
      </w:pPr>
    </w:p>
    <w:p>
      <w:pPr>
        <w:ind w:left="1140" w:hanging="239"/>
        <w:spacing w:after="0"/>
        <w:tabs>
          <w:tab w:leader="none" w:pos="1140" w:val="left"/>
        </w:tabs>
        <w:numPr>
          <w:ilvl w:val="1"/>
          <w:numId w:val="37"/>
        </w:numPr>
        <w:rPr>
          <w:rFonts w:ascii="Arial" w:cs="Arial" w:eastAsia="Arial" w:hAnsi="Arial"/>
          <w:sz w:val="18"/>
          <w:szCs w:val="18"/>
          <w:color w:val="auto"/>
        </w:rPr>
      </w:pPr>
      <w:r>
        <w:rPr>
          <w:rFonts w:ascii="Arial" w:cs="Arial" w:eastAsia="Arial" w:hAnsi="Arial"/>
          <w:sz w:val="18"/>
          <w:szCs w:val="18"/>
          <w:u w:val="single" w:color="auto"/>
          <w:color w:val="auto"/>
        </w:rPr>
        <w:t>Vesting Criteria and Other Terms</w:t>
      </w:r>
      <w:r>
        <w:rPr>
          <w:rFonts w:ascii="Arial" w:cs="Arial" w:eastAsia="Arial" w:hAnsi="Arial"/>
          <w:sz w:val="18"/>
          <w:szCs w:val="18"/>
          <w:color w:val="auto"/>
        </w:rPr>
        <w:t>.</w:t>
      </w:r>
    </w:p>
    <w:p>
      <w:pPr>
        <w:spacing w:after="0" w:line="171" w:lineRule="exact"/>
        <w:rPr>
          <w:sz w:val="20"/>
          <w:szCs w:val="20"/>
          <w:color w:val="auto"/>
        </w:rPr>
      </w:pPr>
    </w:p>
    <w:p>
      <w:pPr>
        <w:ind w:left="-20" w:right="220" w:firstLine="1492"/>
        <w:spacing w:after="0" w:line="268" w:lineRule="auto"/>
        <w:tabs>
          <w:tab w:leader="none" w:pos="1673" w:val="left"/>
        </w:tabs>
        <w:numPr>
          <w:ilvl w:val="0"/>
          <w:numId w:val="38"/>
        </w:numPr>
        <w:rPr>
          <w:rFonts w:ascii="Arial" w:cs="Arial" w:eastAsia="Arial" w:hAnsi="Arial"/>
          <w:sz w:val="18"/>
          <w:szCs w:val="18"/>
          <w:color w:val="auto"/>
        </w:rPr>
      </w:pPr>
      <w:r>
        <w:rPr>
          <w:rFonts w:ascii="Arial" w:cs="Arial" w:eastAsia="Arial" w:hAnsi="Arial"/>
          <w:sz w:val="18"/>
          <w:szCs w:val="18"/>
          <w:color w:val="auto"/>
        </w:rPr>
        <w:t>The Administrator will set vesting criteria in its discretion, which, depending on the extent to which the criteria are met, will determine the number of Restricted</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00"/>
          </w:cols>
          <w:pgMar w:left="260" w:top="280" w:right="239" w:bottom="1440" w:gutter="0" w:footer="0" w:header="0"/>
        </w:sectPr>
      </w:pPr>
    </w:p>
    <w:bookmarkStart w:id="55" w:name="page56"/>
    <w:bookmarkEnd w:id="55"/>
    <w:p>
      <w:pPr>
        <w:jc w:val="both"/>
        <w:ind w:right="1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Stock Units that will be paid out to the Participant. The Administrator may set vesting criteria based upon the achievement of Company-wide, business unit, or individual goals (including, but not limited to, continued employment or status as a Service Provider), or any other basis determined by the Administrator in its discretion.</w:t>
      </w:r>
    </w:p>
    <w:p>
      <w:pPr>
        <w:spacing w:after="0" w:line="140" w:lineRule="exact"/>
        <w:rPr>
          <w:sz w:val="20"/>
          <w:szCs w:val="20"/>
          <w:color w:val="auto"/>
        </w:rPr>
      </w:pPr>
    </w:p>
    <w:p>
      <w:pPr>
        <w:ind w:right="160" w:firstLine="1492"/>
        <w:spacing w:after="0" w:line="306" w:lineRule="auto"/>
        <w:tabs>
          <w:tab w:leader="none" w:pos="1742" w:val="left"/>
        </w:tabs>
        <w:numPr>
          <w:ilvl w:val="2"/>
          <w:numId w:val="39"/>
        </w:numPr>
        <w:rPr>
          <w:rFonts w:ascii="Arial" w:cs="Arial" w:eastAsia="Arial" w:hAnsi="Arial"/>
          <w:sz w:val="16"/>
          <w:szCs w:val="16"/>
          <w:color w:val="auto"/>
        </w:rPr>
      </w:pPr>
      <w:r>
        <w:rPr>
          <w:rFonts w:ascii="Arial" w:cs="Arial" w:eastAsia="Arial" w:hAnsi="Arial"/>
          <w:sz w:val="16"/>
          <w:szCs w:val="16"/>
          <w:color w:val="auto"/>
        </w:rPr>
        <w:t>Each Annual RSU Award will vest and become exercisable as to one hundred percent (100%) of the Shares subject to the Annual RSU Award on the earlier of the next Annual General Meeting or the one year anniversary of the Annual RSU Award grant date (or on the last day of the month, if there is no corresponding date); provided that the Outside Director continues to serve as a Service Provider through such date.</w:t>
      </w:r>
    </w:p>
    <w:p>
      <w:pPr>
        <w:spacing w:after="0" w:line="106" w:lineRule="exact"/>
        <w:rPr>
          <w:rFonts w:ascii="Arial" w:cs="Arial" w:eastAsia="Arial" w:hAnsi="Arial"/>
          <w:sz w:val="16"/>
          <w:szCs w:val="16"/>
          <w:color w:val="auto"/>
        </w:rPr>
      </w:pPr>
    </w:p>
    <w:p>
      <w:pPr>
        <w:ind w:firstLine="921"/>
        <w:spacing w:after="0" w:line="306" w:lineRule="auto"/>
        <w:tabs>
          <w:tab w:leader="none" w:pos="1161" w:val="left"/>
        </w:tabs>
        <w:numPr>
          <w:ilvl w:val="1"/>
          <w:numId w:val="40"/>
        </w:numPr>
        <w:rPr>
          <w:rFonts w:ascii="Arial" w:cs="Arial" w:eastAsia="Arial" w:hAnsi="Arial"/>
          <w:sz w:val="16"/>
          <w:szCs w:val="16"/>
          <w:color w:val="auto"/>
        </w:rPr>
      </w:pPr>
      <w:r>
        <w:rPr>
          <w:rFonts w:ascii="Arial" w:cs="Arial" w:eastAsia="Arial" w:hAnsi="Arial"/>
          <w:sz w:val="16"/>
          <w:szCs w:val="16"/>
          <w:u w:val="single" w:color="auto"/>
          <w:color w:val="auto"/>
        </w:rPr>
        <w:t>Form and Timing of Payment</w:t>
      </w:r>
      <w:r>
        <w:rPr>
          <w:rFonts w:ascii="Arial" w:cs="Arial" w:eastAsia="Arial" w:hAnsi="Arial"/>
          <w:sz w:val="16"/>
          <w:szCs w:val="16"/>
          <w:color w:val="auto"/>
        </w:rPr>
        <w:t>. Upon meeting the applicable vesting criteria, the Participant will be entitled to receive a payout as determined by the Administrator. Payment of earned Restricted Stock Units will be made as soon as practicable after the date(s) determined by the Administrator and set forth in the Award Agreement. The Administrator, in its sole discretion, may only settle earned Restricted Stock Units in cash, Shares, or a combination of both.</w:t>
      </w:r>
    </w:p>
    <w:p>
      <w:pPr>
        <w:spacing w:after="0" w:line="106" w:lineRule="exact"/>
        <w:rPr>
          <w:rFonts w:ascii="Arial" w:cs="Arial" w:eastAsia="Arial" w:hAnsi="Arial"/>
          <w:sz w:val="16"/>
          <w:szCs w:val="16"/>
          <w:color w:val="auto"/>
        </w:rPr>
      </w:pPr>
    </w:p>
    <w:p>
      <w:pPr>
        <w:ind w:left="1160" w:hanging="239"/>
        <w:spacing w:after="0"/>
        <w:tabs>
          <w:tab w:leader="none" w:pos="1160" w:val="left"/>
        </w:tabs>
        <w:numPr>
          <w:ilvl w:val="1"/>
          <w:numId w:val="40"/>
        </w:numPr>
        <w:rPr>
          <w:rFonts w:ascii="Arial" w:cs="Arial" w:eastAsia="Arial" w:hAnsi="Arial"/>
          <w:sz w:val="16"/>
          <w:szCs w:val="16"/>
          <w:color w:val="auto"/>
        </w:rPr>
      </w:pPr>
      <w:r>
        <w:rPr>
          <w:rFonts w:ascii="Arial" w:cs="Arial" w:eastAsia="Arial" w:hAnsi="Arial"/>
          <w:sz w:val="16"/>
          <w:szCs w:val="16"/>
          <w:u w:val="single" w:color="auto"/>
          <w:color w:val="auto"/>
        </w:rPr>
        <w:t>Cancellation</w:t>
      </w:r>
      <w:r>
        <w:rPr>
          <w:rFonts w:ascii="Arial" w:cs="Arial" w:eastAsia="Arial" w:hAnsi="Arial"/>
          <w:sz w:val="16"/>
          <w:szCs w:val="16"/>
          <w:color w:val="auto"/>
        </w:rPr>
        <w:t>. On the date set forth in the Award Agreement, all unearned Restricted Stock Units will be forfeited to the Company.</w:t>
      </w:r>
    </w:p>
    <w:p>
      <w:pPr>
        <w:spacing w:after="0" w:line="188" w:lineRule="exact"/>
        <w:rPr>
          <w:rFonts w:ascii="Arial" w:cs="Arial" w:eastAsia="Arial" w:hAnsi="Arial"/>
          <w:sz w:val="16"/>
          <w:szCs w:val="16"/>
          <w:color w:val="auto"/>
        </w:rPr>
      </w:pPr>
    </w:p>
    <w:p>
      <w:pPr>
        <w:ind w:left="720" w:hanging="256"/>
        <w:spacing w:after="0"/>
        <w:tabs>
          <w:tab w:leader="none" w:pos="720" w:val="left"/>
        </w:tabs>
        <w:numPr>
          <w:ilvl w:val="0"/>
          <w:numId w:val="41"/>
        </w:numPr>
        <w:rPr>
          <w:rFonts w:ascii="Arial" w:cs="Arial" w:eastAsia="Arial" w:hAnsi="Arial"/>
          <w:sz w:val="18"/>
          <w:szCs w:val="18"/>
          <w:b w:val="1"/>
          <w:bCs w:val="1"/>
          <w:color w:val="auto"/>
        </w:rPr>
      </w:pPr>
      <w:r>
        <w:rPr>
          <w:rFonts w:ascii="Arial" w:cs="Arial" w:eastAsia="Arial" w:hAnsi="Arial"/>
          <w:sz w:val="18"/>
          <w:szCs w:val="18"/>
          <w:b w:val="1"/>
          <w:bCs w:val="1"/>
          <w:color w:val="auto"/>
        </w:rPr>
        <w:t>Stock Appreciation Rights.</w:t>
      </w:r>
    </w:p>
    <w:p>
      <w:pPr>
        <w:spacing w:after="0" w:line="177" w:lineRule="exact"/>
        <w:rPr>
          <w:rFonts w:ascii="Arial" w:cs="Arial" w:eastAsia="Arial" w:hAnsi="Arial"/>
          <w:sz w:val="18"/>
          <w:szCs w:val="18"/>
          <w:b w:val="1"/>
          <w:bCs w:val="1"/>
          <w:color w:val="auto"/>
        </w:rPr>
      </w:pPr>
    </w:p>
    <w:p>
      <w:pPr>
        <w:ind w:right="100" w:firstLine="921"/>
        <w:spacing w:after="0" w:line="268" w:lineRule="auto"/>
        <w:tabs>
          <w:tab w:leader="none" w:pos="1152" w:val="left"/>
        </w:tabs>
        <w:numPr>
          <w:ilvl w:val="1"/>
          <w:numId w:val="41"/>
        </w:numPr>
        <w:rPr>
          <w:rFonts w:ascii="Arial" w:cs="Arial" w:eastAsia="Arial" w:hAnsi="Arial"/>
          <w:sz w:val="18"/>
          <w:szCs w:val="18"/>
          <w:color w:val="auto"/>
        </w:rPr>
      </w:pPr>
      <w:r>
        <w:rPr>
          <w:rFonts w:ascii="Arial" w:cs="Arial" w:eastAsia="Arial" w:hAnsi="Arial"/>
          <w:sz w:val="18"/>
          <w:szCs w:val="18"/>
          <w:u w:val="single" w:color="auto"/>
          <w:color w:val="auto"/>
        </w:rPr>
        <w:t>Grant of Stock Appreciation Rights</w:t>
      </w:r>
      <w:r>
        <w:rPr>
          <w:rFonts w:ascii="Arial" w:cs="Arial" w:eastAsia="Arial" w:hAnsi="Arial"/>
          <w:sz w:val="18"/>
          <w:szCs w:val="18"/>
          <w:color w:val="auto"/>
        </w:rPr>
        <w:t>. Subject to the terms and provisions of the Plan and pursuant to Section 5(i), the Administrator, may change or add automatic Awards granted pursuant to Section 5 to include Awards of Stock Appreciation Rights.</w:t>
      </w:r>
    </w:p>
    <w:p>
      <w:pPr>
        <w:spacing w:after="0" w:line="131" w:lineRule="exact"/>
        <w:rPr>
          <w:rFonts w:ascii="Arial" w:cs="Arial" w:eastAsia="Arial" w:hAnsi="Arial"/>
          <w:sz w:val="18"/>
          <w:szCs w:val="18"/>
          <w:color w:val="auto"/>
        </w:rPr>
      </w:pPr>
    </w:p>
    <w:p>
      <w:pPr>
        <w:ind w:right="440" w:firstLine="921"/>
        <w:spacing w:after="0" w:line="259" w:lineRule="auto"/>
        <w:tabs>
          <w:tab w:leader="none" w:pos="1161" w:val="left"/>
        </w:tabs>
        <w:numPr>
          <w:ilvl w:val="1"/>
          <w:numId w:val="41"/>
        </w:numPr>
        <w:rPr>
          <w:rFonts w:ascii="Arial" w:cs="Arial" w:eastAsia="Arial" w:hAnsi="Arial"/>
          <w:sz w:val="18"/>
          <w:szCs w:val="18"/>
          <w:color w:val="auto"/>
        </w:rPr>
      </w:pPr>
      <w:r>
        <w:rPr>
          <w:rFonts w:ascii="Arial" w:cs="Arial" w:eastAsia="Arial" w:hAnsi="Arial"/>
          <w:sz w:val="18"/>
          <w:szCs w:val="18"/>
          <w:u w:val="single" w:color="auto"/>
          <w:color w:val="auto"/>
        </w:rPr>
        <w:t>Stock Appreciation Right Agreement</w:t>
      </w:r>
      <w:r>
        <w:rPr>
          <w:rFonts w:ascii="Arial" w:cs="Arial" w:eastAsia="Arial" w:hAnsi="Arial"/>
          <w:sz w:val="18"/>
          <w:szCs w:val="18"/>
          <w:color w:val="auto"/>
        </w:rPr>
        <w:t>. Each Stock Appreciation Right grant will be evidenced by an Award Agreement that will specify the exercise price, the term of the Stock Appreciation Right, the conditions of exercise, and such other terms and conditions as the Administrator, in its sole discretion, will determine.</w:t>
      </w:r>
    </w:p>
    <w:p>
      <w:pPr>
        <w:spacing w:after="0" w:line="140" w:lineRule="exact"/>
        <w:rPr>
          <w:rFonts w:ascii="Arial" w:cs="Arial" w:eastAsia="Arial" w:hAnsi="Arial"/>
          <w:sz w:val="18"/>
          <w:szCs w:val="18"/>
          <w:color w:val="auto"/>
        </w:rPr>
      </w:pPr>
    </w:p>
    <w:p>
      <w:pPr>
        <w:ind w:right="220" w:firstLine="921"/>
        <w:spacing w:after="0" w:line="268" w:lineRule="auto"/>
        <w:tabs>
          <w:tab w:leader="none" w:pos="1152" w:val="left"/>
        </w:tabs>
        <w:numPr>
          <w:ilvl w:val="1"/>
          <w:numId w:val="41"/>
        </w:numPr>
        <w:rPr>
          <w:rFonts w:ascii="Arial" w:cs="Arial" w:eastAsia="Arial" w:hAnsi="Arial"/>
          <w:sz w:val="18"/>
          <w:szCs w:val="18"/>
          <w:color w:val="auto"/>
        </w:rPr>
      </w:pPr>
      <w:r>
        <w:rPr>
          <w:rFonts w:ascii="Arial" w:cs="Arial" w:eastAsia="Arial" w:hAnsi="Arial"/>
          <w:sz w:val="18"/>
          <w:szCs w:val="18"/>
          <w:u w:val="single" w:color="auto"/>
          <w:color w:val="auto"/>
        </w:rPr>
        <w:t>Exercise Price</w:t>
      </w:r>
      <w:r>
        <w:rPr>
          <w:rFonts w:ascii="Arial" w:cs="Arial" w:eastAsia="Arial" w:hAnsi="Arial"/>
          <w:sz w:val="18"/>
          <w:szCs w:val="18"/>
          <w:color w:val="auto"/>
        </w:rPr>
        <w:t>. The per share exercise price for the Shares to be issued pursuant to exercise of a Stock Appreciation Right will be one hundred percent (100%) of the Fair Market Value on the date of grant.</w:t>
      </w:r>
    </w:p>
    <w:p>
      <w:pPr>
        <w:spacing w:after="0" w:line="131" w:lineRule="exact"/>
        <w:rPr>
          <w:rFonts w:ascii="Arial" w:cs="Arial" w:eastAsia="Arial" w:hAnsi="Arial"/>
          <w:sz w:val="18"/>
          <w:szCs w:val="18"/>
          <w:color w:val="auto"/>
        </w:rPr>
      </w:pPr>
    </w:p>
    <w:p>
      <w:pPr>
        <w:jc w:val="both"/>
        <w:ind w:right="600" w:firstLine="921"/>
        <w:spacing w:after="0" w:line="259" w:lineRule="auto"/>
        <w:tabs>
          <w:tab w:leader="none" w:pos="1161" w:val="left"/>
        </w:tabs>
        <w:numPr>
          <w:ilvl w:val="1"/>
          <w:numId w:val="41"/>
        </w:numPr>
        <w:rPr>
          <w:rFonts w:ascii="Arial" w:cs="Arial" w:eastAsia="Arial" w:hAnsi="Arial"/>
          <w:sz w:val="18"/>
          <w:szCs w:val="18"/>
          <w:color w:val="auto"/>
        </w:rPr>
      </w:pPr>
      <w:r>
        <w:rPr>
          <w:rFonts w:ascii="Arial" w:cs="Arial" w:eastAsia="Arial" w:hAnsi="Arial"/>
          <w:sz w:val="18"/>
          <w:szCs w:val="18"/>
          <w:u w:val="single" w:color="auto"/>
          <w:color w:val="auto"/>
        </w:rPr>
        <w:t>Expiration of Stock Appreciation Rights</w:t>
      </w:r>
      <w:r>
        <w:rPr>
          <w:rFonts w:ascii="Arial" w:cs="Arial" w:eastAsia="Arial" w:hAnsi="Arial"/>
          <w:sz w:val="18"/>
          <w:szCs w:val="18"/>
          <w:color w:val="auto"/>
        </w:rPr>
        <w:t>. A Stock Appreciation Right granted under the Plan will expire upon the date determined by the Administrator, in its sole discretion, and set forth in the Award Agreement. Notwithstanding the foregoing, the rules of Section 8 also will apply to Stock Appreciation Rights.</w:t>
      </w:r>
    </w:p>
    <w:p>
      <w:pPr>
        <w:spacing w:after="0" w:line="140" w:lineRule="exact"/>
        <w:rPr>
          <w:rFonts w:ascii="Arial" w:cs="Arial" w:eastAsia="Arial" w:hAnsi="Arial"/>
          <w:sz w:val="18"/>
          <w:szCs w:val="18"/>
          <w:color w:val="auto"/>
        </w:rPr>
      </w:pPr>
    </w:p>
    <w:p>
      <w:pPr>
        <w:ind w:right="260" w:firstLine="921"/>
        <w:spacing w:after="0" w:line="268" w:lineRule="auto"/>
        <w:tabs>
          <w:tab w:leader="none" w:pos="1152" w:val="left"/>
        </w:tabs>
        <w:numPr>
          <w:ilvl w:val="1"/>
          <w:numId w:val="41"/>
        </w:numPr>
        <w:rPr>
          <w:rFonts w:ascii="Arial" w:cs="Arial" w:eastAsia="Arial" w:hAnsi="Arial"/>
          <w:sz w:val="18"/>
          <w:szCs w:val="18"/>
          <w:color w:val="auto"/>
        </w:rPr>
      </w:pPr>
      <w:r>
        <w:rPr>
          <w:rFonts w:ascii="Arial" w:cs="Arial" w:eastAsia="Arial" w:hAnsi="Arial"/>
          <w:sz w:val="18"/>
          <w:szCs w:val="18"/>
          <w:u w:val="single" w:color="auto"/>
          <w:color w:val="auto"/>
        </w:rPr>
        <w:t>Payment of Stock Appreciation Right Amount</w:t>
      </w:r>
      <w:r>
        <w:rPr>
          <w:rFonts w:ascii="Arial" w:cs="Arial" w:eastAsia="Arial" w:hAnsi="Arial"/>
          <w:sz w:val="18"/>
          <w:szCs w:val="18"/>
          <w:color w:val="auto"/>
        </w:rPr>
        <w:t>. Upon exercise of a Stock Appreciation Right, a Participant will be entitled to receive payment from the Company in an amount determined by multiplying:</w:t>
      </w:r>
    </w:p>
    <w:p>
      <w:pPr>
        <w:spacing w:after="0" w:line="131" w:lineRule="exact"/>
        <w:rPr>
          <w:rFonts w:ascii="Arial" w:cs="Arial" w:eastAsia="Arial" w:hAnsi="Arial"/>
          <w:sz w:val="18"/>
          <w:szCs w:val="18"/>
          <w:color w:val="auto"/>
        </w:rPr>
      </w:pPr>
    </w:p>
    <w:p>
      <w:pPr>
        <w:ind w:left="1700" w:hanging="208"/>
        <w:spacing w:after="0"/>
        <w:tabs>
          <w:tab w:leader="none" w:pos="1700" w:val="left"/>
        </w:tabs>
        <w:numPr>
          <w:ilvl w:val="2"/>
          <w:numId w:val="41"/>
        </w:numPr>
        <w:rPr>
          <w:rFonts w:ascii="Arial" w:cs="Arial" w:eastAsia="Arial" w:hAnsi="Arial"/>
          <w:sz w:val="18"/>
          <w:szCs w:val="18"/>
          <w:color w:val="auto"/>
        </w:rPr>
      </w:pPr>
      <w:r>
        <w:rPr>
          <w:rFonts w:ascii="Arial" w:cs="Arial" w:eastAsia="Arial" w:hAnsi="Arial"/>
          <w:sz w:val="18"/>
          <w:szCs w:val="18"/>
          <w:color w:val="auto"/>
        </w:rPr>
        <w:t xml:space="preserve">The difference between the Fair Market Value of a Share on the date of exercise over the exercise price; </w:t>
      </w:r>
      <w:r>
        <w:rPr>
          <w:rFonts w:ascii="Arial" w:cs="Arial" w:eastAsia="Arial" w:hAnsi="Arial"/>
          <w:sz w:val="18"/>
          <w:szCs w:val="18"/>
          <w:i w:val="1"/>
          <w:iCs w:val="1"/>
          <w:color w:val="auto"/>
        </w:rPr>
        <w:t>times</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380"/>
          </w:cols>
          <w:pgMar w:left="240" w:top="280" w:right="279" w:bottom="1440" w:gutter="0" w:footer="0" w:header="0"/>
        </w:sectPr>
      </w:pPr>
    </w:p>
    <w:bookmarkStart w:id="56" w:name="page57"/>
    <w:bookmarkEnd w:id="56"/>
    <w:p>
      <w:pPr>
        <w:ind w:left="15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(ii) The number of Shares with respect to which the Stock Appreciation Right is exercised.</w:t>
      </w:r>
    </w:p>
    <w:p>
      <w:pPr>
        <w:spacing w:after="0" w:line="171" w:lineRule="exact"/>
        <w:rPr>
          <w:sz w:val="20"/>
          <w:szCs w:val="20"/>
          <w:color w:val="auto"/>
        </w:rPr>
      </w:pPr>
    </w:p>
    <w:p>
      <w:pPr>
        <w:ind w:firstLine="913"/>
        <w:spacing w:after="0" w:line="268" w:lineRule="auto"/>
        <w:rPr>
          <w:sz w:val="20"/>
          <w:szCs w:val="20"/>
          <w:color w:val="auto"/>
        </w:rPr>
      </w:pPr>
      <w:r>
        <w:rPr>
          <w:rFonts w:ascii="Arial" w:cs="Arial" w:eastAsia="Arial" w:hAnsi="Arial"/>
          <w:sz w:val="18"/>
          <w:szCs w:val="18"/>
          <w:color w:val="auto"/>
        </w:rPr>
        <w:t>At the discretion of the Administrator, the payment upon Stock Appreciation Right exercise may be in cash, in Shares of equivalent value, or in some combination thereof.</w:t>
      </w:r>
    </w:p>
    <w:p>
      <w:pPr>
        <w:spacing w:after="0" w:line="126" w:lineRule="exact"/>
        <w:rPr>
          <w:sz w:val="20"/>
          <w:szCs w:val="20"/>
          <w:color w:val="auto"/>
        </w:rPr>
      </w:pPr>
    </w:p>
    <w:p>
      <w:pPr>
        <w:ind w:left="720" w:hanging="256"/>
        <w:spacing w:after="0"/>
        <w:tabs>
          <w:tab w:leader="none" w:pos="720" w:val="left"/>
        </w:tabs>
        <w:numPr>
          <w:ilvl w:val="0"/>
          <w:numId w:val="42"/>
        </w:numPr>
        <w:rPr>
          <w:rFonts w:ascii="Arial" w:cs="Arial" w:eastAsia="Arial" w:hAnsi="Arial"/>
          <w:sz w:val="18"/>
          <w:szCs w:val="18"/>
          <w:b w:val="1"/>
          <w:bCs w:val="1"/>
          <w:color w:val="auto"/>
        </w:rPr>
      </w:pPr>
      <w:r>
        <w:rPr>
          <w:rFonts w:ascii="Arial" w:cs="Arial" w:eastAsia="Arial" w:hAnsi="Arial"/>
          <w:sz w:val="18"/>
          <w:szCs w:val="18"/>
          <w:b w:val="1"/>
          <w:bCs w:val="1"/>
          <w:color w:val="auto"/>
        </w:rPr>
        <w:t>Performance Units and Performance Shares.</w:t>
      </w:r>
    </w:p>
    <w:p>
      <w:pPr>
        <w:spacing w:after="0" w:line="177" w:lineRule="exact"/>
        <w:rPr>
          <w:rFonts w:ascii="Arial" w:cs="Arial" w:eastAsia="Arial" w:hAnsi="Arial"/>
          <w:sz w:val="18"/>
          <w:szCs w:val="18"/>
          <w:b w:val="1"/>
          <w:bCs w:val="1"/>
          <w:color w:val="auto"/>
        </w:rPr>
      </w:pPr>
    </w:p>
    <w:p>
      <w:pPr>
        <w:ind w:right="180" w:firstLine="921"/>
        <w:spacing w:after="0" w:line="259" w:lineRule="auto"/>
        <w:tabs>
          <w:tab w:leader="none" w:pos="1152" w:val="left"/>
        </w:tabs>
        <w:numPr>
          <w:ilvl w:val="1"/>
          <w:numId w:val="42"/>
        </w:numPr>
        <w:rPr>
          <w:rFonts w:ascii="Arial" w:cs="Arial" w:eastAsia="Arial" w:hAnsi="Arial"/>
          <w:sz w:val="18"/>
          <w:szCs w:val="18"/>
          <w:color w:val="auto"/>
        </w:rPr>
      </w:pPr>
      <w:r>
        <w:rPr>
          <w:rFonts w:ascii="Arial" w:cs="Arial" w:eastAsia="Arial" w:hAnsi="Arial"/>
          <w:sz w:val="18"/>
          <w:szCs w:val="18"/>
          <w:u w:val="single" w:color="auto"/>
          <w:color w:val="auto"/>
        </w:rPr>
        <w:t>Grant of Performance Units/Shares</w:t>
      </w:r>
      <w:r>
        <w:rPr>
          <w:rFonts w:ascii="Arial" w:cs="Arial" w:eastAsia="Arial" w:hAnsi="Arial"/>
          <w:sz w:val="18"/>
          <w:szCs w:val="18"/>
          <w:color w:val="auto"/>
        </w:rPr>
        <w:t>. Performance Units and Performance Shares may be granted to Service Providers at any time and from time to time, as will be determined by the Administrator, in its sole discretion. The Administrator will have complete discretion in determining the number of Performance Units and Performance Shares granted to each Participant.</w:t>
      </w:r>
    </w:p>
    <w:p>
      <w:pPr>
        <w:spacing w:after="0" w:line="140" w:lineRule="exact"/>
        <w:rPr>
          <w:rFonts w:ascii="Arial" w:cs="Arial" w:eastAsia="Arial" w:hAnsi="Arial"/>
          <w:sz w:val="18"/>
          <w:szCs w:val="18"/>
          <w:color w:val="auto"/>
        </w:rPr>
      </w:pPr>
    </w:p>
    <w:p>
      <w:pPr>
        <w:ind w:right="300" w:firstLine="921"/>
        <w:spacing w:after="0" w:line="332" w:lineRule="auto"/>
        <w:tabs>
          <w:tab w:leader="none" w:pos="1161" w:val="left"/>
        </w:tabs>
        <w:numPr>
          <w:ilvl w:val="1"/>
          <w:numId w:val="42"/>
        </w:numPr>
        <w:rPr>
          <w:rFonts w:ascii="Arial" w:cs="Arial" w:eastAsia="Arial" w:hAnsi="Arial"/>
          <w:sz w:val="16"/>
          <w:szCs w:val="16"/>
          <w:color w:val="auto"/>
        </w:rPr>
      </w:pPr>
      <w:r>
        <w:rPr>
          <w:rFonts w:ascii="Arial" w:cs="Arial" w:eastAsia="Arial" w:hAnsi="Arial"/>
          <w:sz w:val="16"/>
          <w:szCs w:val="16"/>
          <w:u w:val="single" w:color="auto"/>
          <w:color w:val="auto"/>
        </w:rPr>
        <w:t>Value of Performance Units/Shares</w:t>
      </w:r>
      <w:r>
        <w:rPr>
          <w:rFonts w:ascii="Arial" w:cs="Arial" w:eastAsia="Arial" w:hAnsi="Arial"/>
          <w:sz w:val="16"/>
          <w:szCs w:val="16"/>
          <w:color w:val="auto"/>
        </w:rPr>
        <w:t>. Each Performance Unit will have an initial value that is established by the Administrator on or before the date of grant. Each Performance Share will have an initial value equal to the Fair Market Value of a Share on the date of grant.</w:t>
      </w:r>
    </w:p>
    <w:p>
      <w:pPr>
        <w:spacing w:after="0" w:line="85" w:lineRule="exact"/>
        <w:rPr>
          <w:rFonts w:ascii="Arial" w:cs="Arial" w:eastAsia="Arial" w:hAnsi="Arial"/>
          <w:sz w:val="16"/>
          <w:szCs w:val="16"/>
          <w:color w:val="auto"/>
        </w:rPr>
      </w:pPr>
    </w:p>
    <w:p>
      <w:pPr>
        <w:ind w:right="80" w:firstLine="921"/>
        <w:spacing w:after="0" w:line="290" w:lineRule="auto"/>
        <w:tabs>
          <w:tab w:leader="none" w:pos="1152" w:val="left"/>
        </w:tabs>
        <w:numPr>
          <w:ilvl w:val="1"/>
          <w:numId w:val="42"/>
        </w:numPr>
        <w:rPr>
          <w:rFonts w:ascii="Arial" w:cs="Arial" w:eastAsia="Arial" w:hAnsi="Arial"/>
          <w:sz w:val="16"/>
          <w:szCs w:val="16"/>
          <w:color w:val="auto"/>
        </w:rPr>
      </w:pPr>
      <w:r>
        <w:rPr>
          <w:rFonts w:ascii="Arial" w:cs="Arial" w:eastAsia="Arial" w:hAnsi="Arial"/>
          <w:sz w:val="16"/>
          <w:szCs w:val="16"/>
          <w:u w:val="single" w:color="auto"/>
          <w:color w:val="auto"/>
        </w:rPr>
        <w:t>Performance Objectives and Other Terms</w:t>
      </w:r>
      <w:r>
        <w:rPr>
          <w:rFonts w:ascii="Arial" w:cs="Arial" w:eastAsia="Arial" w:hAnsi="Arial"/>
          <w:sz w:val="16"/>
          <w:szCs w:val="16"/>
          <w:color w:val="auto"/>
        </w:rPr>
        <w:t>. The Administrator will set performance objectives or other vesting provisions (including, without limitation, continued status as a Service Provider) in its discretion which, depending on the extent to which they are met, will determine the number or value of Performance Units/Shares that will be paid out to the Service Providers. The time period during which the performance objectives or other vesting provisions must be met will be called the “Performance Period.” Each Award of Performance Units/Shares will be evidenced by an Award Agreement that will specify the Performance Period, and such other terms and conditions as the Administrator, in its sole discretion, will determine. The Administrator may set performance objectives based upon the achievement of Company-wide, divisional or individual goals, applicable federal or state securities laws, or any other basis determined by the Administrator in its discretion.</w:t>
      </w:r>
    </w:p>
    <w:p>
      <w:pPr>
        <w:spacing w:after="0" w:line="118" w:lineRule="exact"/>
        <w:rPr>
          <w:rFonts w:ascii="Arial" w:cs="Arial" w:eastAsia="Arial" w:hAnsi="Arial"/>
          <w:sz w:val="16"/>
          <w:szCs w:val="16"/>
          <w:color w:val="auto"/>
        </w:rPr>
      </w:pPr>
    </w:p>
    <w:p>
      <w:pPr>
        <w:ind w:right="160" w:firstLine="921"/>
        <w:spacing w:after="0" w:line="298" w:lineRule="auto"/>
        <w:tabs>
          <w:tab w:leader="none" w:pos="1161" w:val="left"/>
        </w:tabs>
        <w:numPr>
          <w:ilvl w:val="1"/>
          <w:numId w:val="42"/>
        </w:numPr>
        <w:rPr>
          <w:rFonts w:ascii="Arial" w:cs="Arial" w:eastAsia="Arial" w:hAnsi="Arial"/>
          <w:sz w:val="16"/>
          <w:szCs w:val="16"/>
          <w:color w:val="auto"/>
        </w:rPr>
      </w:pPr>
      <w:r>
        <w:rPr>
          <w:rFonts w:ascii="Arial" w:cs="Arial" w:eastAsia="Arial" w:hAnsi="Arial"/>
          <w:sz w:val="16"/>
          <w:szCs w:val="16"/>
          <w:u w:val="single" w:color="auto"/>
          <w:color w:val="auto"/>
        </w:rPr>
        <w:t>Earning of Performance Units/Shares</w:t>
      </w:r>
      <w:r>
        <w:rPr>
          <w:rFonts w:ascii="Arial" w:cs="Arial" w:eastAsia="Arial" w:hAnsi="Arial"/>
          <w:sz w:val="16"/>
          <w:szCs w:val="16"/>
          <w:color w:val="auto"/>
        </w:rPr>
        <w:t>. After the applicable Performance Period has ended, the holder of Performance Units/Shares will be entitled to receive a payout of the number of Performance Units/Shares earned by the Participant over the Performance Period, to be determined as a function of the extent to which the corresponding performance objectives or other vesting provisions have been achieved. After the grant of a Performance Unit/Share, the Administrator, in its sole discretion, may reduce or waive any performance objectives or other vesting provisions for such Performance Unit/Share.</w:t>
      </w:r>
    </w:p>
    <w:p>
      <w:pPr>
        <w:spacing w:after="0" w:line="112" w:lineRule="exact"/>
        <w:rPr>
          <w:rFonts w:ascii="Arial" w:cs="Arial" w:eastAsia="Arial" w:hAnsi="Arial"/>
          <w:sz w:val="16"/>
          <w:szCs w:val="16"/>
          <w:color w:val="auto"/>
        </w:rPr>
      </w:pPr>
    </w:p>
    <w:p>
      <w:pPr>
        <w:ind w:right="40" w:firstLine="921"/>
        <w:spacing w:after="0" w:line="256" w:lineRule="auto"/>
        <w:tabs>
          <w:tab w:leader="none" w:pos="1152" w:val="left"/>
        </w:tabs>
        <w:numPr>
          <w:ilvl w:val="1"/>
          <w:numId w:val="42"/>
        </w:numPr>
        <w:rPr>
          <w:rFonts w:ascii="Arial" w:cs="Arial" w:eastAsia="Arial" w:hAnsi="Arial"/>
          <w:sz w:val="18"/>
          <w:szCs w:val="18"/>
          <w:color w:val="auto"/>
        </w:rPr>
      </w:pPr>
      <w:r>
        <w:rPr>
          <w:rFonts w:ascii="Arial" w:cs="Arial" w:eastAsia="Arial" w:hAnsi="Arial"/>
          <w:sz w:val="18"/>
          <w:szCs w:val="18"/>
          <w:u w:val="single" w:color="auto"/>
          <w:color w:val="auto"/>
        </w:rPr>
        <w:t>Form and Timing of Payment of Performance Units/Shares</w:t>
      </w:r>
      <w:r>
        <w:rPr>
          <w:rFonts w:ascii="Arial" w:cs="Arial" w:eastAsia="Arial" w:hAnsi="Arial"/>
          <w:sz w:val="18"/>
          <w:szCs w:val="18"/>
          <w:color w:val="auto"/>
        </w:rPr>
        <w:t>. Payment of earned Performance Units/Shares will be made as soon as practicable after the expiration of the applicable Performance Period. The Administrator, in its sole discretion, may pay earned Performance Units/Shares in the form of cash, in Shares (which have an aggregate Fair Market Value equal to the value of the earned Performance Units/Shares at the close of the applicable Performance Period), or in a combination thereof.</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280" w:right="239" w:bottom="1440" w:gutter="0" w:footer="0" w:header="0"/>
        </w:sectPr>
      </w:pPr>
    </w:p>
    <w:bookmarkStart w:id="57" w:name="page58"/>
    <w:bookmarkEnd w:id="57"/>
    <w:p>
      <w:pPr>
        <w:ind w:left="-40" w:right="20" w:firstLine="921"/>
        <w:spacing w:after="0" w:line="268" w:lineRule="auto"/>
        <w:tabs>
          <w:tab w:leader="none" w:pos="1092" w:val="left"/>
        </w:tabs>
        <w:numPr>
          <w:ilvl w:val="1"/>
          <w:numId w:val="43"/>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Cancellation of Performance Units/Shares</w:t>
      </w:r>
      <w:r>
        <w:rPr>
          <w:rFonts w:ascii="Arial" w:cs="Arial" w:eastAsia="Arial" w:hAnsi="Arial"/>
          <w:sz w:val="18"/>
          <w:szCs w:val="18"/>
          <w:color w:val="auto"/>
        </w:rPr>
        <w:t>. On the date set forth in the Award Agreement, all unearned or unvested Performance Units/Shares will be forfeited to the Company, and again will be available for grant under the Plan.</w:t>
      </w:r>
    </w:p>
    <w:p>
      <w:pPr>
        <w:spacing w:after="0" w:line="125" w:lineRule="exact"/>
        <w:rPr>
          <w:rFonts w:ascii="Arial" w:cs="Arial" w:eastAsia="Arial" w:hAnsi="Arial"/>
          <w:sz w:val="18"/>
          <w:szCs w:val="18"/>
          <w:color w:val="auto"/>
        </w:rPr>
      </w:pPr>
    </w:p>
    <w:p>
      <w:pPr>
        <w:ind w:left="-40" w:right="200" w:firstLine="464"/>
        <w:spacing w:after="0" w:line="339" w:lineRule="auto"/>
        <w:tabs>
          <w:tab w:leader="none" w:pos="680" w:val="left"/>
        </w:tabs>
        <w:numPr>
          <w:ilvl w:val="0"/>
          <w:numId w:val="4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Nontransferability of Awards. </w:t>
      </w:r>
      <w:r>
        <w:rPr>
          <w:rFonts w:ascii="Arial" w:cs="Arial" w:eastAsia="Arial" w:hAnsi="Arial"/>
          <w:sz w:val="16"/>
          <w:szCs w:val="16"/>
          <w:color w:val="auto"/>
        </w:rPr>
        <w:t>An Award may not be sold, pledged, assigned, hypothecated, transferred, or disposed of in any manner other than by</w:t>
      </w:r>
      <w:r>
        <w:rPr>
          <w:rFonts w:ascii="Arial" w:cs="Arial" w:eastAsia="Arial" w:hAnsi="Arial"/>
          <w:sz w:val="16"/>
          <w:szCs w:val="16"/>
          <w:b w:val="1"/>
          <w:bCs w:val="1"/>
          <w:color w:val="auto"/>
        </w:rPr>
        <w:t xml:space="preserve"> </w:t>
      </w:r>
      <w:r>
        <w:rPr>
          <w:rFonts w:ascii="Arial" w:cs="Arial" w:eastAsia="Arial" w:hAnsi="Arial"/>
          <w:sz w:val="16"/>
          <w:szCs w:val="16"/>
          <w:color w:val="auto"/>
        </w:rPr>
        <w:t>will or by the laws of descent or distribution and may be exercised, during the lifetime of the Participant, only by the Participant.</w:t>
      </w:r>
    </w:p>
    <w:p>
      <w:pPr>
        <w:spacing w:after="0" w:line="74" w:lineRule="exact"/>
        <w:rPr>
          <w:rFonts w:ascii="Arial" w:cs="Arial" w:eastAsia="Arial" w:hAnsi="Arial"/>
          <w:sz w:val="16"/>
          <w:szCs w:val="16"/>
          <w:b w:val="1"/>
          <w:bCs w:val="1"/>
          <w:color w:val="auto"/>
        </w:rPr>
      </w:pPr>
    </w:p>
    <w:p>
      <w:pPr>
        <w:ind w:left="680" w:hanging="256"/>
        <w:spacing w:after="0"/>
        <w:tabs>
          <w:tab w:leader="none" w:pos="680" w:val="left"/>
        </w:tabs>
        <w:numPr>
          <w:ilvl w:val="0"/>
          <w:numId w:val="44"/>
        </w:numPr>
        <w:rPr>
          <w:rFonts w:ascii="Arial" w:cs="Arial" w:eastAsia="Arial" w:hAnsi="Arial"/>
          <w:sz w:val="18"/>
          <w:szCs w:val="18"/>
          <w:b w:val="1"/>
          <w:bCs w:val="1"/>
          <w:color w:val="auto"/>
        </w:rPr>
      </w:pPr>
      <w:r>
        <w:rPr>
          <w:rFonts w:ascii="Arial" w:cs="Arial" w:eastAsia="Arial" w:hAnsi="Arial"/>
          <w:sz w:val="18"/>
          <w:szCs w:val="18"/>
          <w:b w:val="1"/>
          <w:bCs w:val="1"/>
          <w:color w:val="auto"/>
        </w:rPr>
        <w:t>Awards Generally.</w:t>
      </w:r>
    </w:p>
    <w:p>
      <w:pPr>
        <w:spacing w:after="0" w:line="177" w:lineRule="exact"/>
        <w:rPr>
          <w:rFonts w:ascii="Arial" w:cs="Arial" w:eastAsia="Arial" w:hAnsi="Arial"/>
          <w:sz w:val="18"/>
          <w:szCs w:val="18"/>
          <w:b w:val="1"/>
          <w:bCs w:val="1"/>
          <w:color w:val="auto"/>
        </w:rPr>
      </w:pPr>
    </w:p>
    <w:p>
      <w:pPr>
        <w:ind w:left="1120" w:hanging="239"/>
        <w:spacing w:after="0"/>
        <w:tabs>
          <w:tab w:leader="none" w:pos="1120" w:val="left"/>
        </w:tabs>
        <w:numPr>
          <w:ilvl w:val="1"/>
          <w:numId w:val="44"/>
        </w:numPr>
        <w:rPr>
          <w:rFonts w:ascii="Arial" w:cs="Arial" w:eastAsia="Arial" w:hAnsi="Arial"/>
          <w:sz w:val="18"/>
          <w:szCs w:val="18"/>
          <w:color w:val="auto"/>
        </w:rPr>
      </w:pPr>
      <w:r>
        <w:rPr>
          <w:rFonts w:ascii="Arial" w:cs="Arial" w:eastAsia="Arial" w:hAnsi="Arial"/>
          <w:sz w:val="18"/>
          <w:szCs w:val="18"/>
          <w:u w:val="single" w:color="auto"/>
          <w:color w:val="auto"/>
        </w:rPr>
        <w:t>Limitations</w:t>
      </w:r>
      <w:r>
        <w:rPr>
          <w:rFonts w:ascii="Arial" w:cs="Arial" w:eastAsia="Arial" w:hAnsi="Arial"/>
          <w:sz w:val="18"/>
          <w:szCs w:val="18"/>
          <w:color w:val="auto"/>
        </w:rPr>
        <w:t>. Awards may be granted only to Outside Directors.</w:t>
      </w:r>
    </w:p>
    <w:p>
      <w:pPr>
        <w:spacing w:after="0" w:line="171" w:lineRule="exact"/>
        <w:rPr>
          <w:rFonts w:ascii="Arial" w:cs="Arial" w:eastAsia="Arial" w:hAnsi="Arial"/>
          <w:sz w:val="18"/>
          <w:szCs w:val="18"/>
          <w:color w:val="auto"/>
        </w:rPr>
      </w:pPr>
    </w:p>
    <w:p>
      <w:pPr>
        <w:ind w:left="-40" w:right="20" w:firstLine="921"/>
        <w:spacing w:after="0" w:line="294" w:lineRule="auto"/>
        <w:tabs>
          <w:tab w:leader="none" w:pos="1121" w:val="left"/>
        </w:tabs>
        <w:numPr>
          <w:ilvl w:val="1"/>
          <w:numId w:val="44"/>
        </w:numPr>
        <w:rPr>
          <w:rFonts w:ascii="Arial" w:cs="Arial" w:eastAsia="Arial" w:hAnsi="Arial"/>
          <w:sz w:val="16"/>
          <w:szCs w:val="16"/>
          <w:color w:val="auto"/>
        </w:rPr>
      </w:pPr>
      <w:r>
        <w:rPr>
          <w:rFonts w:ascii="Arial" w:cs="Arial" w:eastAsia="Arial" w:hAnsi="Arial"/>
          <w:sz w:val="16"/>
          <w:szCs w:val="16"/>
          <w:u w:val="single" w:color="auto"/>
          <w:color w:val="auto"/>
        </w:rPr>
        <w:t>Shares</w:t>
      </w:r>
      <w:r>
        <w:rPr>
          <w:rFonts w:ascii="Arial" w:cs="Arial" w:eastAsia="Arial" w:hAnsi="Arial"/>
          <w:sz w:val="16"/>
          <w:szCs w:val="16"/>
          <w:color w:val="auto"/>
        </w:rPr>
        <w:t>. In the event that any Award granted under the Plan would cause the number of Shares subject to outstanding Awards plus the number of Shares previously issued pursuant to an Award to exceed the number of shares available for issuance under the Plan pursuant to Section 3, then the remaining Shares available for award grant will be allocated on a pro rata basis. No further grants will be made until such time, if any, as additional Shares become available for grant under the Plan through action of the Board or the shareholders to increase the number of Shares which may be issued under the Plan or through the forfeiture of Shares issued pursuant to Awards previously granted hereunder as provided in Section 3 hereof.</w:t>
      </w:r>
    </w:p>
    <w:p>
      <w:pPr>
        <w:spacing w:after="0" w:line="109" w:lineRule="exact"/>
        <w:rPr>
          <w:rFonts w:ascii="Arial" w:cs="Arial" w:eastAsia="Arial" w:hAnsi="Arial"/>
          <w:sz w:val="16"/>
          <w:szCs w:val="16"/>
          <w:color w:val="auto"/>
        </w:rPr>
      </w:pPr>
    </w:p>
    <w:p>
      <w:pPr>
        <w:ind w:left="-40" w:right="40" w:firstLine="464"/>
        <w:spacing w:after="0" w:line="262" w:lineRule="auto"/>
        <w:tabs>
          <w:tab w:leader="none" w:pos="680" w:val="left"/>
        </w:tabs>
        <w:numPr>
          <w:ilvl w:val="0"/>
          <w:numId w:val="4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Guarantee of Continued Service. </w:t>
      </w:r>
      <w:r>
        <w:rPr>
          <w:rFonts w:ascii="Arial" w:cs="Arial" w:eastAsia="Arial" w:hAnsi="Arial"/>
          <w:sz w:val="18"/>
          <w:szCs w:val="18"/>
          <w:color w:val="auto"/>
        </w:rPr>
        <w:t>The Plan shall not confer upon any Participant any rights with respect to continuation of service as a Director or</w:t>
      </w:r>
      <w:r>
        <w:rPr>
          <w:rFonts w:ascii="Arial" w:cs="Arial" w:eastAsia="Arial" w:hAnsi="Arial"/>
          <w:sz w:val="18"/>
          <w:szCs w:val="18"/>
          <w:b w:val="1"/>
          <w:bCs w:val="1"/>
          <w:color w:val="auto"/>
        </w:rPr>
        <w:t xml:space="preserve"> </w:t>
      </w:r>
      <w:r>
        <w:rPr>
          <w:rFonts w:ascii="Arial" w:cs="Arial" w:eastAsia="Arial" w:hAnsi="Arial"/>
          <w:sz w:val="18"/>
          <w:szCs w:val="18"/>
          <w:color w:val="auto"/>
        </w:rPr>
        <w:t>other Service Provider or nomination to serve as a Director, nor shall it interfere in any way with any rights which the Director or the Company may have to terminate the Director’s relationship with the Company at any time.</w:t>
      </w:r>
    </w:p>
    <w:p>
      <w:pPr>
        <w:spacing w:after="0" w:line="132" w:lineRule="exact"/>
        <w:rPr>
          <w:rFonts w:ascii="Arial" w:cs="Arial" w:eastAsia="Arial" w:hAnsi="Arial"/>
          <w:sz w:val="18"/>
          <w:szCs w:val="18"/>
          <w:b w:val="1"/>
          <w:bCs w:val="1"/>
          <w:color w:val="auto"/>
        </w:rPr>
      </w:pPr>
    </w:p>
    <w:p>
      <w:pPr>
        <w:ind w:left="-40" w:firstLine="464"/>
        <w:spacing w:after="0" w:line="339" w:lineRule="auto"/>
        <w:tabs>
          <w:tab w:leader="none" w:pos="680" w:val="left"/>
        </w:tabs>
        <w:numPr>
          <w:ilvl w:val="0"/>
          <w:numId w:val="4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Term of Plan. </w:t>
      </w:r>
      <w:r>
        <w:rPr>
          <w:rFonts w:ascii="Arial" w:cs="Arial" w:eastAsia="Arial" w:hAnsi="Arial"/>
          <w:sz w:val="16"/>
          <w:szCs w:val="16"/>
          <w:color w:val="auto"/>
        </w:rPr>
        <w:t>The Plan will become effective upon the earlier to occur of its adoption by the Board or its approval by the shareholders of the Company</w:t>
      </w:r>
      <w:r>
        <w:rPr>
          <w:rFonts w:ascii="Arial" w:cs="Arial" w:eastAsia="Arial" w:hAnsi="Arial"/>
          <w:sz w:val="16"/>
          <w:szCs w:val="16"/>
          <w:b w:val="1"/>
          <w:bCs w:val="1"/>
          <w:color w:val="auto"/>
        </w:rPr>
        <w:t xml:space="preserve"> </w:t>
      </w:r>
      <w:r>
        <w:rPr>
          <w:rFonts w:ascii="Arial" w:cs="Arial" w:eastAsia="Arial" w:hAnsi="Arial"/>
          <w:sz w:val="16"/>
          <w:szCs w:val="16"/>
          <w:color w:val="auto"/>
        </w:rPr>
        <w:t>as described in Section 25 of the Plan. It will continue in effect for a term of ten (10) years unless sooner terminated under Section 20 hereof.</w:t>
      </w:r>
    </w:p>
    <w:p>
      <w:pPr>
        <w:spacing w:after="0" w:line="74" w:lineRule="exact"/>
        <w:rPr>
          <w:rFonts w:ascii="Arial" w:cs="Arial" w:eastAsia="Arial" w:hAnsi="Arial"/>
          <w:sz w:val="16"/>
          <w:szCs w:val="16"/>
          <w:b w:val="1"/>
          <w:bCs w:val="1"/>
          <w:color w:val="auto"/>
        </w:rPr>
      </w:pPr>
    </w:p>
    <w:p>
      <w:pPr>
        <w:ind w:left="680" w:hanging="256"/>
        <w:spacing w:after="0"/>
        <w:tabs>
          <w:tab w:leader="none" w:pos="680" w:val="left"/>
        </w:tabs>
        <w:numPr>
          <w:ilvl w:val="0"/>
          <w:numId w:val="44"/>
        </w:numPr>
        <w:rPr>
          <w:rFonts w:ascii="Arial" w:cs="Arial" w:eastAsia="Arial" w:hAnsi="Arial"/>
          <w:sz w:val="18"/>
          <w:szCs w:val="18"/>
          <w:b w:val="1"/>
          <w:bCs w:val="1"/>
          <w:color w:val="auto"/>
        </w:rPr>
      </w:pPr>
      <w:r>
        <w:rPr>
          <w:rFonts w:ascii="Arial" w:cs="Arial" w:eastAsia="Arial" w:hAnsi="Arial"/>
          <w:sz w:val="18"/>
          <w:szCs w:val="18"/>
          <w:b w:val="1"/>
          <w:bCs w:val="1"/>
          <w:color w:val="auto"/>
        </w:rPr>
        <w:t>Dissolution, Merger or Asset Sale.</w:t>
      </w:r>
    </w:p>
    <w:p>
      <w:pPr>
        <w:spacing w:after="0" w:line="177" w:lineRule="exact"/>
        <w:rPr>
          <w:rFonts w:ascii="Arial" w:cs="Arial" w:eastAsia="Arial" w:hAnsi="Arial"/>
          <w:sz w:val="18"/>
          <w:szCs w:val="18"/>
          <w:b w:val="1"/>
          <w:bCs w:val="1"/>
          <w:color w:val="auto"/>
        </w:rPr>
      </w:pPr>
    </w:p>
    <w:p>
      <w:pPr>
        <w:ind w:left="-40" w:right="20" w:firstLine="921"/>
        <w:spacing w:after="0" w:line="255" w:lineRule="auto"/>
        <w:tabs>
          <w:tab w:leader="none" w:pos="1112" w:val="left"/>
        </w:tabs>
        <w:numPr>
          <w:ilvl w:val="1"/>
          <w:numId w:val="44"/>
        </w:numPr>
        <w:rPr>
          <w:rFonts w:ascii="Arial" w:cs="Arial" w:eastAsia="Arial" w:hAnsi="Arial"/>
          <w:sz w:val="18"/>
          <w:szCs w:val="18"/>
          <w:color w:val="auto"/>
        </w:rPr>
      </w:pPr>
      <w:r>
        <w:rPr>
          <w:rFonts w:ascii="Arial" w:cs="Arial" w:eastAsia="Arial" w:hAnsi="Arial"/>
          <w:sz w:val="18"/>
          <w:szCs w:val="18"/>
          <w:u w:val="single" w:color="auto"/>
          <w:color w:val="auto"/>
        </w:rPr>
        <w:t>Dissolution or Liquidation</w:t>
      </w:r>
      <w:r>
        <w:rPr>
          <w:rFonts w:ascii="Arial" w:cs="Arial" w:eastAsia="Arial" w:hAnsi="Arial"/>
          <w:sz w:val="18"/>
          <w:szCs w:val="18"/>
          <w:color w:val="auto"/>
        </w:rPr>
        <w:t>. In the event of the proposed dissolution or liquidation of the Company, the Administrator will notify each Participant as soon as practicable prior to the effective date of such proposed transaction. The Administrator may determine that each outstanding Option shall be exercisable as to all or any part of the Option, including Shares as to which the Option would not otherwise be exercisable, for such period as determined by the Administrator and ending immediately prior to the consummation of such proposed action. To the extent it has not been previously exercised, an Award will terminate immediately prior to the consummation of such proposed action.</w:t>
      </w:r>
    </w:p>
    <w:p>
      <w:pPr>
        <w:spacing w:after="0" w:line="142" w:lineRule="exact"/>
        <w:rPr>
          <w:rFonts w:ascii="Arial" w:cs="Arial" w:eastAsia="Arial" w:hAnsi="Arial"/>
          <w:sz w:val="18"/>
          <w:szCs w:val="18"/>
          <w:color w:val="auto"/>
        </w:rPr>
      </w:pPr>
    </w:p>
    <w:p>
      <w:pPr>
        <w:ind w:left="-40" w:right="480" w:firstLine="921"/>
        <w:spacing w:after="0" w:line="332" w:lineRule="auto"/>
        <w:tabs>
          <w:tab w:leader="none" w:pos="1121" w:val="left"/>
        </w:tabs>
        <w:numPr>
          <w:ilvl w:val="1"/>
          <w:numId w:val="44"/>
        </w:numPr>
        <w:rPr>
          <w:rFonts w:ascii="Arial" w:cs="Arial" w:eastAsia="Arial" w:hAnsi="Arial"/>
          <w:sz w:val="16"/>
          <w:szCs w:val="16"/>
          <w:color w:val="auto"/>
        </w:rPr>
      </w:pPr>
      <w:r>
        <w:rPr>
          <w:rFonts w:ascii="Arial" w:cs="Arial" w:eastAsia="Arial" w:hAnsi="Arial"/>
          <w:sz w:val="16"/>
          <w:szCs w:val="16"/>
          <w:u w:val="single" w:color="auto"/>
          <w:color w:val="auto"/>
        </w:rPr>
        <w:t>Change in Control</w:t>
      </w:r>
      <w:r>
        <w:rPr>
          <w:rFonts w:ascii="Arial" w:cs="Arial" w:eastAsia="Arial" w:hAnsi="Arial"/>
          <w:sz w:val="16"/>
          <w:szCs w:val="16"/>
          <w:color w:val="auto"/>
        </w:rPr>
        <w:t>. In the event of a merger or Change in Control, each outstanding Award will be treated as the Administrator determines, including, without limitation, that each Award be assumed or an equivalent option or right substituted by the successor</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360"/>
          </w:cols>
          <w:pgMar w:left="280" w:top="280" w:right="259" w:bottom="1440" w:gutter="0" w:footer="0" w:header="0"/>
        </w:sectPr>
      </w:pPr>
    </w:p>
    <w:bookmarkStart w:id="58" w:name="page59"/>
    <w:bookmarkEnd w:id="58"/>
    <w:p>
      <w:pPr>
        <w:spacing w:after="0" w:line="29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corporation or a Parent or Subsidiary of the successor corporation; provided, however, that in all cases, upon a Change in Control the Participant will fully vest in and have the right to exercise all of his or her outstanding Options and Stock Appreciation Rights, including Shares as to which such Awards would not otherwise be vested or exercisable, all restrictions on Restricted Stock and Restricted Stock Units will lapse (so as to become one hundred percent (100%) vested), and, with respect to Awards with performance-based vesting, all performance goals or other vesting criteria will be deemed achieved at one hundred percent (100%) of target levels and all other terms and conditions met. The Administrator will not be required to treat all Awards similarly in the transaction.</w:t>
      </w:r>
    </w:p>
    <w:p>
      <w:pPr>
        <w:spacing w:after="0" w:line="116" w:lineRule="exact"/>
        <w:rPr>
          <w:sz w:val="20"/>
          <w:szCs w:val="20"/>
          <w:color w:val="auto"/>
        </w:rPr>
      </w:pPr>
    </w:p>
    <w:p>
      <w:pPr>
        <w:ind w:right="60" w:firstLine="1484"/>
        <w:spacing w:after="0" w:line="287" w:lineRule="auto"/>
        <w:rPr>
          <w:sz w:val="20"/>
          <w:szCs w:val="20"/>
          <w:color w:val="auto"/>
        </w:rPr>
      </w:pPr>
      <w:r>
        <w:rPr>
          <w:rFonts w:ascii="Arial" w:cs="Arial" w:eastAsia="Arial" w:hAnsi="Arial"/>
          <w:sz w:val="16"/>
          <w:szCs w:val="16"/>
          <w:color w:val="auto"/>
        </w:rPr>
        <w:t>For the purposes of this subsection (c), an Award will be considered assumed if, following the Change in Control, the Award confers the right to purchase or receive, for each Share subject to the Award immediately prior to the Change in Control, the consideration (whether stock, cash, or other securities or property) received in the Change in Control by holders of Common Stock for each Share held on the effective date of the transaction (and if holders were offered a choice of consideration, the type of consideration chosen by the holders of a majority of the outstanding Shares); provided, however, that if such consideration received in the Change in Control is not solely common stock of the successor corporation or its Parent, the Administrator may, with the consent of the successor corporation, provide for the consideration to be received upon the exercise of an Option or Stock Appreciation Right or upon the payout of a Performance Share, Performance Unit, or Restricted Stock Unit, for each Share subject to such Award (or in the case of an Award settled in cash, the number of implied shares determined by dividing the value of the Award by the per share consideration received by holders of Common Stock in the Change in Control), to be solely common stock of the successor corporation or its Parent equal in fair market value to the per share consideration received by holders of Common Stock in the Change in Control.</w:t>
      </w:r>
    </w:p>
    <w:p>
      <w:pPr>
        <w:spacing w:after="0" w:line="123" w:lineRule="exact"/>
        <w:rPr>
          <w:sz w:val="20"/>
          <w:szCs w:val="20"/>
          <w:color w:val="auto"/>
        </w:rPr>
      </w:pPr>
    </w:p>
    <w:p>
      <w:pPr>
        <w:ind w:right="140" w:firstLine="1484"/>
        <w:spacing w:after="0" w:line="298" w:lineRule="auto"/>
        <w:rPr>
          <w:sz w:val="20"/>
          <w:szCs w:val="20"/>
          <w:color w:val="auto"/>
        </w:rPr>
      </w:pPr>
      <w:r>
        <w:rPr>
          <w:rFonts w:ascii="Arial" w:cs="Arial" w:eastAsia="Arial" w:hAnsi="Arial"/>
          <w:sz w:val="16"/>
          <w:szCs w:val="16"/>
          <w:color w:val="auto"/>
        </w:rPr>
        <w:t>With respect to Awards that are assumed or substituted for, if on the date of or following such assumption or substitution the Participant’s status as a Director or a director of the successor corporation, as applicable, is terminated other than upon a voluntary resignation by the Participant (unless such resignation is at the request of the acquirer), then the Participant will fully vest in and have the right to exercise Options as to all of the Shares underlying such Award, including those Shares which would not otherwise be vested or exercisable.</w:t>
      </w:r>
    </w:p>
    <w:p>
      <w:pPr>
        <w:spacing w:after="0" w:line="107" w:lineRule="exact"/>
        <w:rPr>
          <w:sz w:val="20"/>
          <w:szCs w:val="20"/>
          <w:color w:val="auto"/>
        </w:rPr>
      </w:pPr>
    </w:p>
    <w:p>
      <w:pPr>
        <w:ind w:right="60" w:firstLine="464"/>
        <w:spacing w:after="0" w:line="339" w:lineRule="auto"/>
        <w:tabs>
          <w:tab w:leader="none" w:pos="720" w:val="left"/>
        </w:tabs>
        <w:numPr>
          <w:ilvl w:val="0"/>
          <w:numId w:val="45"/>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Time of Granting Awards. </w:t>
      </w:r>
      <w:r>
        <w:rPr>
          <w:rFonts w:ascii="Arial" w:cs="Arial" w:eastAsia="Arial" w:hAnsi="Arial"/>
          <w:sz w:val="16"/>
          <w:szCs w:val="16"/>
          <w:color w:val="auto"/>
        </w:rPr>
        <w:t>The date of grant of an Award will, for all purposes, be the date determined in accordance with Section 5 hereof. Notice of</w:t>
      </w:r>
      <w:r>
        <w:rPr>
          <w:rFonts w:ascii="Arial" w:cs="Arial" w:eastAsia="Arial" w:hAnsi="Arial"/>
          <w:sz w:val="16"/>
          <w:szCs w:val="16"/>
          <w:b w:val="1"/>
          <w:bCs w:val="1"/>
          <w:color w:val="auto"/>
        </w:rPr>
        <w:t xml:space="preserve"> </w:t>
      </w:r>
      <w:r>
        <w:rPr>
          <w:rFonts w:ascii="Arial" w:cs="Arial" w:eastAsia="Arial" w:hAnsi="Arial"/>
          <w:sz w:val="16"/>
          <w:szCs w:val="16"/>
          <w:color w:val="auto"/>
        </w:rPr>
        <w:t>the determination shall be given to each Participant to whom an Award is so granted within a reasonable time after the date of such grant.</w:t>
      </w:r>
    </w:p>
    <w:p>
      <w:pPr>
        <w:spacing w:after="0" w:line="74" w:lineRule="exact"/>
        <w:rPr>
          <w:rFonts w:ascii="Arial" w:cs="Arial" w:eastAsia="Arial" w:hAnsi="Arial"/>
          <w:sz w:val="16"/>
          <w:szCs w:val="16"/>
          <w:b w:val="1"/>
          <w:bCs w:val="1"/>
          <w:color w:val="auto"/>
        </w:rPr>
      </w:pPr>
    </w:p>
    <w:p>
      <w:pPr>
        <w:ind w:left="720" w:hanging="256"/>
        <w:spacing w:after="0"/>
        <w:tabs>
          <w:tab w:leader="none" w:pos="720" w:val="left"/>
        </w:tabs>
        <w:numPr>
          <w:ilvl w:val="0"/>
          <w:numId w:val="45"/>
        </w:numPr>
        <w:rPr>
          <w:rFonts w:ascii="Arial" w:cs="Arial" w:eastAsia="Arial" w:hAnsi="Arial"/>
          <w:sz w:val="18"/>
          <w:szCs w:val="18"/>
          <w:b w:val="1"/>
          <w:bCs w:val="1"/>
          <w:color w:val="auto"/>
        </w:rPr>
      </w:pPr>
      <w:r>
        <w:rPr>
          <w:rFonts w:ascii="Arial" w:cs="Arial" w:eastAsia="Arial" w:hAnsi="Arial"/>
          <w:sz w:val="18"/>
          <w:szCs w:val="18"/>
          <w:b w:val="1"/>
          <w:bCs w:val="1"/>
          <w:color w:val="auto"/>
        </w:rPr>
        <w:t>Amendment and Termination of the Plan.</w:t>
      </w:r>
    </w:p>
    <w:p>
      <w:pPr>
        <w:spacing w:after="0" w:line="177" w:lineRule="exact"/>
        <w:rPr>
          <w:rFonts w:ascii="Arial" w:cs="Arial" w:eastAsia="Arial" w:hAnsi="Arial"/>
          <w:sz w:val="18"/>
          <w:szCs w:val="18"/>
          <w:b w:val="1"/>
          <w:bCs w:val="1"/>
          <w:color w:val="auto"/>
        </w:rPr>
      </w:pPr>
    </w:p>
    <w:p>
      <w:pPr>
        <w:ind w:left="1160" w:hanging="239"/>
        <w:spacing w:after="0"/>
        <w:tabs>
          <w:tab w:leader="none" w:pos="1160" w:val="left"/>
        </w:tabs>
        <w:numPr>
          <w:ilvl w:val="1"/>
          <w:numId w:val="45"/>
        </w:numPr>
        <w:rPr>
          <w:rFonts w:ascii="Arial" w:cs="Arial" w:eastAsia="Arial" w:hAnsi="Arial"/>
          <w:sz w:val="18"/>
          <w:szCs w:val="18"/>
          <w:color w:val="auto"/>
        </w:rPr>
      </w:pPr>
      <w:r>
        <w:rPr>
          <w:rFonts w:ascii="Arial" w:cs="Arial" w:eastAsia="Arial" w:hAnsi="Arial"/>
          <w:sz w:val="18"/>
          <w:szCs w:val="18"/>
          <w:u w:val="single" w:color="auto"/>
          <w:color w:val="auto"/>
        </w:rPr>
        <w:t>Amendment and Termination</w:t>
      </w:r>
      <w:r>
        <w:rPr>
          <w:rFonts w:ascii="Arial" w:cs="Arial" w:eastAsia="Arial" w:hAnsi="Arial"/>
          <w:sz w:val="18"/>
          <w:szCs w:val="18"/>
          <w:color w:val="auto"/>
        </w:rPr>
        <w:t>. The Administrator may at any time amend, alter, suspend or terminate the Plan.</w:t>
      </w:r>
    </w:p>
    <w:p>
      <w:pPr>
        <w:spacing w:after="0" w:line="171" w:lineRule="exact"/>
        <w:rPr>
          <w:rFonts w:ascii="Arial" w:cs="Arial" w:eastAsia="Arial" w:hAnsi="Arial"/>
          <w:sz w:val="18"/>
          <w:szCs w:val="18"/>
          <w:color w:val="auto"/>
        </w:rPr>
      </w:pPr>
    </w:p>
    <w:p>
      <w:pPr>
        <w:ind w:right="200" w:firstLine="921"/>
        <w:spacing w:after="0" w:line="268" w:lineRule="auto"/>
        <w:tabs>
          <w:tab w:leader="none" w:pos="1161" w:val="left"/>
        </w:tabs>
        <w:numPr>
          <w:ilvl w:val="1"/>
          <w:numId w:val="45"/>
        </w:numPr>
        <w:rPr>
          <w:rFonts w:ascii="Arial" w:cs="Arial" w:eastAsia="Arial" w:hAnsi="Arial"/>
          <w:sz w:val="18"/>
          <w:szCs w:val="18"/>
          <w:color w:val="auto"/>
        </w:rPr>
      </w:pPr>
      <w:r>
        <w:rPr>
          <w:rFonts w:ascii="Arial" w:cs="Arial" w:eastAsia="Arial" w:hAnsi="Arial"/>
          <w:sz w:val="18"/>
          <w:szCs w:val="18"/>
          <w:u w:val="single" w:color="auto"/>
          <w:color w:val="auto"/>
        </w:rPr>
        <w:t>Shareholder Approval</w:t>
      </w:r>
      <w:r>
        <w:rPr>
          <w:rFonts w:ascii="Arial" w:cs="Arial" w:eastAsia="Arial" w:hAnsi="Arial"/>
          <w:sz w:val="18"/>
          <w:szCs w:val="18"/>
          <w:color w:val="auto"/>
        </w:rPr>
        <w:t>. The Company will obtain shareholder approval of any Plan amendment to the extent necessary and desirable to comply with Applicable Laws.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00"/>
          </w:cols>
          <w:pgMar w:left="240" w:top="280" w:right="259" w:bottom="1440" w:gutter="0" w:footer="0" w:header="0"/>
        </w:sectPr>
      </w:pPr>
    </w:p>
    <w:bookmarkStart w:id="59" w:name="page60"/>
    <w:bookmarkEnd w:id="59"/>
    <w:p>
      <w:pPr>
        <w:ind w:left="-40" w:right="120" w:firstLine="921"/>
        <w:spacing w:after="0" w:line="256" w:lineRule="auto"/>
        <w:tabs>
          <w:tab w:leader="none" w:pos="1112" w:val="left"/>
        </w:tabs>
        <w:numPr>
          <w:ilvl w:val="1"/>
          <w:numId w:val="46"/>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Effect of Amendment or Termination</w:t>
      </w:r>
      <w:r>
        <w:rPr>
          <w:rFonts w:ascii="Arial" w:cs="Arial" w:eastAsia="Arial" w:hAnsi="Arial"/>
          <w:sz w:val="18"/>
          <w:szCs w:val="18"/>
          <w:color w:val="auto"/>
        </w:rPr>
        <w:t>. No amendment, alteration, suspension or termination of the Plan will impair the rights of any Participant, unless mutually agreed otherwise between the Participant and the Administrator, which agreement must be in writing and signed by the Participant and the Company. Termination of the Plan will not affect the Administrator’s ability to exercise the powers granted to it hereunder with respect to Awards granted under the Plan prior to the date of such termination.</w:t>
      </w:r>
    </w:p>
    <w:p>
      <w:pPr>
        <w:spacing w:after="0" w:line="137" w:lineRule="exact"/>
        <w:rPr>
          <w:rFonts w:ascii="Arial" w:cs="Arial" w:eastAsia="Arial" w:hAnsi="Arial"/>
          <w:sz w:val="18"/>
          <w:szCs w:val="18"/>
          <w:color w:val="auto"/>
        </w:rPr>
      </w:pPr>
    </w:p>
    <w:p>
      <w:pPr>
        <w:ind w:left="680" w:hanging="256"/>
        <w:spacing w:after="0"/>
        <w:tabs>
          <w:tab w:leader="none" w:pos="680" w:val="left"/>
        </w:tabs>
        <w:numPr>
          <w:ilvl w:val="0"/>
          <w:numId w:val="47"/>
        </w:numPr>
        <w:rPr>
          <w:rFonts w:ascii="Arial" w:cs="Arial" w:eastAsia="Arial" w:hAnsi="Arial"/>
          <w:sz w:val="18"/>
          <w:szCs w:val="18"/>
          <w:b w:val="1"/>
          <w:bCs w:val="1"/>
          <w:color w:val="auto"/>
        </w:rPr>
      </w:pPr>
      <w:r>
        <w:rPr>
          <w:rFonts w:ascii="Arial" w:cs="Arial" w:eastAsia="Arial" w:hAnsi="Arial"/>
          <w:sz w:val="18"/>
          <w:szCs w:val="18"/>
          <w:b w:val="1"/>
          <w:bCs w:val="1"/>
          <w:color w:val="auto"/>
        </w:rPr>
        <w:t>Conditions on Issuance of Shares.</w:t>
      </w:r>
    </w:p>
    <w:p>
      <w:pPr>
        <w:spacing w:after="0" w:line="177" w:lineRule="exact"/>
        <w:rPr>
          <w:rFonts w:ascii="Arial" w:cs="Arial" w:eastAsia="Arial" w:hAnsi="Arial"/>
          <w:sz w:val="18"/>
          <w:szCs w:val="18"/>
          <w:b w:val="1"/>
          <w:bCs w:val="1"/>
          <w:color w:val="auto"/>
        </w:rPr>
      </w:pPr>
    </w:p>
    <w:p>
      <w:pPr>
        <w:ind w:left="-40" w:right="560" w:firstLine="921"/>
        <w:spacing w:after="0" w:line="259" w:lineRule="auto"/>
        <w:tabs>
          <w:tab w:leader="none" w:pos="1112" w:val="left"/>
        </w:tabs>
        <w:numPr>
          <w:ilvl w:val="1"/>
          <w:numId w:val="47"/>
        </w:numPr>
        <w:rPr>
          <w:rFonts w:ascii="Arial" w:cs="Arial" w:eastAsia="Arial" w:hAnsi="Arial"/>
          <w:sz w:val="18"/>
          <w:szCs w:val="18"/>
          <w:color w:val="auto"/>
        </w:rPr>
      </w:pPr>
      <w:r>
        <w:rPr>
          <w:rFonts w:ascii="Arial" w:cs="Arial" w:eastAsia="Arial" w:hAnsi="Arial"/>
          <w:sz w:val="18"/>
          <w:szCs w:val="18"/>
          <w:u w:val="single" w:color="auto"/>
          <w:color w:val="auto"/>
        </w:rPr>
        <w:t>Legal Compliance</w:t>
      </w:r>
      <w:r>
        <w:rPr>
          <w:rFonts w:ascii="Arial" w:cs="Arial" w:eastAsia="Arial" w:hAnsi="Arial"/>
          <w:sz w:val="18"/>
          <w:szCs w:val="18"/>
          <w:color w:val="auto"/>
        </w:rPr>
        <w:t>. Shares will not be issued pursuant to the exercise of an Award unless the exercise of such Award and the issuance and delivery of such Shares will comply with Applicable Laws and will be further subject to the approval of counsel for the Company with respect to such compliance.</w:t>
      </w:r>
    </w:p>
    <w:p>
      <w:pPr>
        <w:spacing w:after="0" w:line="140" w:lineRule="exact"/>
        <w:rPr>
          <w:rFonts w:ascii="Arial" w:cs="Arial" w:eastAsia="Arial" w:hAnsi="Arial"/>
          <w:sz w:val="18"/>
          <w:szCs w:val="18"/>
          <w:color w:val="auto"/>
        </w:rPr>
      </w:pPr>
    </w:p>
    <w:p>
      <w:pPr>
        <w:ind w:left="-40" w:firstLine="921"/>
        <w:spacing w:after="0" w:line="259" w:lineRule="auto"/>
        <w:tabs>
          <w:tab w:leader="none" w:pos="1121" w:val="left"/>
        </w:tabs>
        <w:numPr>
          <w:ilvl w:val="1"/>
          <w:numId w:val="47"/>
        </w:numPr>
        <w:rPr>
          <w:rFonts w:ascii="Arial" w:cs="Arial" w:eastAsia="Arial" w:hAnsi="Arial"/>
          <w:sz w:val="18"/>
          <w:szCs w:val="18"/>
          <w:color w:val="auto"/>
        </w:rPr>
      </w:pPr>
      <w:r>
        <w:rPr>
          <w:rFonts w:ascii="Arial" w:cs="Arial" w:eastAsia="Arial" w:hAnsi="Arial"/>
          <w:sz w:val="18"/>
          <w:szCs w:val="18"/>
          <w:u w:val="single" w:color="auto"/>
          <w:color w:val="auto"/>
        </w:rPr>
        <w:t>Investment Representations</w:t>
      </w:r>
      <w:r>
        <w:rPr>
          <w:rFonts w:ascii="Arial" w:cs="Arial" w:eastAsia="Arial" w:hAnsi="Arial"/>
          <w:sz w:val="18"/>
          <w:szCs w:val="18"/>
          <w:color w:val="auto"/>
        </w:rPr>
        <w:t>. As a condition to the exercise of an Award, the Company may require the person exercising such Award to represent and warrant at the time of any such exercise that the Shares are being purchased only for investment and without any present intention to sell or distribute such Shares if, in the opinion of counsel for the Company, such a representation is required.</w:t>
      </w:r>
    </w:p>
    <w:p>
      <w:pPr>
        <w:spacing w:after="0" w:line="134" w:lineRule="exact"/>
        <w:rPr>
          <w:rFonts w:ascii="Arial" w:cs="Arial" w:eastAsia="Arial" w:hAnsi="Arial"/>
          <w:sz w:val="18"/>
          <w:szCs w:val="18"/>
          <w:color w:val="auto"/>
        </w:rPr>
      </w:pPr>
    </w:p>
    <w:p>
      <w:pPr>
        <w:ind w:left="-40" w:right="20" w:firstLine="464"/>
        <w:spacing w:after="0" w:line="258" w:lineRule="auto"/>
        <w:tabs>
          <w:tab w:leader="none" w:pos="680" w:val="left"/>
        </w:tabs>
        <w:numPr>
          <w:ilvl w:val="0"/>
          <w:numId w:val="4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Inability to Obtain Authority. </w:t>
      </w:r>
      <w:r>
        <w:rPr>
          <w:rFonts w:ascii="Arial" w:cs="Arial" w:eastAsia="Arial" w:hAnsi="Arial"/>
          <w:sz w:val="18"/>
          <w:szCs w:val="18"/>
          <w:color w:val="auto"/>
        </w:rPr>
        <w:t>The inability of the Company to obtain authority from any regulatory body having jurisdiction, which authority is</w:t>
      </w:r>
      <w:r>
        <w:rPr>
          <w:rFonts w:ascii="Arial" w:cs="Arial" w:eastAsia="Arial" w:hAnsi="Arial"/>
          <w:sz w:val="18"/>
          <w:szCs w:val="18"/>
          <w:b w:val="1"/>
          <w:bCs w:val="1"/>
          <w:color w:val="auto"/>
        </w:rPr>
        <w:t xml:space="preserve"> </w:t>
      </w:r>
      <w:r>
        <w:rPr>
          <w:rFonts w:ascii="Arial" w:cs="Arial" w:eastAsia="Arial" w:hAnsi="Arial"/>
          <w:sz w:val="18"/>
          <w:szCs w:val="18"/>
          <w:color w:val="auto"/>
        </w:rPr>
        <w:t>deemed by the Company’s counsel to be necessary to the lawful issuance and sale of any Shares hereunder, will relieve the Company of any liability in respect of the failure to issue or sell such Shares as to which such requisite authority will not have been obtained. The Company has no obligation to register any Shares issued pursuant to this Plan under the securities laws of any jurisdiction.</w:t>
      </w:r>
    </w:p>
    <w:p>
      <w:pPr>
        <w:spacing w:after="0" w:line="136" w:lineRule="exact"/>
        <w:rPr>
          <w:rFonts w:ascii="Arial" w:cs="Arial" w:eastAsia="Arial" w:hAnsi="Arial"/>
          <w:sz w:val="18"/>
          <w:szCs w:val="18"/>
          <w:b w:val="1"/>
          <w:bCs w:val="1"/>
          <w:color w:val="auto"/>
        </w:rPr>
      </w:pPr>
    </w:p>
    <w:p>
      <w:pPr>
        <w:ind w:left="-40" w:right="480" w:firstLine="464"/>
        <w:spacing w:after="0" w:line="275" w:lineRule="auto"/>
        <w:tabs>
          <w:tab w:leader="none" w:pos="680" w:val="left"/>
        </w:tabs>
        <w:numPr>
          <w:ilvl w:val="0"/>
          <w:numId w:val="4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Reservation of Shares. </w:t>
      </w:r>
      <w:r>
        <w:rPr>
          <w:rFonts w:ascii="Arial" w:cs="Arial" w:eastAsia="Arial" w:hAnsi="Arial"/>
          <w:sz w:val="18"/>
          <w:szCs w:val="18"/>
          <w:color w:val="auto"/>
        </w:rPr>
        <w:t>The Company, during the term of this Plan, will at all times reserve and keep available such number of Shares as will be</w:t>
      </w:r>
      <w:r>
        <w:rPr>
          <w:rFonts w:ascii="Arial" w:cs="Arial" w:eastAsia="Arial" w:hAnsi="Arial"/>
          <w:sz w:val="18"/>
          <w:szCs w:val="18"/>
          <w:b w:val="1"/>
          <w:bCs w:val="1"/>
          <w:color w:val="auto"/>
        </w:rPr>
        <w:t xml:space="preserve"> </w:t>
      </w:r>
      <w:r>
        <w:rPr>
          <w:rFonts w:ascii="Arial" w:cs="Arial" w:eastAsia="Arial" w:hAnsi="Arial"/>
          <w:sz w:val="18"/>
          <w:szCs w:val="18"/>
          <w:color w:val="auto"/>
        </w:rPr>
        <w:t>sufficient to satisfy the requirements of the Plan.</w:t>
      </w:r>
    </w:p>
    <w:p>
      <w:pPr>
        <w:spacing w:after="0" w:line="119" w:lineRule="exact"/>
        <w:rPr>
          <w:rFonts w:ascii="Arial" w:cs="Arial" w:eastAsia="Arial" w:hAnsi="Arial"/>
          <w:sz w:val="18"/>
          <w:szCs w:val="18"/>
          <w:b w:val="1"/>
          <w:bCs w:val="1"/>
          <w:color w:val="auto"/>
        </w:rPr>
      </w:pPr>
    </w:p>
    <w:p>
      <w:pPr>
        <w:ind w:left="680" w:hanging="256"/>
        <w:spacing w:after="0"/>
        <w:tabs>
          <w:tab w:leader="none" w:pos="680" w:val="left"/>
        </w:tabs>
        <w:numPr>
          <w:ilvl w:val="0"/>
          <w:numId w:val="4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Award Agreement. </w:t>
      </w:r>
      <w:r>
        <w:rPr>
          <w:rFonts w:ascii="Arial" w:cs="Arial" w:eastAsia="Arial" w:hAnsi="Arial"/>
          <w:sz w:val="18"/>
          <w:szCs w:val="18"/>
          <w:color w:val="auto"/>
        </w:rPr>
        <w:t>Awards will be evidenced by written agreements in such form as the Administrator will approve.</w:t>
      </w:r>
    </w:p>
    <w:p>
      <w:pPr>
        <w:spacing w:after="0" w:line="171" w:lineRule="exact"/>
        <w:rPr>
          <w:rFonts w:ascii="Arial" w:cs="Arial" w:eastAsia="Arial" w:hAnsi="Arial"/>
          <w:sz w:val="18"/>
          <w:szCs w:val="18"/>
          <w:b w:val="1"/>
          <w:bCs w:val="1"/>
          <w:color w:val="auto"/>
        </w:rPr>
      </w:pPr>
    </w:p>
    <w:p>
      <w:pPr>
        <w:ind w:left="-40" w:right="140" w:firstLine="464"/>
        <w:spacing w:after="0" w:line="339" w:lineRule="auto"/>
        <w:tabs>
          <w:tab w:leader="none" w:pos="680" w:val="left"/>
        </w:tabs>
        <w:numPr>
          <w:ilvl w:val="0"/>
          <w:numId w:val="4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Shareholder Approval. </w:t>
      </w:r>
      <w:r>
        <w:rPr>
          <w:rFonts w:ascii="Arial" w:cs="Arial" w:eastAsia="Arial" w:hAnsi="Arial"/>
          <w:sz w:val="16"/>
          <w:szCs w:val="16"/>
          <w:color w:val="auto"/>
        </w:rPr>
        <w:t>The Plan will be subject to approval by the shareholders of the Company within twelve (12) months after the date the Plan is</w:t>
      </w:r>
      <w:r>
        <w:rPr>
          <w:rFonts w:ascii="Arial" w:cs="Arial" w:eastAsia="Arial" w:hAnsi="Arial"/>
          <w:sz w:val="16"/>
          <w:szCs w:val="16"/>
          <w:b w:val="1"/>
          <w:bCs w:val="1"/>
          <w:color w:val="auto"/>
        </w:rPr>
        <w:t xml:space="preserve"> </w:t>
      </w:r>
      <w:r>
        <w:rPr>
          <w:rFonts w:ascii="Arial" w:cs="Arial" w:eastAsia="Arial" w:hAnsi="Arial"/>
          <w:sz w:val="16"/>
          <w:szCs w:val="16"/>
          <w:color w:val="auto"/>
        </w:rPr>
        <w:t>adopted by the Board. Such shareholder approval will be obtained in the manner and to the degree required under Applicable Laws.</w:t>
      </w:r>
    </w:p>
    <w:p>
      <w:pPr>
        <w:spacing w:after="0" w:line="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340"/>
          </w:cols>
          <w:pgMar w:left="280" w:top="280" w:right="279" w:bottom="1440" w:gutter="0" w:footer="0" w:header="0"/>
        </w:sectPr>
      </w:pPr>
    </w:p>
    <w:bookmarkStart w:id="60" w:name="page61"/>
    <w:bookmarkEnd w:id="60"/>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90" w:lineRule="exact"/>
        <w:rPr>
          <w:sz w:val="20"/>
          <w:szCs w:val="20"/>
          <w:color w:val="auto"/>
        </w:rPr>
      </w:pPr>
    </w:p>
    <w:p>
      <w:pPr>
        <w:ind w:left="460" w:hanging="452"/>
        <w:spacing w:after="0"/>
        <w:tabs>
          <w:tab w:leader="none" w:pos="4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48"/>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4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4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4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4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48"/>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48"/>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4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560" w:val="left"/>
        </w:tabs>
        <w:rPr>
          <w:sz w:val="20"/>
          <w:szCs w:val="20"/>
          <w:color w:val="auto"/>
        </w:rPr>
      </w:pPr>
      <w:r>
        <w:rPr>
          <w:rFonts w:ascii="Arial" w:cs="Arial" w:eastAsia="Arial" w:hAnsi="Arial"/>
          <w:sz w:val="18"/>
          <w:szCs w:val="18"/>
          <w:color w:val="auto"/>
        </w:rPr>
        <w:t>Date: June 1, 2012</w:t>
      </w:r>
      <w:r>
        <w:rPr>
          <w:sz w:val="20"/>
          <w:szCs w:val="20"/>
          <w:color w:val="auto"/>
        </w:rPr>
        <w:tab/>
      </w:r>
      <w:r>
        <w:rPr>
          <w:rFonts w:ascii="Arial" w:cs="Arial" w:eastAsia="Arial" w:hAnsi="Arial"/>
          <w:sz w:val="14"/>
          <w:szCs w:val="14"/>
          <w:color w:val="auto"/>
        </w:rPr>
        <w:t>By:  /s/ S</w:t>
      </w:r>
      <w:r>
        <w:rPr>
          <w:rFonts w:ascii="Arial" w:cs="Arial" w:eastAsia="Arial" w:hAnsi="Arial"/>
          <w:sz w:val="22"/>
          <w:szCs w:val="22"/>
          <w:color w:val="auto"/>
          <w:vertAlign w:val="superscript"/>
        </w:rPr>
        <w:t>EHAT</w:t>
      </w:r>
      <w:r>
        <w:rPr>
          <w:rFonts w:ascii="Arial" w:cs="Arial" w:eastAsia="Arial" w:hAnsi="Arial"/>
          <w:sz w:val="14"/>
          <w:szCs w:val="14"/>
          <w:color w:val="auto"/>
        </w:rPr>
        <w:t xml:space="preserve"> S</w:t>
      </w:r>
      <w:r>
        <w:rPr>
          <w:rFonts w:ascii="Arial" w:cs="Arial" w:eastAsia="Arial" w:hAnsi="Arial"/>
          <w:sz w:val="22"/>
          <w:szCs w:val="22"/>
          <w:color w:val="auto"/>
          <w:vertAlign w:val="superscript"/>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-17780</wp:posOffset>
            </wp:positionV>
            <wp:extent cx="347345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ind w:left="5960"/>
        <w:spacing w:after="0"/>
        <w:rPr>
          <w:sz w:val="20"/>
          <w:szCs w:val="20"/>
          <w:color w:val="auto"/>
        </w:rPr>
      </w:pPr>
      <w:r>
        <w:rPr>
          <w:rFonts w:ascii="Arial" w:cs="Arial" w:eastAsia="Arial" w:hAnsi="Arial"/>
          <w:sz w:val="18"/>
          <w:szCs w:val="18"/>
          <w:color w:val="auto"/>
        </w:rPr>
        <w:t>Sehat Sutardja, Ph.D.</w:t>
      </w:r>
    </w:p>
    <w:p>
      <w:pPr>
        <w:spacing w:after="0" w:line="1"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President and Chief Executive Officer</w:t>
      </w:r>
    </w:p>
    <w:p>
      <w:pPr>
        <w:sectPr>
          <w:pgSz w:w="11900" w:h="16838" w:orient="portrait"/>
          <w:cols w:equalWidth="0" w:num="1">
            <w:col w:w="11420"/>
          </w:cols>
          <w:pgMar w:left="240" w:top="125" w:right="239" w:bottom="1440" w:gutter="0" w:footer="0" w:header="0"/>
        </w:sectPr>
      </w:pPr>
    </w:p>
    <w:bookmarkStart w:id="61" w:name="page62"/>
    <w:bookmarkEnd w:id="61"/>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90" w:lineRule="exact"/>
        <w:rPr>
          <w:sz w:val="20"/>
          <w:szCs w:val="20"/>
          <w:color w:val="auto"/>
        </w:rPr>
      </w:pPr>
    </w:p>
    <w:p>
      <w:pPr>
        <w:ind w:left="460" w:hanging="452"/>
        <w:spacing w:after="0"/>
        <w:tabs>
          <w:tab w:leader="none" w:pos="4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49"/>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4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49"/>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54" w:lineRule="exact"/>
        <w:rPr>
          <w:sz w:val="20"/>
          <w:szCs w:val="20"/>
          <w:color w:val="auto"/>
        </w:rPr>
      </w:pPr>
    </w:p>
    <w:p>
      <w:pPr>
        <w:spacing w:after="0"/>
        <w:tabs>
          <w:tab w:leader="none" w:pos="5560" w:val="left"/>
        </w:tabs>
        <w:rPr>
          <w:sz w:val="20"/>
          <w:szCs w:val="20"/>
          <w:color w:val="auto"/>
        </w:rPr>
      </w:pPr>
      <w:r>
        <w:rPr>
          <w:rFonts w:ascii="Arial" w:cs="Arial" w:eastAsia="Arial" w:hAnsi="Arial"/>
          <w:sz w:val="18"/>
          <w:szCs w:val="18"/>
          <w:color w:val="auto"/>
        </w:rPr>
        <w:t>Date: June 1, 2012</w:t>
      </w:r>
      <w:r>
        <w:rPr>
          <w:sz w:val="20"/>
          <w:szCs w:val="20"/>
          <w:color w:val="auto"/>
        </w:rPr>
        <w:tab/>
      </w:r>
      <w:r>
        <w:rPr>
          <w:rFonts w:ascii="Arial" w:cs="Arial" w:eastAsia="Arial" w:hAnsi="Arial"/>
          <w:sz w:val="15"/>
          <w:szCs w:val="15"/>
          <w:color w:val="auto"/>
        </w:rPr>
        <w:t>By:  /s/ C</w:t>
      </w:r>
      <w:r>
        <w:rPr>
          <w:rFonts w:ascii="Arial" w:cs="Arial" w:eastAsia="Arial" w:hAnsi="Arial"/>
          <w:sz w:val="24"/>
          <w:szCs w:val="24"/>
          <w:color w:val="auto"/>
          <w:vertAlign w:val="superscript"/>
        </w:rPr>
        <w:t>LYDE</w:t>
      </w:r>
      <w:r>
        <w:rPr>
          <w:rFonts w:ascii="Arial" w:cs="Arial" w:eastAsia="Arial" w:hAnsi="Arial"/>
          <w:sz w:val="15"/>
          <w:szCs w:val="15"/>
          <w:color w:val="auto"/>
        </w:rPr>
        <w:t xml:space="preserve"> R. H</w:t>
      </w:r>
      <w:r>
        <w:rPr>
          <w:rFonts w:ascii="Arial" w:cs="Arial" w:eastAsia="Arial" w:hAnsi="Arial"/>
          <w:sz w:val="24"/>
          <w:szCs w:val="24"/>
          <w:color w:val="auto"/>
          <w:vertAlign w:val="superscript"/>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-20320</wp:posOffset>
            </wp:positionV>
            <wp:extent cx="347345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ind w:left="5960"/>
        <w:spacing w:after="0"/>
        <w:rPr>
          <w:sz w:val="20"/>
          <w:szCs w:val="20"/>
          <w:color w:val="auto"/>
        </w:rPr>
      </w:pPr>
      <w:r>
        <w:rPr>
          <w:rFonts w:ascii="Arial" w:cs="Arial" w:eastAsia="Arial" w:hAnsi="Arial"/>
          <w:sz w:val="18"/>
          <w:szCs w:val="18"/>
          <w:color w:val="auto"/>
        </w:rPr>
        <w:t>Clyde R. Hosein</w:t>
      </w:r>
    </w:p>
    <w:p>
      <w:pPr>
        <w:spacing w:after="0" w:line="1"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Chief Financial Officer and Secretary</w:t>
      </w:r>
    </w:p>
    <w:p>
      <w:pPr>
        <w:sectPr>
          <w:pgSz w:w="11900" w:h="16838" w:orient="portrait"/>
          <w:cols w:equalWidth="0" w:num="1">
            <w:col w:w="11420"/>
          </w:cols>
          <w:pgMar w:left="240" w:top="125" w:right="239" w:bottom="1440" w:gutter="0" w:footer="0" w:header="0"/>
        </w:sectPr>
      </w:pPr>
    </w:p>
    <w:bookmarkStart w:id="62" w:name="page63"/>
    <w:bookmarkEnd w:id="62"/>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ind w:right="500"/>
        <w:spacing w:after="0" w:line="332" w:lineRule="auto"/>
        <w:rPr>
          <w:sz w:val="20"/>
          <w:szCs w:val="20"/>
          <w:color w:val="auto"/>
        </w:rPr>
      </w:pPr>
      <w:r>
        <w:rPr>
          <w:rFonts w:ascii="Arial" w:cs="Arial" w:eastAsia="Arial" w:hAnsi="Arial"/>
          <w:sz w:val="16"/>
          <w:szCs w:val="16"/>
          <w:color w:val="auto"/>
        </w:rPr>
        <w:t>I, Sehat Sutardja Ph.D., the president and chief executive officer of Marvell Technology Group Ltd. (the “Company”), certify for the purposes of 18 U.S.C. Section 1350, as adopted pursuant to Section 906 of the Sarbanes-Oxley Act of 2002, that, to the best of my knowledge,</w:t>
      </w:r>
    </w:p>
    <w:p>
      <w:pPr>
        <w:spacing w:after="0" w:line="4" w:lineRule="exact"/>
        <w:rPr>
          <w:sz w:val="20"/>
          <w:szCs w:val="20"/>
          <w:color w:val="auto"/>
        </w:rPr>
      </w:pPr>
    </w:p>
    <w:p>
      <w:pPr>
        <w:ind w:left="900" w:right="120" w:hanging="446"/>
        <w:spacing w:after="0" w:line="268" w:lineRule="auto"/>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April 28, 2012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5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S</w:t>
      </w:r>
      <w:r>
        <w:rPr>
          <w:rFonts w:ascii="Arial" w:cs="Arial" w:eastAsia="Arial" w:hAnsi="Arial"/>
          <w:sz w:val="14"/>
          <w:szCs w:val="14"/>
          <w:color w:val="auto"/>
        </w:rPr>
        <w:t>EHAT</w:t>
      </w:r>
      <w:r>
        <w:rPr>
          <w:rFonts w:ascii="Arial" w:cs="Arial" w:eastAsia="Arial" w:hAnsi="Arial"/>
          <w:sz w:val="18"/>
          <w:szCs w:val="18"/>
          <w:color w:val="auto"/>
        </w:rPr>
        <w:t xml:space="preserve"> S</w:t>
      </w:r>
      <w:r>
        <w:rPr>
          <w:rFonts w:ascii="Arial" w:cs="Arial" w:eastAsia="Arial" w:hAnsi="Arial"/>
          <w:sz w:val="14"/>
          <w:szCs w:val="14"/>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Sehat Sutardja, Ph.D.</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Chief Executive Officer</w:t>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June 1, 2012</w:t>
      </w:r>
    </w:p>
    <w:p>
      <w:pPr>
        <w:sectPr>
          <w:pgSz w:w="11900" w:h="16838" w:orient="portrait"/>
          <w:cols w:equalWidth="0" w:num="1">
            <w:col w:w="11420"/>
          </w:cols>
          <w:pgMar w:left="240" w:top="125" w:right="239" w:bottom="1440" w:gutter="0" w:footer="0" w:header="0"/>
        </w:sectPr>
      </w:pPr>
    </w:p>
    <w:bookmarkStart w:id="63" w:name="page64"/>
    <w:bookmarkEnd w:id="63"/>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I, Clyde Hosein, the chief financial officer and secretary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120" w:hanging="446"/>
        <w:spacing w:after="0" w:line="268" w:lineRule="auto"/>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April 28, 2012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51"/>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C</w:t>
      </w:r>
      <w:r>
        <w:rPr>
          <w:rFonts w:ascii="Arial" w:cs="Arial" w:eastAsia="Arial" w:hAnsi="Arial"/>
          <w:sz w:val="14"/>
          <w:szCs w:val="14"/>
          <w:color w:val="auto"/>
        </w:rPr>
        <w:t>LYDE</w:t>
      </w:r>
      <w:r>
        <w:rPr>
          <w:rFonts w:ascii="Arial" w:cs="Arial" w:eastAsia="Arial" w:hAnsi="Arial"/>
          <w:sz w:val="18"/>
          <w:szCs w:val="18"/>
          <w:color w:val="auto"/>
        </w:rPr>
        <w:t xml:space="preserve"> R. H</w:t>
      </w:r>
      <w:r>
        <w:rPr>
          <w:rFonts w:ascii="Arial" w:cs="Arial" w:eastAsia="Arial" w:hAnsi="Arial"/>
          <w:sz w:val="14"/>
          <w:szCs w:val="14"/>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Chief Financial Officer and Secretary</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June 1, 2012</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B03E0C6"/>
    <w:multiLevelType w:val="hybridMultilevel"/>
    <w:lvl w:ilvl="0">
      <w:lvlJc w:val="left"/>
      <w:lvlText w:val="☒"/>
      <w:numFmt w:val="bullet"/>
      <w:start w:val="1"/>
    </w:lvl>
  </w:abstractNum>
  <w:abstractNum w:abstractNumId="1">
    <w:nsid w:val="189A769B"/>
    <w:multiLevelType w:val="hybridMultilevel"/>
    <w:lvl w:ilvl="0">
      <w:lvlJc w:val="left"/>
      <w:lvlText w:val="☐"/>
      <w:numFmt w:val="bullet"/>
      <w:start w:val="1"/>
    </w:lvl>
  </w:abstractNum>
  <w:abstractNum w:abstractNumId="2">
    <w:nsid w:val="54E49EB4"/>
    <w:multiLevelType w:val="hybridMultilevel"/>
    <w:lvl w:ilvl="0">
      <w:lvlJc w:val="left"/>
      <w:lvlText w:val="*"/>
      <w:numFmt w:val="bullet"/>
      <w:start w:val="1"/>
    </w:lvl>
  </w:abstractNum>
  <w:abstractNum w:abstractNumId="3">
    <w:nsid w:val="71F32454"/>
    <w:multiLevelType w:val="hybridMultilevel"/>
    <w:lvl w:ilvl="0">
      <w:lvlJc w:val="left"/>
      <w:lvlText w:val="•"/>
      <w:numFmt w:val="bullet"/>
      <w:start w:val="1"/>
    </w:lvl>
  </w:abstractNum>
  <w:abstractNum w:abstractNumId="4">
    <w:nsid w:val="2CA88611"/>
    <w:multiLevelType w:val="hybridMultilevel"/>
    <w:lvl w:ilvl="0">
      <w:lvlJc w:val="left"/>
      <w:lvlText w:val="•"/>
      <w:numFmt w:val="bullet"/>
      <w:start w:val="1"/>
    </w:lvl>
  </w:abstractNum>
  <w:abstractNum w:abstractNumId="5">
    <w:nsid w:val="836C40E"/>
    <w:multiLevelType w:val="hybridMultilevel"/>
    <w:lvl w:ilvl="0">
      <w:lvlJc w:val="left"/>
      <w:lvlText w:val="•"/>
      <w:numFmt w:val="bullet"/>
      <w:start w:val="1"/>
    </w:lvl>
  </w:abstractNum>
  <w:abstractNum w:abstractNumId="6">
    <w:nsid w:val="2901D82"/>
    <w:multiLevelType w:val="hybridMultilevel"/>
    <w:lvl w:ilvl="0">
      <w:lvlJc w:val="left"/>
      <w:lvlText w:val="•"/>
      <w:numFmt w:val="bullet"/>
      <w:start w:val="1"/>
    </w:lvl>
  </w:abstractNum>
  <w:abstractNum w:abstractNumId="7">
    <w:nsid w:val="3A95F874"/>
    <w:multiLevelType w:val="hybridMultilevel"/>
    <w:lvl w:ilvl="0">
      <w:lvlJc w:val="left"/>
      <w:lvlText w:val="•"/>
      <w:numFmt w:val="bullet"/>
      <w:start w:val="1"/>
    </w:lvl>
  </w:abstractNum>
  <w:abstractNum w:abstractNumId="8">
    <w:nsid w:val="8138641"/>
    <w:multiLevelType w:val="hybridMultilevel"/>
    <w:lvl w:ilvl="0">
      <w:lvlJc w:val="left"/>
      <w:lvlText w:val="•"/>
      <w:numFmt w:val="bullet"/>
      <w:start w:val="1"/>
    </w:lvl>
  </w:abstractNum>
  <w:abstractNum w:abstractNumId="9">
    <w:nsid w:val="1E7FF521"/>
    <w:multiLevelType w:val="hybridMultilevel"/>
    <w:lvl w:ilvl="0">
      <w:lvlJc w:val="left"/>
      <w:lvlText w:val="•"/>
      <w:numFmt w:val="bullet"/>
      <w:start w:val="1"/>
    </w:lvl>
  </w:abstractNum>
  <w:abstractNum w:abstractNumId="10">
    <w:nsid w:val="7C3DBD3D"/>
    <w:multiLevelType w:val="hybridMultilevel"/>
    <w:lvl w:ilvl="0">
      <w:lvlJc w:val="left"/>
      <w:lvlText w:val="•"/>
      <w:numFmt w:val="bullet"/>
      <w:start w:val="1"/>
    </w:lvl>
  </w:abstractNum>
  <w:abstractNum w:abstractNumId="11">
    <w:nsid w:val="737B8DDC"/>
    <w:multiLevelType w:val="hybridMultilevel"/>
    <w:lvl w:ilvl="0">
      <w:lvlJc w:val="left"/>
      <w:lvlText w:val="(%1)"/>
      <w:numFmt w:val="decimal"/>
      <w:start w:val="1"/>
    </w:lvl>
  </w:abstractNum>
  <w:abstractNum w:abstractNumId="12">
    <w:nsid w:val="6CEAF087"/>
    <w:multiLevelType w:val="hybridMultilevel"/>
    <w:lvl w:ilvl="0">
      <w:lvlJc w:val="left"/>
      <w:lvlText w:val="*"/>
      <w:numFmt w:val="bullet"/>
      <w:start w:val="1"/>
    </w:lvl>
  </w:abstractNum>
  <w:abstractNum w:abstractNumId="13">
    <w:nsid w:val="22221A70"/>
    <w:multiLevelType w:val="hybridMultilevel"/>
    <w:lvl w:ilvl="0">
      <w:lvlJc w:val="left"/>
      <w:lvlText w:val="*"/>
      <w:numFmt w:val="bullet"/>
      <w:start w:val="1"/>
    </w:lvl>
  </w:abstractNum>
  <w:abstractNum w:abstractNumId="14">
    <w:nsid w:val="4516DDE9"/>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15">
    <w:nsid w:val="3006C83E"/>
    <w:multiLevelType w:val="hybridMultilevel"/>
    <w:lvl w:ilvl="0">
      <w:lvlJc w:val="left"/>
      <w:lvlText w:val="%1"/>
      <w:numFmt w:val="lowerLetter"/>
      <w:start w:val="1"/>
    </w:lvl>
    <w:lvl w:ilvl="1">
      <w:lvlJc w:val="left"/>
      <w:lvlText w:val="(%2)"/>
      <w:numFmt w:val="lowerRoman"/>
      <w:start w:val="3"/>
    </w:lvl>
  </w:abstractNum>
  <w:abstractNum w:abstractNumId="16">
    <w:nsid w:val="614FD4A1"/>
    <w:multiLevelType w:val="hybridMultilevel"/>
    <w:lvl w:ilvl="0">
      <w:lvlJc w:val="left"/>
      <w:lvlText w:val="(%1)"/>
      <w:numFmt w:val="lowerLetter"/>
      <w:start w:val="8"/>
    </w:lvl>
    <w:lvl w:ilvl="1">
      <w:lvlJc w:val="left"/>
      <w:lvlText w:val="%2"/>
      <w:numFmt w:val="lowerRoman"/>
      <w:start w:val="1"/>
    </w:lvl>
  </w:abstractNum>
  <w:abstractNum w:abstractNumId="17">
    <w:nsid w:val="419AC241"/>
    <w:multiLevelType w:val="hybridMultilevel"/>
    <w:lvl w:ilvl="0">
      <w:lvlJc w:val="left"/>
      <w:lvlText w:val="(%1)"/>
      <w:numFmt w:val="lowerLetter"/>
      <w:start w:val="18"/>
    </w:lvl>
    <w:lvl w:ilvl="1">
      <w:lvlJc w:val="left"/>
      <w:lvlText w:val="(%2)"/>
      <w:numFmt w:val="lowerRoman"/>
      <w:start w:val="1"/>
    </w:lvl>
  </w:abstractNum>
  <w:abstractNum w:abstractNumId="18">
    <w:nsid w:val="5577F8E1"/>
    <w:multiLevelType w:val="hybridMultilevel"/>
    <w:lvl w:ilvl="0">
      <w:lvlJc w:val="left"/>
      <w:lvlText w:val="%1"/>
      <w:numFmt w:val="decimal"/>
      <w:start w:val="1"/>
    </w:lvl>
    <w:lvl w:ilvl="1">
      <w:lvlJc w:val="left"/>
      <w:lvlText w:val="(%2)"/>
      <w:numFmt w:val="lowerLetter"/>
      <w:start w:val="27"/>
    </w:lvl>
  </w:abstractNum>
  <w:abstractNum w:abstractNumId="19">
    <w:nsid w:val="440BADFC"/>
    <w:multiLevelType w:val="hybridMultilevel"/>
    <w:lvl w:ilvl="0">
      <w:lvlJc w:val="left"/>
      <w:lvlText w:val="%1."/>
      <w:numFmt w:val="decimal"/>
      <w:start w:val="3"/>
    </w:lvl>
    <w:lvl w:ilvl="1">
      <w:lvlJc w:val="left"/>
      <w:lvlText w:val="(%2)"/>
      <w:numFmt w:val="lowerLetter"/>
      <w:start w:val="1"/>
    </w:lvl>
  </w:abstractNum>
  <w:abstractNum w:abstractNumId="20">
    <w:nsid w:val="5072367"/>
    <w:multiLevelType w:val="hybridMultilevel"/>
    <w:lvl w:ilvl="0">
      <w:lvlJc w:val="left"/>
      <w:lvlText w:val="%1"/>
      <w:numFmt w:val="lowerLetter"/>
      <w:start w:val="1"/>
    </w:lvl>
    <w:lvl w:ilvl="1">
      <w:lvlJc w:val="left"/>
      <w:lvlText w:val="%2."/>
      <w:numFmt w:val="decimal"/>
      <w:start w:val="4"/>
    </w:lvl>
    <w:lvl w:ilvl="2">
      <w:lvlJc w:val="left"/>
      <w:lvlText w:val="%3"/>
      <w:numFmt w:val="lowerLetter"/>
      <w:start w:val="1"/>
    </w:lvl>
    <w:lvl w:ilvl="3">
      <w:lvlJc w:val="left"/>
      <w:lvlText w:val="%4"/>
      <w:numFmt w:val="lowerLetter"/>
      <w:start w:val="1"/>
    </w:lvl>
  </w:abstractNum>
  <w:abstractNum w:abstractNumId="21">
    <w:nsid w:val="3804823E"/>
    <w:multiLevelType w:val="hybridMultilevel"/>
    <w:lvl w:ilvl="0">
      <w:lvlJc w:val="left"/>
      <w:lvlText w:val="(%1)"/>
      <w:numFmt w:val="lowerLetter"/>
      <w:start w:val="61"/>
    </w:lvl>
    <w:lvl w:ilvl="1">
      <w:lvlJc w:val="left"/>
      <w:lvlText w:val="%2"/>
      <w:numFmt w:val="decimal"/>
      <w:start w:val="1"/>
    </w:lvl>
    <w:lvl w:ilvl="2">
      <w:lvlJc w:val="left"/>
      <w:lvlText w:val="%3"/>
      <w:numFmt w:val="lowerLetter"/>
      <w:start w:val="1"/>
    </w:lvl>
    <w:lvl w:ilvl="3">
      <w:lvlJc w:val="left"/>
      <w:lvlText w:val="%4"/>
      <w:numFmt w:val="lowerLetter"/>
      <w:start w:val="1"/>
    </w:lvl>
  </w:abstractNum>
  <w:abstractNum w:abstractNumId="22">
    <w:nsid w:val="77465F01"/>
    <w:multiLevelType w:val="hybridMultilevel"/>
    <w:lvl w:ilvl="0">
      <w:lvlJc w:val="left"/>
      <w:lvlText w:val="(%1)"/>
      <w:numFmt w:val="lowerLetter"/>
      <w:start w:val="3"/>
    </w:lvl>
    <w:lvl w:ilvl="1">
      <w:lvlJc w:val="left"/>
      <w:lvlText w:val="%2."/>
      <w:numFmt w:val="decimal"/>
      <w:start w:val="5"/>
    </w:lvl>
    <w:lvl w:ilvl="2">
      <w:lvlJc w:val="left"/>
      <w:lvlText w:val="(%3)"/>
      <w:numFmt w:val="lowerLetter"/>
      <w:start w:val="1"/>
    </w:lvl>
    <w:lvl w:ilvl="3">
      <w:lvlJc w:val="left"/>
      <w:lvlText w:val="(%4)"/>
      <w:numFmt w:val="lowerLetter"/>
      <w:start w:val="9"/>
    </w:lvl>
  </w:abstractNum>
  <w:abstractNum w:abstractNumId="23">
    <w:nsid w:val="7724C67E"/>
    <w:multiLevelType w:val="hybridMultilevel"/>
    <w:lvl w:ilvl="0">
      <w:lvlJc w:val="left"/>
      <w:lvlText w:val="%1"/>
      <w:numFmt w:val="lowerLetter"/>
      <w:start w:val="1"/>
    </w:lvl>
    <w:lvl w:ilvl="1">
      <w:lvlJc w:val="left"/>
      <w:lvlText w:val="(%2)"/>
      <w:numFmt w:val="lowerRoman"/>
      <w:start w:val="2"/>
    </w:lvl>
  </w:abstractNum>
  <w:abstractNum w:abstractNumId="24">
    <w:nsid w:val="5C482A97"/>
    <w:multiLevelType w:val="hybridMultilevel"/>
    <w:lvl w:ilvl="0">
      <w:lvlJc w:val="left"/>
      <w:lvlText w:val="(%1)"/>
      <w:numFmt w:val="lowerLetter"/>
      <w:start w:val="5"/>
    </w:lvl>
    <w:lvl w:ilvl="1">
      <w:lvlJc w:val="left"/>
      <w:lvlText w:val="(%2)"/>
      <w:numFmt w:val="lowerRoman"/>
      <w:start w:val="1"/>
    </w:lvl>
  </w:abstractNum>
  <w:abstractNum w:abstractNumId="25">
    <w:nsid w:val="2463B9EA"/>
    <w:multiLevelType w:val="hybridMultilevel"/>
    <w:lvl w:ilvl="0">
      <w:lvlJc w:val="left"/>
      <w:lvlText w:val="%1"/>
      <w:numFmt w:val="lowerLetter"/>
      <w:start w:val="1"/>
    </w:lvl>
    <w:lvl w:ilvl="1">
      <w:lvlJc w:val="left"/>
      <w:lvlText w:val="(%2)"/>
      <w:numFmt w:val="lowerLetter"/>
      <w:start w:val="61"/>
    </w:lvl>
  </w:abstractNum>
  <w:abstractNum w:abstractNumId="26">
    <w:nsid w:val="5E884ADC"/>
    <w:multiLevelType w:val="hybridMultilevel"/>
    <w:lvl w:ilvl="0">
      <w:lvlJc w:val="left"/>
      <w:lvlText w:val="(%1)"/>
      <w:numFmt w:val="lowerLetter"/>
      <w:start w:val="6"/>
    </w:lvl>
    <w:lvl w:ilvl="1">
      <w:lvlJc w:val="left"/>
      <w:lvlText w:val="(%2)"/>
      <w:numFmt w:val="lowerLetter"/>
      <w:start w:val="9"/>
    </w:lvl>
  </w:abstractNum>
  <w:abstractNum w:abstractNumId="27">
    <w:nsid w:val="51EAD36B"/>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35"/>
    </w:lvl>
  </w:abstractNum>
  <w:abstractNum w:abstractNumId="28">
    <w:nsid w:val="2D517796"/>
    <w:multiLevelType w:val="hybridMultilevel"/>
    <w:lvl w:ilvl="0">
      <w:lvlJc w:val="left"/>
      <w:lvlText w:val="%1"/>
      <w:numFmt w:val="decimal"/>
      <w:start w:val="1"/>
    </w:lvl>
    <w:lvl w:ilvl="1">
      <w:lvlJc w:val="left"/>
      <w:lvlText w:val="(%2)"/>
      <w:numFmt w:val="lowerLetter"/>
      <w:start w:val="7"/>
    </w:lvl>
    <w:lvl w:ilvl="2">
      <w:lvlJc w:val="left"/>
      <w:lvlText w:val="%3"/>
      <w:numFmt w:val="lowerLetter"/>
      <w:start w:val="1"/>
    </w:lvl>
  </w:abstractNum>
  <w:abstractNum w:abstractNumId="29">
    <w:nsid w:val="580BD78F"/>
    <w:multiLevelType w:val="hybridMultilevel"/>
    <w:lvl w:ilvl="0">
      <w:lvlJc w:val="left"/>
      <w:lvlText w:val="%1."/>
      <w:numFmt w:val="decimal"/>
      <w:start w:val="6"/>
    </w:lvl>
    <w:lvl w:ilvl="1">
      <w:lvlJc w:val="left"/>
      <w:lvlText w:val="%2"/>
      <w:numFmt w:val="lowerLetter"/>
      <w:start w:val="1"/>
    </w:lvl>
    <w:lvl w:ilvl="2">
      <w:lvlJc w:val="left"/>
      <w:lvlText w:val="%3"/>
      <w:numFmt w:val="lowerLetter"/>
      <w:start w:val="1"/>
    </w:lvl>
  </w:abstractNum>
  <w:abstractNum w:abstractNumId="30">
    <w:nsid w:val="153EA438"/>
    <w:multiLevelType w:val="hybridMultilevel"/>
    <w:lvl w:ilvl="0">
      <w:lvlJc w:val="left"/>
      <w:lvlText w:val="%1."/>
      <w:numFmt w:val="decimal"/>
      <w:start w:val="7"/>
    </w:lvl>
  </w:abstractNum>
  <w:abstractNum w:abstractNumId="31">
    <w:nsid w:val="3855585C"/>
    <w:multiLevelType w:val="hybridMultilevel"/>
    <w:lvl w:ilvl="0">
      <w:lvlJc w:val="left"/>
      <w:lvlText w:val="%1."/>
      <w:numFmt w:val="decimal"/>
      <w:start w:val="8"/>
    </w:lvl>
    <w:lvl w:ilvl="1">
      <w:lvlJc w:val="left"/>
      <w:lvlText w:val="(%2)"/>
      <w:numFmt w:val="lowerLetter"/>
      <w:start w:val="1"/>
    </w:lvl>
  </w:abstractNum>
  <w:abstractNum w:abstractNumId="32">
    <w:nsid w:val="70A64E2A"/>
    <w:multiLevelType w:val="hybridMultilevel"/>
    <w:lvl w:ilvl="0">
      <w:lvlJc w:val="left"/>
      <w:lvlText w:val="%1."/>
      <w:numFmt w:val="decimal"/>
      <w:start w:val="9"/>
    </w:lvl>
    <w:lvl w:ilvl="1">
      <w:lvlJc w:val="left"/>
      <w:lvlText w:val="(%2)"/>
      <w:numFmt w:val="lowerLetter"/>
      <w:start w:val="1"/>
    </w:lvl>
    <w:lvl w:ilvl="2">
      <w:lvlJc w:val="left"/>
      <w:lvlText w:val="(%3)"/>
      <w:numFmt w:val="lowerRoman"/>
      <w:start w:val="1"/>
    </w:lvl>
  </w:abstractNum>
  <w:abstractNum w:abstractNumId="33">
    <w:nsid w:val="6A2342EC"/>
    <w:multiLevelType w:val="hybridMultilevel"/>
    <w:lvl w:ilvl="0">
      <w:lvlJc w:val="left"/>
      <w:lvlText w:val="%1"/>
      <w:numFmt w:val="decimal"/>
      <w:start w:val="1"/>
    </w:lvl>
    <w:lvl w:ilvl="1">
      <w:lvlJc w:val="left"/>
      <w:lvlText w:val="(%2)"/>
      <w:numFmt w:val="lowerLetter"/>
      <w:start w:val="3"/>
    </w:lvl>
  </w:abstractNum>
  <w:abstractNum w:abstractNumId="34">
    <w:nsid w:val="2A487CB0"/>
    <w:multiLevelType w:val="hybridMultilevel"/>
    <w:lvl w:ilvl="0">
      <w:lvlJc w:val="left"/>
      <w:lvlText w:val="%1."/>
      <w:numFmt w:val="decimal"/>
      <w:start w:val="10"/>
    </w:lvl>
    <w:lvl w:ilvl="1">
      <w:lvlJc w:val="left"/>
      <w:lvlText w:val="(%2)"/>
      <w:numFmt w:val="lowerLetter"/>
      <w:start w:val="1"/>
    </w:lvl>
  </w:abstractNum>
  <w:abstractNum w:abstractNumId="35">
    <w:nsid w:val="1D4ED43B"/>
    <w:multiLevelType w:val="hybridMultilevel"/>
    <w:lvl w:ilvl="0">
      <w:lvlJc w:val="left"/>
      <w:lvlText w:val="%1"/>
      <w:numFmt w:val="decimal"/>
      <w:start w:val="1"/>
    </w:lvl>
    <w:lvl w:ilvl="1">
      <w:lvlJc w:val="left"/>
      <w:lvlText w:val="(%2)"/>
      <w:numFmt w:val="lowerLetter"/>
      <w:start w:val="2"/>
    </w:lvl>
  </w:abstractNum>
  <w:abstractNum w:abstractNumId="36">
    <w:nsid w:val="725A06FB"/>
    <w:multiLevelType w:val="hybridMultilevel"/>
    <w:lvl w:ilvl="0">
      <w:lvlJc w:val="left"/>
      <w:lvlText w:val="%1."/>
      <w:numFmt w:val="decimal"/>
      <w:start w:val="11"/>
    </w:lvl>
    <w:lvl w:ilvl="1">
      <w:lvlJc w:val="left"/>
      <w:lvlText w:val="(%2)"/>
      <w:numFmt w:val="lowerLetter"/>
      <w:start w:val="1"/>
    </w:lvl>
  </w:abstractNum>
  <w:abstractNum w:abstractNumId="37">
    <w:nsid w:val="2CD89A32"/>
    <w:multiLevelType w:val="hybridMultilevel"/>
    <w:lvl w:ilvl="0">
      <w:lvlJc w:val="left"/>
      <w:lvlText w:val="(%1)"/>
      <w:numFmt w:val="lowerRoman"/>
      <w:start w:val="1"/>
    </w:lvl>
  </w:abstractNum>
  <w:abstractNum w:abstractNumId="38">
    <w:nsid w:val="57E4CCAF"/>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35"/>
    </w:lvl>
  </w:abstractNum>
  <w:abstractNum w:abstractNumId="39">
    <w:nsid w:val="7A6D8D3C"/>
    <w:multiLevelType w:val="hybridMultilevel"/>
    <w:lvl w:ilvl="0">
      <w:lvlJc w:val="left"/>
      <w:lvlText w:val="%1"/>
      <w:numFmt w:val="decimal"/>
      <w:start w:val="1"/>
    </w:lvl>
    <w:lvl w:ilvl="1">
      <w:lvlJc w:val="left"/>
      <w:lvlText w:val="(%2)"/>
      <w:numFmt w:val="lowerLetter"/>
      <w:start w:val="4"/>
    </w:lvl>
    <w:lvl w:ilvl="2">
      <w:lvlJc w:val="left"/>
      <w:lvlText w:val="%3"/>
      <w:numFmt w:val="lowerLetter"/>
      <w:start w:val="1"/>
    </w:lvl>
  </w:abstractNum>
  <w:abstractNum w:abstractNumId="40">
    <w:nsid w:val="4B588F54"/>
    <w:multiLevelType w:val="hybridMultilevel"/>
    <w:lvl w:ilvl="0">
      <w:lvlJc w:val="left"/>
      <w:lvlText w:val="%1."/>
      <w:numFmt w:val="decimal"/>
      <w:start w:val="12"/>
    </w:lvl>
    <w:lvl w:ilvl="1">
      <w:lvlJc w:val="left"/>
      <w:lvlText w:val="(%2)"/>
      <w:numFmt w:val="lowerLetter"/>
      <w:start w:val="1"/>
    </w:lvl>
    <w:lvl w:ilvl="2">
      <w:lvlJc w:val="left"/>
      <w:lvlText w:val="(%3)"/>
      <w:numFmt w:val="lowerLetter"/>
      <w:start w:val="9"/>
    </w:lvl>
  </w:abstractNum>
  <w:abstractNum w:abstractNumId="41">
    <w:nsid w:val="542289EC"/>
    <w:multiLevelType w:val="hybridMultilevel"/>
    <w:lvl w:ilvl="0">
      <w:lvlJc w:val="left"/>
      <w:lvlText w:val="%1."/>
      <w:numFmt w:val="decimal"/>
      <w:start w:val="13"/>
    </w:lvl>
    <w:lvl w:ilvl="1">
      <w:lvlJc w:val="left"/>
      <w:lvlText w:val="(%2)"/>
      <w:numFmt w:val="lowerLetter"/>
      <w:start w:val="1"/>
    </w:lvl>
  </w:abstractNum>
  <w:abstractNum w:abstractNumId="42">
    <w:nsid w:val="6DE91B18"/>
    <w:multiLevelType w:val="hybridMultilevel"/>
    <w:lvl w:ilvl="0">
      <w:lvlJc w:val="left"/>
      <w:lvlText w:val="%1"/>
      <w:numFmt w:val="decimal"/>
      <w:start w:val="1"/>
    </w:lvl>
    <w:lvl w:ilvl="1">
      <w:lvlJc w:val="left"/>
      <w:lvlText w:val="(%2)"/>
      <w:numFmt w:val="lowerLetter"/>
      <w:start w:val="6"/>
    </w:lvl>
  </w:abstractNum>
  <w:abstractNum w:abstractNumId="43">
    <w:nsid w:val="38437FDB"/>
    <w:multiLevelType w:val="hybridMultilevel"/>
    <w:lvl w:ilvl="0">
      <w:lvlJc w:val="left"/>
      <w:lvlText w:val="%1."/>
      <w:numFmt w:val="decimal"/>
      <w:start w:val="14"/>
    </w:lvl>
    <w:lvl w:ilvl="1">
      <w:lvlJc w:val="left"/>
      <w:lvlText w:val="(%2)"/>
      <w:numFmt w:val="lowerLetter"/>
      <w:start w:val="1"/>
    </w:lvl>
  </w:abstractNum>
  <w:abstractNum w:abstractNumId="44">
    <w:nsid w:val="7644A45C"/>
    <w:multiLevelType w:val="hybridMultilevel"/>
    <w:lvl w:ilvl="0">
      <w:lvlJc w:val="left"/>
      <w:lvlText w:val="%1."/>
      <w:numFmt w:val="decimal"/>
      <w:start w:val="19"/>
    </w:lvl>
    <w:lvl w:ilvl="1">
      <w:lvlJc w:val="left"/>
      <w:lvlText w:val="(%2)"/>
      <w:numFmt w:val="lowerLetter"/>
      <w:start w:val="1"/>
    </w:lvl>
  </w:abstractNum>
  <w:abstractNum w:abstractNumId="45">
    <w:nsid w:val="32FFF902"/>
    <w:multiLevelType w:val="hybridMultilevel"/>
    <w:lvl w:ilvl="0">
      <w:lvlJc w:val="left"/>
      <w:lvlText w:val="%1"/>
      <w:numFmt w:val="decimal"/>
      <w:start w:val="1"/>
    </w:lvl>
    <w:lvl w:ilvl="1">
      <w:lvlJc w:val="left"/>
      <w:lvlText w:val="(%2)"/>
      <w:numFmt w:val="lowerLetter"/>
      <w:start w:val="3"/>
    </w:lvl>
  </w:abstractNum>
  <w:abstractNum w:abstractNumId="46">
    <w:nsid w:val="684A481A"/>
    <w:multiLevelType w:val="hybridMultilevel"/>
    <w:lvl w:ilvl="0">
      <w:lvlJc w:val="left"/>
      <w:lvlText w:val="%1."/>
      <w:numFmt w:val="decimal"/>
      <w:start w:val="21"/>
    </w:lvl>
    <w:lvl w:ilvl="1">
      <w:lvlJc w:val="left"/>
      <w:lvlText w:val="(%2)"/>
      <w:numFmt w:val="lowerLetter"/>
      <w:start w:val="1"/>
    </w:lvl>
  </w:abstractNum>
  <w:abstractNum w:abstractNumId="47">
    <w:nsid w:val="579478FE"/>
    <w:multiLevelType w:val="hybridMultilevel"/>
    <w:lvl w:ilvl="0">
      <w:lvlJc w:val="left"/>
      <w:lvlText w:val="%1."/>
      <w:numFmt w:val="decimal"/>
      <w:start w:val="1"/>
    </w:lvl>
    <w:lvl w:ilvl="1">
      <w:lvlJc w:val="left"/>
      <w:lvlText w:val="%2)"/>
      <w:numFmt w:val="lowerLetter"/>
      <w:start w:val="1"/>
    </w:lvl>
  </w:abstractNum>
  <w:abstractNum w:abstractNumId="48">
    <w:nsid w:val="749ABB43"/>
    <w:multiLevelType w:val="hybridMultilevel"/>
    <w:lvl w:ilvl="0">
      <w:lvlJc w:val="left"/>
      <w:lvlText w:val="%1."/>
      <w:numFmt w:val="decimal"/>
      <w:start w:val="1"/>
    </w:lvl>
    <w:lvl w:ilvl="1">
      <w:lvlJc w:val="left"/>
      <w:lvlText w:val="%2)"/>
      <w:numFmt w:val="lowerLetter"/>
      <w:start w:val="1"/>
    </w:lvl>
  </w:abstractNum>
  <w:abstractNum w:abstractNumId="49">
    <w:nsid w:val="3DC240FB"/>
    <w:multiLevelType w:val="hybridMultilevel"/>
    <w:lvl w:ilvl="0">
      <w:lvlJc w:val="left"/>
      <w:lvlText w:val="(%1)"/>
      <w:numFmt w:val="lowerRoman"/>
      <w:start w:val="1"/>
    </w:lvl>
  </w:abstractNum>
  <w:abstractNum w:abstractNumId="50">
    <w:nsid w:val="1BA026FA"/>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2019-12-09T13:15:55Z</dcterms:created>
  <dcterms:modified xsi:type="dcterms:W3CDTF">2019-12-09T13:15:55Z</dcterms:modified>
</cp:coreProperties>
</file>