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3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28"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Date of Report (Date of earliest event reported): May 3, 2012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8"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 of</w:t>
      </w:r>
    </w:p>
    <w:p>
      <w:pPr>
        <w:spacing w:after="0" w:line="24"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25"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25"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61"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ind w:left="1140" w:right="320" w:hanging="1133"/>
        <w:spacing w:after="0" w:line="275"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45" w:lineRule="exact"/>
        <w:rPr>
          <w:sz w:val="20"/>
          <w:szCs w:val="20"/>
          <w:color w:val="auto"/>
        </w:rPr>
      </w:pPr>
    </w:p>
    <w:p>
      <w:pPr>
        <w:spacing w:after="0"/>
        <w:rPr>
          <w:sz w:val="20"/>
          <w:szCs w:val="20"/>
          <w:color w:val="auto"/>
        </w:rPr>
      </w:pPr>
      <w:r>
        <w:rPr>
          <w:rFonts w:ascii="Arial" w:cs="Arial" w:eastAsia="Arial" w:hAnsi="Arial"/>
          <w:sz w:val="18"/>
          <w:szCs w:val="18"/>
          <w:color w:val="auto"/>
        </w:rPr>
        <w:t>(a)</w:t>
      </w:r>
    </w:p>
    <w:p>
      <w:pPr>
        <w:spacing w:after="0" w:line="171" w:lineRule="exact"/>
        <w:rPr>
          <w:sz w:val="20"/>
          <w:szCs w:val="20"/>
          <w:color w:val="auto"/>
        </w:rPr>
      </w:pPr>
    </w:p>
    <w:p>
      <w:pPr>
        <w:jc w:val="both"/>
        <w:spacing w:after="0" w:line="256" w:lineRule="auto"/>
        <w:rPr>
          <w:sz w:val="20"/>
          <w:szCs w:val="20"/>
          <w:color w:val="auto"/>
        </w:rPr>
      </w:pPr>
      <w:r>
        <w:rPr>
          <w:rFonts w:ascii="Arial" w:cs="Arial" w:eastAsia="Arial" w:hAnsi="Arial"/>
          <w:sz w:val="18"/>
          <w:szCs w:val="18"/>
          <w:color w:val="auto"/>
        </w:rPr>
        <w:t>On May 3, 2012, Dr. Ta-lin Hsu notified Marvell Technology Group Ltd. (the “Company”) of his decision to resign from the Company’s board of directors (the “Board”) and committees thereof effective as of the date of the 2012 annual general meeting of shareholder to be held on June 28, 2012 (the “Annual Meeting”). Dr. Hsu served on the Audit Committee and the Executive Compensation Committee. Dr. Hsu has advised the Company that his decision to leave the Board is for personal reasons.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4"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8, 2012</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Clyde R. Hosein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Clyde R. Hosein</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 and Secretary</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2019-12-09T12:41:26Z</dcterms:created>
  <dcterms:modified xsi:type="dcterms:W3CDTF">2019-12-09T12:41:26Z</dcterms:modified>
</cp:coreProperties>
</file>