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0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-643255</wp:posOffset>
            </wp:positionV>
            <wp:extent cx="59055" cy="656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-643255</wp:posOffset>
            </wp:positionV>
            <wp:extent cx="59055" cy="656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58851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588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Krueger Arturo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80" w:type="dxa"/>
            <w:vAlign w:val="bottom"/>
            <w:gridSpan w:val="7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vMerge w:val="restart"/>
          </w:tcPr>
          <w:p>
            <w:pPr>
              <w:ind w:left="10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06/28/2012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380" w:type="dxa"/>
            <w:vAlign w:val="bottom"/>
            <w:gridSpan w:val="1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9"/>
          </w:tcPr>
          <w:p>
            <w:pPr>
              <w:ind w:left="1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9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06/28/2012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4,946</w:t>
            </w:r>
          </w:p>
        </w:tc>
        <w:tc>
          <w:tcPr>
            <w:tcW w:w="6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4,946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7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5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4,946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4,946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06/28/2012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ind w:left="19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11.03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06/28/2022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5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5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06/28/2013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5"/>
              </w:rPr>
              <w:t>1. Each restricted stock unit represented a contingent right to receive one Marvell Technology Group Ltd. ("Marvell") common share upon vesting.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2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2. These restricted stock units vested as to 100% of shares on June 28, 2012.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60" w:type="dxa"/>
            <w:vAlign w:val="bottom"/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Vests 100% of shares on the earlier of the next annual general meeting of Marvell or the one year anniversary of the option grant date.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4. Each restricted stock unit represents a contingent right to receive one Marvell common share.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5. Vests 100% of shares on the earlier of the next annual general meeting of Marvell or the one year anniversary of the restricted stock unit grant date.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/s/ Arturo Krueger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06/29/2012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gridSpan w:val="6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4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8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-4415790</wp:posOffset>
            </wp:positionV>
            <wp:extent cx="24765" cy="31070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7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2019-12-17T15:27:57Z</dcterms:created>
  <dcterms:modified xsi:type="dcterms:W3CDTF">2019-12-17T15:27:57Z</dcterms:modified>
</cp:coreProperties>
</file>