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1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Date of Report (Date of earliest event reported): February 23,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 of</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96" w:lineRule="exact"/>
        <w:rPr>
          <w:sz w:val="20"/>
          <w:szCs w:val="20"/>
          <w:color w:val="auto"/>
        </w:rPr>
      </w:pPr>
    </w:p>
    <w:p>
      <w:pPr>
        <w:ind w:right="420" w:firstLine="456"/>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On February 23, 2012, Marvell Technology Group Ltd. (“Marvell”) issued a press release regarding its financial results for its fourth fiscal quarter and fiscal year ended January 28, 2012.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58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900" w:right="6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utilized to measure the achievement of stock-based awards (adjustments may vary from award to award) for certain Marvell executive officers;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hanging="325"/>
        <w:spacing w:after="0" w:line="298" w:lineRule="auto"/>
        <w:tabs>
          <w:tab w:leader="none" w:pos="900" w:val="left"/>
        </w:tabs>
        <w:numPr>
          <w:ilvl w:val="0"/>
          <w:numId w:val="3"/>
        </w:numPr>
        <w:rPr>
          <w:rFonts w:ascii="Arial" w:cs="Arial" w:eastAsia="Arial" w:hAnsi="Arial"/>
          <w:sz w:val="16"/>
          <w:szCs w:val="16"/>
          <w:color w:val="auto"/>
        </w:rPr>
      </w:pPr>
      <w:r>
        <w:rPr>
          <w:rFonts w:ascii="Arial" w:cs="Arial" w:eastAsia="Arial" w:hAnsi="Arial"/>
          <w:sz w:val="16"/>
          <w:szCs w:val="16"/>
          <w:i w:val="1"/>
          <w:iCs w:val="1"/>
          <w:color w:val="auto"/>
        </w:rPr>
        <w:t>Stock-based compensation</w:t>
      </w:r>
      <w:r>
        <w:rPr>
          <w:rFonts w:ascii="Arial" w:cs="Arial" w:eastAsia="Arial" w:hAnsi="Arial"/>
          <w:sz w:val="16"/>
          <w:szCs w:val="16"/>
          <w:color w:val="auto"/>
        </w:rPr>
        <w:t>. Stock-based compensation relates primarily to employee stock options, restricted stock units and purchases made through</w:t>
      </w:r>
      <w:r>
        <w:rPr>
          <w:rFonts w:ascii="Arial" w:cs="Arial" w:eastAsia="Arial" w:hAnsi="Arial"/>
          <w:sz w:val="16"/>
          <w:szCs w:val="16"/>
          <w:i w:val="1"/>
          <w:iCs w:val="1"/>
          <w:color w:val="auto"/>
        </w:rPr>
        <w:t xml:space="preserve"> </w:t>
      </w:r>
      <w:r>
        <w:rPr>
          <w:rFonts w:ascii="Arial" w:cs="Arial" w:eastAsia="Arial" w:hAnsi="Arial"/>
          <w:sz w:val="16"/>
          <w:szCs w:val="16"/>
          <w:color w:val="auto"/>
        </w:rPr>
        <w:t>Marvell’s employee stock purchase plan. Stock-based 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2" w:name="page3"/>
    <w:bookmarkEnd w:id="2"/>
    <w:p>
      <w:pPr>
        <w:ind w:left="900" w:hanging="325"/>
        <w:spacing w:after="0" w:line="332"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of acquired intangible assets</w:t>
      </w:r>
      <w:r>
        <w:rPr>
          <w:rFonts w:ascii="Arial" w:cs="Arial" w:eastAsia="Arial" w:hAnsi="Arial"/>
          <w:sz w:val="16"/>
          <w:szCs w:val="16"/>
          <w:color w:val="auto"/>
        </w:rPr>
        <w:t>. Purchased intangible assets relate primarily to existing and core technology, and customer relationships of</w:t>
      </w:r>
      <w:r>
        <w:rPr>
          <w:rFonts w:ascii="Arial" w:cs="Arial" w:eastAsia="Arial" w:hAnsi="Arial"/>
          <w:sz w:val="16"/>
          <w:szCs w:val="16"/>
          <w:i w:val="1"/>
          <w:iCs w:val="1"/>
          <w:color w:val="auto"/>
        </w:rPr>
        <w:t xml:space="preserve"> </w:t>
      </w:r>
      <w:r>
        <w:rPr>
          <w:rFonts w:ascii="Arial" w:cs="Arial" w:eastAsia="Arial" w:hAnsi="Arial"/>
          <w:sz w:val="16"/>
          <w:szCs w:val="16"/>
          <w:color w:val="auto"/>
        </w:rPr>
        <w:t>acquired businesses. Management considers these charges non-cash in nature and unrelated to Marvell’s core operating performance.</w:t>
      </w:r>
    </w:p>
    <w:p>
      <w:pPr>
        <w:spacing w:after="0" w:line="4" w:lineRule="exact"/>
        <w:rPr>
          <w:rFonts w:ascii="Arial" w:cs="Arial" w:eastAsia="Arial" w:hAnsi="Arial"/>
          <w:sz w:val="16"/>
          <w:szCs w:val="16"/>
          <w:color w:val="auto"/>
        </w:rPr>
      </w:pPr>
    </w:p>
    <w:p>
      <w:pPr>
        <w:ind w:left="900" w:right="6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Acquisition-related costs</w:t>
      </w:r>
      <w:r>
        <w:rPr>
          <w:rFonts w:ascii="Arial" w:cs="Arial" w:eastAsia="Arial" w:hAnsi="Arial"/>
          <w:sz w:val="16"/>
          <w:szCs w:val="16"/>
          <w:color w:val="auto"/>
        </w:rPr>
        <w:t>. Acquisition-related costs primarily include the step-up in fair value of acquired inventory that was sold during the period,</w:t>
      </w:r>
      <w:r>
        <w:rPr>
          <w:rFonts w:ascii="Arial" w:cs="Arial" w:eastAsia="Arial" w:hAnsi="Arial"/>
          <w:sz w:val="16"/>
          <w:szCs w:val="16"/>
          <w:i w:val="1"/>
          <w:iCs w:val="1"/>
          <w:color w:val="auto"/>
        </w:rPr>
        <w:t xml:space="preserve"> </w:t>
      </w:r>
      <w:r>
        <w:rPr>
          <w:rFonts w:ascii="Arial" w:cs="Arial" w:eastAsia="Arial" w:hAnsi="Arial"/>
          <w:sz w:val="16"/>
          <w:szCs w:val="16"/>
          <w:color w:val="auto"/>
        </w:rPr>
        <w:t>and the amortization of retention bonuses required by the terms of the 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16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180" w:hanging="325"/>
        <w:spacing w:after="0" w:line="332"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Other</w:t>
      </w:r>
      <w:r>
        <w:rPr>
          <w:rFonts w:ascii="Arial" w:cs="Arial" w:eastAsia="Arial" w:hAnsi="Arial"/>
          <w:sz w:val="16"/>
          <w:szCs w:val="16"/>
          <w:color w:val="auto"/>
        </w:rPr>
        <w:t>. From time to time, Marvell has other costs/benefits that are not directly related to Marvell’s ongoing or core business results. Excluding this</w:t>
      </w:r>
      <w:r>
        <w:rPr>
          <w:rFonts w:ascii="Arial" w:cs="Arial" w:eastAsia="Arial" w:hAnsi="Arial"/>
          <w:sz w:val="16"/>
          <w:szCs w:val="16"/>
          <w:i w:val="1"/>
          <w:iCs w:val="1"/>
          <w:color w:val="auto"/>
        </w:rPr>
        <w:t xml:space="preserve"> </w:t>
      </w:r>
      <w:r>
        <w:rPr>
          <w:rFonts w:ascii="Arial" w:cs="Arial" w:eastAsia="Arial" w:hAnsi="Arial"/>
          <w:sz w:val="16"/>
          <w:szCs w:val="16"/>
          <w:color w:val="auto"/>
        </w:rPr>
        <w:t>data provides investors with a basis to compare Marvell’s performance against the performance of other companies without this variability.</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right="20" w:hanging="325"/>
        <w:spacing w:after="0" w:line="291"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(diluted), the GAAP weighted average shares outstanding (diluted) is adjusted to exclude the benefits of stock-based compensation costs attributable to future services and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ind w:right="36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320"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February 23, 2012</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23, 2012</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4" w:right="1440" w:bottom="1440" w:gutter="0" w:footer="0" w:header="0"/>
        </w:sectPr>
      </w:pPr>
    </w:p>
    <w:p>
      <w:pPr>
        <w:spacing w:after="0" w:line="215" w:lineRule="exact"/>
        <w:rPr>
          <w:sz w:val="20"/>
          <w:szCs w:val="20"/>
          <w:color w:val="auto"/>
        </w:rPr>
      </w:pPr>
    </w:p>
    <w:p>
      <w:pPr>
        <w:ind w:left="20"/>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700" w:space="720"/>
            <w:col w:w="8799"/>
          </w:cols>
          <w:pgMar w:left="240" w:top="274"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February 23, 2012</w:t>
      </w:r>
    </w:p>
    <w:p>
      <w:pPr>
        <w:sectPr>
          <w:pgSz w:w="11900" w:h="16838" w:orient="portrait"/>
          <w:cols w:equalWidth="0" w:num="2">
            <w:col w:w="700" w:space="720"/>
            <w:col w:w="8799"/>
          </w:cols>
          <w:pgMar w:left="240" w:top="274" w:right="1440" w:bottom="1440" w:gutter="0" w:footer="0" w:header="0"/>
          <w:type w:val="continuous"/>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720" w:type="dxa"/>
            <w:vAlign w:val="bottom"/>
            <w:gridSpan w:val="2"/>
          </w:tcPr>
          <w:p>
            <w:pPr>
              <w:spacing w:after="0"/>
              <w:rPr>
                <w:sz w:val="20"/>
                <w:szCs w:val="20"/>
                <w:color w:val="auto"/>
              </w:rPr>
            </w:pPr>
            <w:r>
              <w:rPr>
                <w:rFonts w:ascii="Arial" w:cs="Arial" w:eastAsia="Arial" w:hAnsi="Arial"/>
                <w:sz w:val="18"/>
                <w:szCs w:val="18"/>
                <w:b w:val="1"/>
                <w:bCs w:val="1"/>
                <w:color w:val="auto"/>
                <w:w w:val="97"/>
              </w:rPr>
              <w:t>For further information, contact:</w:t>
            </w:r>
          </w:p>
        </w:tc>
        <w:tc>
          <w:tcPr>
            <w:tcW w:w="324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220" w:type="dxa"/>
            <w:vAlign w:val="bottom"/>
          </w:tcPr>
          <w:p>
            <w:pPr>
              <w:spacing w:after="0"/>
              <w:rPr>
                <w:sz w:val="19"/>
                <w:szCs w:val="19"/>
                <w:color w:val="auto"/>
              </w:rPr>
            </w:pPr>
          </w:p>
        </w:tc>
      </w:tr>
      <w:tr>
        <w:trPr>
          <w:trHeight w:val="216"/>
        </w:trPr>
        <w:tc>
          <w:tcPr>
            <w:tcW w:w="272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3240" w:type="dxa"/>
            <w:vAlign w:val="bottom"/>
          </w:tcPr>
          <w:p>
            <w:pPr>
              <w:spacing w:after="0"/>
              <w:rPr>
                <w:sz w:val="18"/>
                <w:szCs w:val="18"/>
                <w:color w:val="auto"/>
              </w:rPr>
            </w:pPr>
          </w:p>
        </w:tc>
        <w:tc>
          <w:tcPr>
            <w:tcW w:w="2520" w:type="dxa"/>
            <w:vAlign w:val="bottom"/>
            <w:gridSpan w:val="2"/>
          </w:tcPr>
          <w:p>
            <w:pPr>
              <w:spacing w:after="0"/>
              <w:rPr>
                <w:sz w:val="20"/>
                <w:szCs w:val="20"/>
                <w:color w:val="auto"/>
              </w:rPr>
            </w:pPr>
            <w:r>
              <w:rPr>
                <w:rFonts w:ascii="Arial" w:cs="Arial" w:eastAsia="Arial" w:hAnsi="Arial"/>
                <w:sz w:val="18"/>
                <w:szCs w:val="18"/>
                <w:color w:val="auto"/>
              </w:rPr>
              <w:t>Daniel Yoo</w:t>
            </w:r>
          </w:p>
        </w:tc>
      </w:tr>
      <w:tr>
        <w:trPr>
          <w:trHeight w:val="216"/>
        </w:trPr>
        <w:tc>
          <w:tcPr>
            <w:tcW w:w="272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3240" w:type="dxa"/>
            <w:vAlign w:val="bottom"/>
          </w:tcPr>
          <w:p>
            <w:pPr>
              <w:spacing w:after="0"/>
              <w:rPr>
                <w:sz w:val="18"/>
                <w:szCs w:val="18"/>
                <w:color w:val="auto"/>
              </w:rPr>
            </w:pPr>
          </w:p>
        </w:tc>
        <w:tc>
          <w:tcPr>
            <w:tcW w:w="2520" w:type="dxa"/>
            <w:vAlign w:val="bottom"/>
            <w:gridSpan w:val="2"/>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1280" w:type="dxa"/>
            <w:vAlign w:val="bottom"/>
          </w:tcPr>
          <w:p>
            <w:pPr>
              <w:spacing w:after="0"/>
              <w:rPr>
                <w:sz w:val="18"/>
                <w:szCs w:val="18"/>
                <w:color w:val="auto"/>
              </w:rPr>
            </w:pPr>
          </w:p>
        </w:tc>
        <w:tc>
          <w:tcPr>
            <w:tcW w:w="4540" w:type="dxa"/>
            <w:vAlign w:val="bottom"/>
            <w:gridSpan w:val="2"/>
          </w:tcPr>
          <w:p>
            <w:pPr>
              <w:ind w:left="3240"/>
              <w:spacing w:after="0"/>
              <w:rPr>
                <w:sz w:val="20"/>
                <w:szCs w:val="20"/>
                <w:color w:val="auto"/>
              </w:rPr>
            </w:pPr>
            <w:r>
              <w:rPr>
                <w:rFonts w:ascii="Arial" w:cs="Arial" w:eastAsia="Arial" w:hAnsi="Arial"/>
                <w:sz w:val="18"/>
                <w:szCs w:val="18"/>
                <w:color w:val="auto"/>
              </w:rPr>
              <w:t>408-222-2187</w:t>
            </w:r>
          </w:p>
        </w:tc>
        <w:tc>
          <w:tcPr>
            <w:tcW w:w="1220" w:type="dxa"/>
            <w:vAlign w:val="bottom"/>
          </w:tcPr>
          <w:p>
            <w:pPr>
              <w:spacing w:after="0"/>
              <w:rPr>
                <w:sz w:val="18"/>
                <w:szCs w:val="18"/>
                <w:color w:val="auto"/>
              </w:rPr>
            </w:pPr>
          </w:p>
        </w:tc>
      </w:tr>
      <w:tr>
        <w:trPr>
          <w:trHeight w:val="184"/>
        </w:trPr>
        <w:tc>
          <w:tcPr>
            <w:tcW w:w="144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90"/>
              </w:rPr>
              <w:t>sukhi@marvell.com</w:t>
            </w:r>
          </w:p>
        </w:tc>
        <w:tc>
          <w:tcPr>
            <w:tcW w:w="1280" w:type="dxa"/>
            <w:vAlign w:val="bottom"/>
          </w:tcPr>
          <w:p>
            <w:pPr>
              <w:spacing w:after="0"/>
              <w:rPr>
                <w:sz w:val="15"/>
                <w:szCs w:val="15"/>
                <w:color w:val="auto"/>
              </w:rPr>
            </w:pPr>
          </w:p>
        </w:tc>
        <w:tc>
          <w:tcPr>
            <w:tcW w:w="3240" w:type="dxa"/>
            <w:vAlign w:val="bottom"/>
          </w:tcPr>
          <w:p>
            <w:pPr>
              <w:spacing w:after="0"/>
              <w:rPr>
                <w:sz w:val="15"/>
                <w:szCs w:val="15"/>
                <w:color w:val="auto"/>
              </w:rPr>
            </w:pPr>
          </w:p>
        </w:tc>
        <w:tc>
          <w:tcPr>
            <w:tcW w:w="130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88"/>
              </w:rPr>
              <w:t>yoo@marvell.com</w:t>
            </w:r>
          </w:p>
        </w:tc>
        <w:tc>
          <w:tcPr>
            <w:tcW w:w="1220" w:type="dxa"/>
            <w:vAlign w:val="bottom"/>
          </w:tcPr>
          <w:p>
            <w:pPr>
              <w:spacing w:after="0"/>
              <w:rPr>
                <w:sz w:val="15"/>
                <w:szCs w:val="15"/>
                <w:color w:val="auto"/>
              </w:rPr>
            </w:pPr>
          </w:p>
        </w:tc>
      </w:tr>
      <w:tr>
        <w:trPr>
          <w:trHeight w:val="465"/>
        </w:trPr>
        <w:tc>
          <w:tcPr>
            <w:tcW w:w="14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5760" w:type="dxa"/>
            <w:vAlign w:val="bottom"/>
            <w:gridSpan w:val="3"/>
          </w:tcPr>
          <w:p>
            <w:pPr>
              <w:jc w:val="center"/>
              <w:ind w:left="132"/>
              <w:spacing w:after="0"/>
              <w:rPr>
                <w:sz w:val="20"/>
                <w:szCs w:val="20"/>
                <w:color w:val="auto"/>
              </w:rPr>
            </w:pPr>
            <w:r>
              <w:rPr>
                <w:rFonts w:ascii="Arial" w:cs="Arial" w:eastAsia="Arial" w:hAnsi="Arial"/>
                <w:sz w:val="18"/>
                <w:szCs w:val="18"/>
                <w:b w:val="1"/>
                <w:bCs w:val="1"/>
                <w:color w:val="auto"/>
                <w:w w:val="89"/>
              </w:rPr>
              <w:t>Marvell Technology Group Ltd. Reports Fourth Fiscal Quarter and Fiscal</w:t>
            </w:r>
          </w:p>
        </w:tc>
      </w:tr>
      <w:tr>
        <w:trPr>
          <w:trHeight w:val="228"/>
        </w:trPr>
        <w:tc>
          <w:tcPr>
            <w:tcW w:w="144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5760" w:type="dxa"/>
            <w:vAlign w:val="bottom"/>
            <w:gridSpan w:val="3"/>
          </w:tcPr>
          <w:p>
            <w:pPr>
              <w:jc w:val="center"/>
              <w:ind w:left="152"/>
              <w:spacing w:after="0"/>
              <w:rPr>
                <w:sz w:val="20"/>
                <w:szCs w:val="20"/>
                <w:color w:val="auto"/>
              </w:rPr>
            </w:pPr>
            <w:r>
              <w:rPr>
                <w:rFonts w:ascii="Arial" w:cs="Arial" w:eastAsia="Arial" w:hAnsi="Arial"/>
                <w:sz w:val="18"/>
                <w:szCs w:val="18"/>
                <w:b w:val="1"/>
                <w:bCs w:val="1"/>
                <w:color w:val="auto"/>
                <w:w w:val="87"/>
              </w:rPr>
              <w:t>Year 2012 Financial Results</w:t>
            </w:r>
          </w:p>
        </w:tc>
      </w:tr>
      <w:tr>
        <w:trPr>
          <w:trHeight w:val="372"/>
        </w:trPr>
        <w:tc>
          <w:tcPr>
            <w:tcW w:w="14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5760" w:type="dxa"/>
            <w:vAlign w:val="bottom"/>
            <w:gridSpan w:val="3"/>
          </w:tcPr>
          <w:p>
            <w:pPr>
              <w:jc w:val="center"/>
              <w:ind w:left="152"/>
              <w:spacing w:after="0"/>
              <w:rPr>
                <w:sz w:val="20"/>
                <w:szCs w:val="20"/>
                <w:color w:val="auto"/>
              </w:rPr>
            </w:pPr>
            <w:r>
              <w:rPr>
                <w:rFonts w:ascii="Arial" w:cs="Arial" w:eastAsia="Arial" w:hAnsi="Arial"/>
                <w:sz w:val="18"/>
                <w:szCs w:val="18"/>
                <w:b w:val="1"/>
                <w:bCs w:val="1"/>
                <w:i w:val="1"/>
                <w:iCs w:val="1"/>
                <w:color w:val="auto"/>
                <w:w w:val="89"/>
              </w:rPr>
              <w:t>Revenue: F4Q12, $743 Million; FY2012, $3.39 Billion</w:t>
            </w:r>
          </w:p>
        </w:tc>
      </w:tr>
      <w:tr>
        <w:trPr>
          <w:trHeight w:val="216"/>
        </w:trPr>
        <w:tc>
          <w:tcPr>
            <w:tcW w:w="14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5760" w:type="dxa"/>
            <w:vAlign w:val="bottom"/>
            <w:gridSpan w:val="3"/>
          </w:tcPr>
          <w:p>
            <w:pPr>
              <w:jc w:val="center"/>
              <w:ind w:left="152"/>
              <w:spacing w:after="0"/>
              <w:rPr>
                <w:sz w:val="20"/>
                <w:szCs w:val="20"/>
                <w:color w:val="auto"/>
              </w:rPr>
            </w:pPr>
            <w:r>
              <w:rPr>
                <w:rFonts w:ascii="Arial" w:cs="Arial" w:eastAsia="Arial" w:hAnsi="Arial"/>
                <w:sz w:val="18"/>
                <w:szCs w:val="18"/>
                <w:b w:val="1"/>
                <w:bCs w:val="1"/>
                <w:i w:val="1"/>
                <w:iCs w:val="1"/>
                <w:color w:val="auto"/>
                <w:w w:val="90"/>
              </w:rPr>
              <w:t>GAAP Net Income: F4Q12, $81 Million; FY2012, $615 Million</w:t>
            </w:r>
          </w:p>
        </w:tc>
      </w:tr>
      <w:tr>
        <w:trPr>
          <w:trHeight w:val="216"/>
        </w:trPr>
        <w:tc>
          <w:tcPr>
            <w:tcW w:w="14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5760" w:type="dxa"/>
            <w:vAlign w:val="bottom"/>
            <w:gridSpan w:val="3"/>
          </w:tcPr>
          <w:p>
            <w:pPr>
              <w:jc w:val="center"/>
              <w:ind w:left="152"/>
              <w:spacing w:after="0"/>
              <w:rPr>
                <w:sz w:val="20"/>
                <w:szCs w:val="20"/>
                <w:color w:val="auto"/>
              </w:rPr>
            </w:pPr>
            <w:r>
              <w:rPr>
                <w:rFonts w:ascii="Arial" w:cs="Arial" w:eastAsia="Arial" w:hAnsi="Arial"/>
                <w:sz w:val="18"/>
                <w:szCs w:val="18"/>
                <w:b w:val="1"/>
                <w:bCs w:val="1"/>
                <w:i w:val="1"/>
                <w:iCs w:val="1"/>
                <w:color w:val="auto"/>
                <w:w w:val="90"/>
              </w:rPr>
              <w:t>Non GAAP Net Income: F4Q12, $127 Million; FY2012, $795 Million</w:t>
            </w:r>
          </w:p>
        </w:tc>
      </w:tr>
      <w:tr>
        <w:trPr>
          <w:trHeight w:val="222"/>
        </w:trPr>
        <w:tc>
          <w:tcPr>
            <w:tcW w:w="144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5760" w:type="dxa"/>
            <w:vAlign w:val="bottom"/>
            <w:gridSpan w:val="3"/>
          </w:tcPr>
          <w:p>
            <w:pPr>
              <w:jc w:val="center"/>
              <w:ind w:left="132"/>
              <w:spacing w:after="0"/>
              <w:rPr>
                <w:sz w:val="20"/>
                <w:szCs w:val="20"/>
                <w:color w:val="auto"/>
              </w:rPr>
            </w:pPr>
            <w:r>
              <w:rPr>
                <w:rFonts w:ascii="Arial" w:cs="Arial" w:eastAsia="Arial" w:hAnsi="Arial"/>
                <w:sz w:val="18"/>
                <w:szCs w:val="18"/>
                <w:b w:val="1"/>
                <w:bCs w:val="1"/>
                <w:i w:val="1"/>
                <w:iCs w:val="1"/>
                <w:color w:val="auto"/>
                <w:w w:val="90"/>
              </w:rPr>
              <w:t>Free Cash Flow: F4Q12, $38 Million; FY2012, $669 Million</w:t>
            </w:r>
          </w:p>
        </w:tc>
      </w:tr>
    </w:tbl>
    <w:p>
      <w:pPr>
        <w:spacing w:after="0" w:line="150" w:lineRule="exact"/>
        <w:rPr>
          <w:sz w:val="20"/>
          <w:szCs w:val="20"/>
          <w:color w:val="auto"/>
        </w:rPr>
      </w:pPr>
    </w:p>
    <w:p>
      <w:pPr>
        <w:ind w:right="140"/>
        <w:spacing w:after="0" w:line="275" w:lineRule="auto"/>
        <w:rPr>
          <w:sz w:val="20"/>
          <w:szCs w:val="20"/>
          <w:color w:val="auto"/>
        </w:rPr>
      </w:pPr>
      <w:r>
        <w:rPr>
          <w:rFonts w:ascii="Arial" w:cs="Arial" w:eastAsia="Arial" w:hAnsi="Arial"/>
          <w:sz w:val="18"/>
          <w:szCs w:val="18"/>
          <w:b w:val="1"/>
          <w:bCs w:val="1"/>
          <w:color w:val="auto"/>
        </w:rPr>
        <w:t xml:space="preserve">Santa Clara, Calif. (February 23, 2012)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fourth fiscal quarter and fiscal year 2012, ended January 28, 2012.</w:t>
      </w:r>
    </w:p>
    <w:p>
      <w:pPr>
        <w:spacing w:after="0" w:line="126"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color w:val="auto"/>
        </w:rPr>
        <w:t>Revenue for the fourth quarter of fiscal 2012 was $743 million, a 22 percent sequential decrease from $950 million in the third quarter of fiscal 2012, ended October 29, 2011, and down 18 percent from $901 million in the fourth quarter of fiscal 2011, ended January 29, 2011.</w:t>
      </w:r>
    </w:p>
    <w:p>
      <w:pPr>
        <w:spacing w:after="0" w:line="132"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For the fiscal year ended January 28, 2012, revenue was $3.39 billion, a decrease of 6 percent from revenue of $3.61 billion for the fiscal year ended January 29, 2011.</w:t>
      </w:r>
    </w:p>
    <w:p>
      <w:pPr>
        <w:spacing w:after="0" w:line="132" w:lineRule="exact"/>
        <w:rPr>
          <w:sz w:val="20"/>
          <w:szCs w:val="20"/>
          <w:color w:val="auto"/>
        </w:rPr>
      </w:pPr>
    </w:p>
    <w:p>
      <w:pPr>
        <w:ind w:right="120"/>
        <w:spacing w:after="0" w:line="332" w:lineRule="auto"/>
        <w:rPr>
          <w:sz w:val="20"/>
          <w:szCs w:val="20"/>
          <w:color w:val="auto"/>
        </w:rPr>
      </w:pPr>
      <w:r>
        <w:rPr>
          <w:rFonts w:ascii="Arial" w:cs="Arial" w:eastAsia="Arial" w:hAnsi="Arial"/>
          <w:sz w:val="16"/>
          <w:szCs w:val="16"/>
          <w:color w:val="auto"/>
        </w:rPr>
        <w:t>GAAP net income for the fourth quarter of fiscal 2012 was $81 million, or $0.13 per share (diluted), compared with GAAP net income of $195 million, or $0.32 per share (diluted) in the third quarter of fiscal 2012, and $223 million, or $0.33 per share (diluted), for the fourth quarter of fiscal 2011.</w:t>
      </w:r>
    </w:p>
    <w:p>
      <w:pPr>
        <w:spacing w:after="0" w:line="85"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color w:val="auto"/>
        </w:rPr>
        <w:t>For the year ended January 28, 2012, GAAP net income was $615 million, or $0.99 per share (diluted), compared with GAAP net income of $904 million, or $1.34 per share (diluted), for the year ended January 29, 2011.</w:t>
      </w:r>
    </w:p>
    <w:p>
      <w:pPr>
        <w:sectPr>
          <w:pgSz w:w="11900" w:h="16838" w:orient="portrait"/>
          <w:cols w:equalWidth="0" w:num="1">
            <w:col w:w="11420"/>
          </w:cols>
          <w:pgMar w:left="240" w:top="125" w:right="239" w:bottom="1440" w:gutter="0" w:footer="0" w:header="0"/>
        </w:sectPr>
      </w:pPr>
    </w:p>
    <w:bookmarkStart w:id="6" w:name="page7"/>
    <w:bookmarkEnd w:id="6"/>
    <w:p>
      <w:pPr>
        <w:ind w:right="440"/>
        <w:spacing w:after="0" w:line="33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Non-GAAP net income was $127 million, or $0.21 per share (diluted), for the fourth quarter of fiscal 2012, compared with non-GAAP net income of $244 million, or $0.40 per share (diluted) for the third quarter of fiscal 2012 and $273 million, or $0.40 per share (diluted), for the fourth quarter of fiscal 2011.</w:t>
      </w:r>
    </w:p>
    <w:p>
      <w:pPr>
        <w:spacing w:after="0" w:line="85"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color w:val="auto"/>
        </w:rPr>
        <w:t>For the fiscal year ended January 28, 2012, non-GAAP net income was $795 million, or $1.27 per share (diluted), as compared with non-GAAP net income of $1.11 billion, or $1.64 per share (diluted) for the fiscal year ended January 29, 2011.</w:t>
      </w:r>
    </w:p>
    <w:p>
      <w:pPr>
        <w:spacing w:after="0" w:line="132"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“Fiscal year 2012 was a challenging year for Marvell in which we endured not only a choppy macro-economic environment but also the effects of an earthquake, massive floods, and product transitions at one of our largest customers. In spite of these challenges, Marvell delivered excellent profitability and free cash flow margins while simultaneously increasing our investments for several new initiatives,” said Dr. Sehat Sutardja, Marvell’s Chairman and Chief Executive Officer. “During fiscal 2012, Marvell was successful in several new products and initiatives. Our China TD business is now producing tangible results, our SSD revenue has exceeded expectations and our networking business is growing due to new products and share gains. As a result of these new initiatives and the recovery in the hard disk drive industry, we expect to see steady improvement in each of our end markets in the new fiscal year.”</w:t>
      </w:r>
    </w:p>
    <w:p>
      <w:pPr>
        <w:spacing w:after="0" w:line="120"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January 28, 2012, October 29, 2011 and January 29, 2011, and for the year ended January 28, 2012 and January 29, 2011, appear in the financial statements below. Non-GAAP net income, where applicable, excludes the effect of stock-based compensation, amortization of acquired intangible assets, acquisition-related costs, restructuring costs, and certain one-time expenses or benefits.</w:t>
      </w:r>
    </w:p>
    <w:p>
      <w:pPr>
        <w:spacing w:after="0" w:line="143" w:lineRule="exact"/>
        <w:rPr>
          <w:sz w:val="20"/>
          <w:szCs w:val="20"/>
          <w:color w:val="auto"/>
        </w:rPr>
      </w:pPr>
    </w:p>
    <w:p>
      <w:pPr>
        <w:ind w:right="120"/>
        <w:spacing w:after="0" w:line="332" w:lineRule="auto"/>
        <w:rPr>
          <w:sz w:val="20"/>
          <w:szCs w:val="20"/>
          <w:color w:val="auto"/>
        </w:rPr>
      </w:pPr>
      <w:r>
        <w:rPr>
          <w:rFonts w:ascii="Arial" w:cs="Arial" w:eastAsia="Arial" w:hAnsi="Arial"/>
          <w:sz w:val="16"/>
          <w:szCs w:val="16"/>
          <w:color w:val="auto"/>
        </w:rPr>
        <w:t>GAAP gross margin for the fourth quarter of fiscal 2012 was 54.1 percent, compared to 56.6 percent for the third quarter of fiscal 2012 and 58.7 percent for the fourth quarter of fiscal 2011. GAAP gross margin for fiscal year 2012 was 56.8 percent compared to 59.2 percent for fiscal year 2011.</w:t>
      </w:r>
    </w:p>
    <w:p>
      <w:pPr>
        <w:spacing w:after="0" w:line="7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40"/>
          </w:cols>
          <w:pgMar w:left="240" w:top="280" w:right="319" w:bottom="1440" w:gutter="0" w:footer="0" w:header="0"/>
        </w:sectPr>
      </w:pPr>
    </w:p>
    <w:bookmarkStart w:id="7" w:name="page8"/>
    <w:bookmarkEnd w:id="7"/>
    <w:p>
      <w:pPr>
        <w:ind w:right="80"/>
        <w:spacing w:after="0" w:line="33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Non-GAAP gross margin for the fourth quarter of fiscal 2012 was 54.5 percent, compared to 56.8 percent for the third quarter of fiscal 2012 and 59.4 percent for the fourth quarter of fiscal 2011. Non-GAAP gross margin for fiscal year 2012 was 57 percent compared to 59.7 percent for fiscal year 2011.</w:t>
      </w:r>
    </w:p>
    <w:p>
      <w:pPr>
        <w:spacing w:after="0" w:line="85" w:lineRule="exact"/>
        <w:rPr>
          <w:sz w:val="20"/>
          <w:szCs w:val="20"/>
          <w:color w:val="auto"/>
        </w:rPr>
      </w:pPr>
    </w:p>
    <w:p>
      <w:pPr>
        <w:jc w:val="both"/>
        <w:spacing w:after="0" w:line="259" w:lineRule="auto"/>
        <w:rPr>
          <w:sz w:val="20"/>
          <w:szCs w:val="20"/>
          <w:color w:val="auto"/>
        </w:rPr>
      </w:pPr>
      <w:r>
        <w:rPr>
          <w:rFonts w:ascii="Arial" w:cs="Arial" w:eastAsia="Arial" w:hAnsi="Arial"/>
          <w:sz w:val="18"/>
          <w:szCs w:val="18"/>
          <w:color w:val="auto"/>
        </w:rPr>
        <w:t>Shares used to compute GAAP net income per diluted share for the fourth quarter of fiscal 2012 were 599 million shares, compared with 613 million shares in the third quarter of fiscal 2012 and 679 million shares in the fourth quarter of fiscal 2011. Shares used to compute GAAP net income per diluted share for fiscal year 2012 were 623 million shares as compared with 677 million shares for fiscal year 2011.</w:t>
      </w:r>
    </w:p>
    <w:p>
      <w:pPr>
        <w:spacing w:after="0" w:line="140" w:lineRule="exact"/>
        <w:rPr>
          <w:sz w:val="20"/>
          <w:szCs w:val="20"/>
          <w:color w:val="auto"/>
        </w:rPr>
      </w:pPr>
    </w:p>
    <w:p>
      <w:pPr>
        <w:ind w:right="120"/>
        <w:spacing w:after="0" w:line="298" w:lineRule="auto"/>
        <w:rPr>
          <w:sz w:val="20"/>
          <w:szCs w:val="20"/>
          <w:color w:val="auto"/>
        </w:rPr>
      </w:pPr>
      <w:r>
        <w:rPr>
          <w:rFonts w:ascii="Arial" w:cs="Arial" w:eastAsia="Arial" w:hAnsi="Arial"/>
          <w:sz w:val="16"/>
          <w:szCs w:val="16"/>
          <w:color w:val="auto"/>
        </w:rPr>
        <w:t>Shares used to compute non-GAAP net income per diluted share for the fourth quarter of fiscal 2012 were 606 million shares, compared with 615 million shares for the third quarter of fiscal 2012 and 685 million shares for the fourth quarter of fiscal 2011. Shares used to compute non-GAAP net income per diluted share for fiscal year 2012 were 627 million shares as compared with 681 million shares for fiscal year 2011. The decrease in shares used to compute both Marvell’s GAAP and non-GAAP net income per diluted share was primarily due to Marvell’s share repurchase program.</w:t>
      </w:r>
    </w:p>
    <w:p>
      <w:pPr>
        <w:spacing w:after="0" w:line="113"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Cash flow from operations for the fourth quarter of fiscal 2012 was $69 million, down from the $262 million reported in the third quarter of fiscal 2012 and down from the $251 million in the fourth quarter of fiscal 2011. Free cash flow for the fourth quarter of fiscal 2012 was $38 million, down from the $239 million reported in the third quarter of fiscal 2012 and down from the $213 million in fourth quarter of fiscal 2011. Free cash flow for fiscal year 2012 was $669 million as compared to $1.08 billion in fiscal year 2011. Free cash flow as presented above is defined as cash flow from operations, less capital expenditures and purchases of IP licenses.</w:t>
      </w:r>
    </w:p>
    <w:p>
      <w:pPr>
        <w:spacing w:after="0" w:line="143" w:lineRule="exact"/>
        <w:rPr>
          <w:sz w:val="20"/>
          <w:szCs w:val="20"/>
          <w:color w:val="auto"/>
        </w:rPr>
      </w:pPr>
    </w:p>
    <w:p>
      <w:pPr>
        <w:jc w:val="both"/>
        <w:ind w:right="100"/>
        <w:spacing w:after="0" w:line="259" w:lineRule="auto"/>
        <w:rPr>
          <w:sz w:val="20"/>
          <w:szCs w:val="20"/>
          <w:color w:val="auto"/>
        </w:rPr>
      </w:pPr>
      <w:r>
        <w:rPr>
          <w:rFonts w:ascii="Arial" w:cs="Arial" w:eastAsia="Arial" w:hAnsi="Arial"/>
          <w:sz w:val="18"/>
          <w:szCs w:val="18"/>
          <w:color w:val="auto"/>
        </w:rPr>
        <w:t>Under the share repurchase program, Marvell repurchased approximately 13.5 million shares for a total of $186 million in the fourth quarter of fiscal 2012. Over the past six quarters, Marvell has repurchased and retired approximately 93 million, or about 14 percent, of its outstanding shares demonstrating its commitment to returning shareholder value.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9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color w:val="auto"/>
        </w:rPr>
        <w:t>Marvell will be conducting a conference call on February 23, 2012 at 1:45 p.m. Pacific Time to discuss results for the fourth fiscal quarter and fiscal year 2012. Interested parties may join the conference call by dialing</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80" w:right="259" w:bottom="1440" w:gutter="0" w:footer="0" w:header="0"/>
        </w:sectPr>
      </w:pPr>
    </w:p>
    <w:bookmarkStart w:id="8" w:name="page9"/>
    <w:bookmarkEnd w:id="8"/>
    <w:p>
      <w:pPr>
        <w:ind w:right="140"/>
        <w:spacing w:after="0" w:line="275"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1-866-510-0711 or 1-617-597-5379, pass-code 29835186</w:t>
      </w:r>
      <w:r>
        <w:rPr>
          <w:rFonts w:ascii="Arial" w:cs="Arial" w:eastAsia="Arial" w:hAnsi="Arial"/>
          <w:sz w:val="18"/>
          <w:szCs w:val="18"/>
          <w:color w:val="auto"/>
        </w:rPr>
        <w:t>. The call will be webcast by Thomson Reuters and can be accessed at the Marvell Investor Relations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website at </w:t>
      </w:r>
      <w:r>
        <w:rPr>
          <w:rFonts w:ascii="Arial" w:cs="Arial" w:eastAsia="Arial" w:hAnsi="Arial"/>
          <w:sz w:val="18"/>
          <w:szCs w:val="18"/>
          <w:u w:val="single" w:color="auto"/>
          <w:color w:val="auto"/>
        </w:rPr>
        <w:t>http://investor.marvell.com/</w:t>
      </w:r>
      <w:r>
        <w:rPr>
          <w:rFonts w:ascii="Arial" w:cs="Arial" w:eastAsia="Arial" w:hAnsi="Arial"/>
          <w:sz w:val="18"/>
          <w:szCs w:val="18"/>
          <w:color w:val="auto"/>
        </w:rPr>
        <w:t xml:space="preserve"> with a replay available following the call until March 23, 2012.</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320"/>
        <w:spacing w:after="0" w:line="290" w:lineRule="auto"/>
        <w:rPr>
          <w:sz w:val="20"/>
          <w:szCs w:val="20"/>
          <w:color w:val="auto"/>
        </w:rPr>
      </w:pPr>
      <w:r>
        <w:rPr>
          <w:rFonts w:ascii="Arial" w:cs="Arial" w:eastAsia="Arial" w:hAnsi="Arial"/>
          <w:sz w:val="16"/>
          <w:szCs w:val="16"/>
          <w:color w:val="auto"/>
        </w:rPr>
        <w:t>Non-GAAP financial measures exclude the effect of stock-based compensation expense, amortization of acquired intangible assets, acquisition-related costs, restructuring costs,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(diluted), the GAAP weighted average shares outstanding (diluted) is adjusted to exclude the benefits of stock compensation costs attributable to future services and not yet recognized in the financial statements. The expected compensation costs are treated as proceeds assumed to be used to repurchase shares under the GAAP treasury stock method and also include the dilutive/anti-dilutive effects of common stock options and restricted stock.</w:t>
      </w:r>
    </w:p>
    <w:p>
      <w:pPr>
        <w:spacing w:after="0" w:line="118"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106"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40"/>
          </w:cols>
          <w:pgMar w:left="240" w:top="274" w:right="31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96"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 xml:space="preserve">Marvell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please visit </w:t>
      </w:r>
      <w:r>
        <w:rPr>
          <w:rFonts w:ascii="Arial" w:cs="Arial" w:eastAsia="Arial" w:hAnsi="Arial"/>
          <w:sz w:val="18"/>
          <w:szCs w:val="18"/>
          <w:u w:val="single" w:color="auto"/>
          <w:color w:val="auto"/>
        </w:rPr>
        <w:t>www.marvell.com.</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9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Marvell’s TD business continuing to provide tangible results; growth in Marvell’s networking business; expectations of steady improvement in each of Marvell’s end markets in the new fiscal year; and statements concerning Marvell’s use of non-GAAP net income and net income per share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Marvell’s reliance on a few customers for a significant portion of its revenue; Marvell’s ability to develop and introduce new and enhanced products in a timely and cost effective manner; the impact of the flooding in Thailand; uncertainty in the worldwide economic environment; seasonality in sales of consumer devices in which our products are incorporated; Marvell’s ability to compete in products and prices in an intensely competitive industry; Marvell’s ability to recruit and retain skilled personnel; substantial costs of current and any future litigation; and other risks detailed in Marvell’s SEC filings from time to time. When Marvell files its Form 10-K for the year ended January 28, 2012,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Quarterly Report on Form 10-Q for the quarter ended October 29, 2011, as filed with the SEC and other factors detailed from time to time in Marvell’s filings with the SEC. Marvell undertakes no obligation to revise or update publicly any forward-looking statements.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4"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300" w:type="dxa"/>
            <w:vAlign w:val="bottom"/>
            <w:gridSpan w:val="4"/>
          </w:tcPr>
          <w:p>
            <w:pPr>
              <w:ind w:left="40"/>
              <w:spacing w:after="0"/>
              <w:rPr>
                <w:sz w:val="20"/>
                <w:szCs w:val="20"/>
                <w:color w:val="auto"/>
              </w:rPr>
            </w:pPr>
            <w:r>
              <w:rPr>
                <w:rFonts w:ascii="Arial" w:cs="Arial" w:eastAsia="Arial" w:hAnsi="Arial"/>
                <w:sz w:val="14"/>
                <w:szCs w:val="14"/>
                <w:b w:val="1"/>
                <w:bCs w:val="1"/>
                <w:color w:val="auto"/>
                <w:w w:val="89"/>
              </w:rPr>
              <w:t>Three Months Ended</w:t>
            </w: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6"/>
          </w:tcPr>
          <w:p>
            <w:pPr>
              <w:ind w:left="52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66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10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9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7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8"/>
              </w:rPr>
              <w:t>January 29,</w:t>
            </w:r>
          </w:p>
        </w:tc>
        <w:tc>
          <w:tcPr>
            <w:tcW w:w="300" w:type="dxa"/>
            <w:vAlign w:val="bottom"/>
          </w:tcPr>
          <w:p>
            <w:pPr>
              <w:spacing w:after="0"/>
              <w:rPr>
                <w:sz w:val="11"/>
                <w:szCs w:val="11"/>
                <w:color w:val="auto"/>
              </w:rPr>
            </w:pPr>
          </w:p>
        </w:tc>
        <w:tc>
          <w:tcPr>
            <w:tcW w:w="960" w:type="dxa"/>
            <w:vAlign w:val="bottom"/>
            <w:tcBorders>
              <w:top w:val="single" w:sz="8" w:color="auto"/>
            </w:tcBorders>
            <w:gridSpan w:val="3"/>
          </w:tcPr>
          <w:p>
            <w:pPr>
              <w:ind w:left="60"/>
              <w:spacing w:after="0" w:line="129" w:lineRule="exact"/>
              <w:rPr>
                <w:sz w:val="20"/>
                <w:szCs w:val="20"/>
                <w:color w:val="auto"/>
              </w:rPr>
            </w:pPr>
            <w:r>
              <w:rPr>
                <w:rFonts w:ascii="Arial" w:cs="Arial" w:eastAsia="Arial" w:hAnsi="Arial"/>
                <w:sz w:val="14"/>
                <w:szCs w:val="14"/>
                <w:b w:val="1"/>
                <w:bCs w:val="1"/>
                <w:color w:val="auto"/>
              </w:rPr>
              <w:t>January 28,</w:t>
            </w:r>
          </w:p>
        </w:tc>
        <w:tc>
          <w:tcPr>
            <w:tcW w:w="14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60" w:type="dxa"/>
            <w:vAlign w:val="bottom"/>
            <w:tcBorders>
              <w:bottom w:val="single" w:sz="8" w:color="CCEEFF"/>
            </w:tcBorders>
          </w:tcPr>
          <w:p>
            <w:pPr>
              <w:spacing w:after="0"/>
              <w:rPr>
                <w:sz w:val="14"/>
                <w:szCs w:val="14"/>
                <w:color w:val="auto"/>
              </w:rPr>
            </w:pPr>
          </w:p>
        </w:tc>
        <w:tc>
          <w:tcPr>
            <w:tcW w:w="17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2011</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2011</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2012</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742,701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950,417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900,513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3,393,040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3,611,893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Cost of goods sold</w:t>
            </w:r>
          </w:p>
        </w:tc>
        <w:tc>
          <w:tcPr>
            <w:tcW w:w="17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252"/>
              <w:spacing w:after="0"/>
              <w:rPr>
                <w:sz w:val="20"/>
                <w:szCs w:val="20"/>
                <w:color w:val="auto"/>
              </w:rPr>
            </w:pPr>
            <w:r>
              <w:rPr>
                <w:rFonts w:ascii="Arial" w:cs="Arial" w:eastAsia="Arial" w:hAnsi="Arial"/>
                <w:sz w:val="18"/>
                <w:szCs w:val="18"/>
                <w:color w:val="auto"/>
                <w:w w:val="86"/>
              </w:rPr>
              <w:t>341,113</w:t>
            </w: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412,100</w:t>
            </w:r>
          </w:p>
        </w:tc>
        <w:tc>
          <w:tcPr>
            <w:tcW w:w="100" w:type="dxa"/>
            <w:vAlign w:val="bottom"/>
          </w:tcPr>
          <w:p>
            <w:pPr>
              <w:spacing w:after="0"/>
              <w:rPr>
                <w:sz w:val="19"/>
                <w:szCs w:val="19"/>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w w:val="89"/>
              </w:rPr>
              <w:t>371,799</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1,465,805</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1,473,274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7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401,588</w:t>
            </w: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538,317</w:t>
            </w:r>
          </w:p>
        </w:tc>
        <w:tc>
          <w:tcPr>
            <w:tcW w:w="3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528,714</w:t>
            </w:r>
          </w:p>
        </w:tc>
        <w:tc>
          <w:tcPr>
            <w:tcW w:w="3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1,927,235</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2,138,619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Operating expenses:</w:t>
            </w:r>
          </w:p>
        </w:tc>
        <w:tc>
          <w:tcPr>
            <w:tcW w:w="1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255,282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266,255</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231,836</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1,013,678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897,578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40,392</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40,500</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40,444</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159,434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155,481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23,184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29,021</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26,706</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100,620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104,830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7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12,723</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11,155</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14,005</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49,357</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79,538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17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331,581</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346,931</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312,991</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1,323,089</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1,237,427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8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17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70,007</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191,386</w:t>
            </w:r>
          </w:p>
        </w:tc>
        <w:tc>
          <w:tcPr>
            <w:tcW w:w="100" w:type="dxa"/>
            <w:vAlign w:val="bottom"/>
          </w:tcPr>
          <w:p>
            <w:pPr>
              <w:spacing w:after="0"/>
              <w:rPr>
                <w:sz w:val="19"/>
                <w:szCs w:val="19"/>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w w:val="89"/>
              </w:rPr>
              <w:t>215,723</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604,146</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901,192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7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5,338</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7,729</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10,475</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14,913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68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17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75,345</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199,115</w:t>
            </w:r>
          </w:p>
        </w:tc>
        <w:tc>
          <w:tcPr>
            <w:tcW w:w="100" w:type="dxa"/>
            <w:vAlign w:val="bottom"/>
          </w:tcPr>
          <w:p>
            <w:pPr>
              <w:spacing w:after="0"/>
              <w:rPr>
                <w:sz w:val="19"/>
                <w:szCs w:val="19"/>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w w:val="89"/>
              </w:rPr>
              <w:t>226,198</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619,059</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910,462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(5,372)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3,994</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3,345</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3,968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17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80" w:type="dxa"/>
            <w:vAlign w:val="bottom"/>
            <w:gridSpan w:val="2"/>
            <w:vMerge w:val="continue"/>
          </w:tcPr>
          <w:p>
            <w:pPr>
              <w:spacing w:after="0"/>
              <w:rPr>
                <w:sz w:val="19"/>
                <w:szCs w:val="19"/>
                <w:color w:val="auto"/>
              </w:rPr>
            </w:pPr>
          </w:p>
        </w:tc>
        <w:tc>
          <w:tcPr>
            <w:tcW w:w="1860" w:type="dxa"/>
            <w:vAlign w:val="bottom"/>
            <w:gridSpan w:val="2"/>
          </w:tcPr>
          <w:p>
            <w:pPr>
              <w:ind w:left="17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80,717</w:t>
            </w:r>
          </w:p>
        </w:tc>
        <w:tc>
          <w:tcPr>
            <w:tcW w:w="32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195,121</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w w:val="89"/>
              </w:rPr>
              <w:t>222,853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615,091</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904,129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860" w:type="dxa"/>
            <w:vAlign w:val="bottom"/>
            <w:gridSpan w:val="2"/>
            <w:shd w:val="clear" w:color="auto" w:fill="CCEEFF"/>
          </w:tcPr>
          <w:p>
            <w:pPr>
              <w:ind w:left="17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0.32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0.34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7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680" w:type="dxa"/>
            <w:vAlign w:val="bottom"/>
            <w:gridSpan w:val="2"/>
            <w:vMerge w:val="continue"/>
          </w:tcPr>
          <w:p>
            <w:pPr>
              <w:spacing w:after="0"/>
              <w:rPr>
                <w:sz w:val="18"/>
                <w:szCs w:val="18"/>
                <w:color w:val="auto"/>
              </w:rPr>
            </w:pPr>
          </w:p>
        </w:tc>
        <w:tc>
          <w:tcPr>
            <w:tcW w:w="1860" w:type="dxa"/>
            <w:vAlign w:val="bottom"/>
            <w:gridSpan w:val="2"/>
          </w:tcPr>
          <w:p>
            <w:pPr>
              <w:ind w:left="17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0.13</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0.32</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0.33</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0.99</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1.34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583,466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600,504</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654,650</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607,857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648,347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7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599,300</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613,499</w:t>
            </w:r>
          </w:p>
        </w:tc>
        <w:tc>
          <w:tcPr>
            <w:tcW w:w="100" w:type="dxa"/>
            <w:vAlign w:val="bottom"/>
          </w:tcPr>
          <w:p>
            <w:pPr>
              <w:spacing w:after="0"/>
              <w:rPr>
                <w:sz w:val="19"/>
                <w:szCs w:val="19"/>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w w:val="89"/>
              </w:rPr>
              <w:t>679,445</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623,268</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676,878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1760" w:type="dxa"/>
            <w:vAlign w:val="bottom"/>
          </w:tcPr>
          <w:p>
            <w:pPr>
              <w:jc w:val="right"/>
              <w:ind w:right="592"/>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360" w:type="dxa"/>
            <w:vAlign w:val="bottom"/>
            <w:gridSpan w:val="4"/>
          </w:tcPr>
          <w:p>
            <w:pPr>
              <w:jc w:val="right"/>
              <w:ind w:right="100"/>
              <w:spacing w:after="0"/>
              <w:rPr>
                <w:sz w:val="20"/>
                <w:szCs w:val="20"/>
                <w:color w:val="auto"/>
              </w:rPr>
            </w:pPr>
            <w:r>
              <w:rPr>
                <w:rFonts w:ascii="Arial" w:cs="Arial" w:eastAsia="Arial" w:hAnsi="Arial"/>
                <w:sz w:val="14"/>
                <w:szCs w:val="14"/>
                <w:b w:val="1"/>
                <w:bCs w:val="1"/>
                <w:color w:val="auto"/>
                <w:w w:val="89"/>
              </w:rPr>
              <w:t>Three Months Ended</w:t>
            </w: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8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January 28,</w:t>
            </w:r>
          </w:p>
        </w:tc>
        <w:tc>
          <w:tcPr>
            <w:tcW w:w="30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8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5"/>
              </w:rPr>
              <w:t>January 29,</w:t>
            </w:r>
          </w:p>
        </w:tc>
        <w:tc>
          <w:tcPr>
            <w:tcW w:w="3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tcBorders>
              <w:top w:val="single" w:sz="8" w:color="auto"/>
            </w:tcBorders>
            <w:gridSpan w:val="3"/>
          </w:tcPr>
          <w:p>
            <w:pPr>
              <w:jc w:val="right"/>
              <w:ind w:right="520"/>
              <w:spacing w:after="0" w:line="129" w:lineRule="exact"/>
              <w:rPr>
                <w:sz w:val="20"/>
                <w:szCs w:val="20"/>
                <w:color w:val="auto"/>
              </w:rPr>
            </w:pPr>
            <w:r>
              <w:rPr>
                <w:rFonts w:ascii="Arial" w:cs="Arial" w:eastAsia="Arial" w:hAnsi="Arial"/>
                <w:sz w:val="14"/>
                <w:szCs w:val="14"/>
                <w:b w:val="1"/>
                <w:bCs w:val="1"/>
                <w:color w:val="auto"/>
                <w:w w:val="93"/>
              </w:rPr>
              <w:t>January 28,</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29,</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00" w:type="dxa"/>
            <w:vAlign w:val="bottom"/>
            <w:tcBorders>
              <w:bottom w:val="single" w:sz="8" w:color="CCEEFF"/>
            </w:tcBorders>
          </w:tcPr>
          <w:p>
            <w:pPr>
              <w:spacing w:after="0"/>
              <w:rPr>
                <w:sz w:val="14"/>
                <w:szCs w:val="14"/>
                <w:color w:val="auto"/>
              </w:rPr>
            </w:pPr>
          </w:p>
        </w:tc>
        <w:tc>
          <w:tcPr>
            <w:tcW w:w="1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18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2011</w:t>
            </w:r>
          </w:p>
        </w:tc>
        <w:tc>
          <w:tcPr>
            <w:tcW w:w="38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2011</w:t>
            </w:r>
          </w:p>
        </w:tc>
        <w:tc>
          <w:tcPr>
            <w:tcW w:w="3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5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GAAP net income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80,717</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195,121</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222,853</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615,091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904,129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31,417</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30,611</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31,279</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80"/>
              <w:spacing w:after="0"/>
              <w:rPr>
                <w:sz w:val="20"/>
                <w:szCs w:val="20"/>
                <w:color w:val="auto"/>
              </w:rPr>
            </w:pPr>
            <w:r>
              <w:rPr>
                <w:rFonts w:ascii="Arial" w:cs="Arial" w:eastAsia="Arial" w:hAnsi="Arial"/>
                <w:sz w:val="18"/>
                <w:szCs w:val="18"/>
                <w:color w:val="auto"/>
              </w:rPr>
              <w:t>119,863</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118,405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12,723</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11,155</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14,005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49,357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79,538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spacing w:after="0"/>
              <w:rPr>
                <w:sz w:val="20"/>
                <w:szCs w:val="20"/>
                <w:color w:val="auto"/>
              </w:rPr>
            </w:pPr>
            <w:r>
              <w:rPr>
                <w:rFonts w:ascii="Arial" w:cs="Arial" w:eastAsia="Arial" w:hAnsi="Arial"/>
                <w:sz w:val="18"/>
                <w:szCs w:val="18"/>
                <w:color w:val="auto"/>
              </w:rPr>
              <w:t xml:space="preserve">Acquisition related costs </w:t>
            </w:r>
            <w:r>
              <w:rPr>
                <w:rFonts w:ascii="Arial" w:cs="Arial" w:eastAsia="Arial" w:hAnsi="Arial"/>
                <w:sz w:val="18"/>
                <w:szCs w:val="18"/>
                <w:i w:val="1"/>
                <w:iCs w:val="1"/>
                <w:color w:val="auto"/>
              </w:rPr>
              <w:t>(a)</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1,961</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1,961</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Restructuring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565</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105</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679</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(750)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7,459</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4,062</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6,709</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8,435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126,633</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244,451</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272,878</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794,837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1,113,690</w:t>
            </w:r>
          </w:p>
        </w:tc>
        <w:tc>
          <w:tcPr>
            <w:tcW w:w="0" w:type="dxa"/>
            <w:vAlign w:val="bottom"/>
          </w:tcPr>
          <w:p>
            <w:pPr>
              <w:spacing w:after="0"/>
              <w:rPr>
                <w:sz w:val="1"/>
                <w:szCs w:val="1"/>
                <w:color w:val="auto"/>
              </w:rPr>
            </w:pPr>
          </w:p>
        </w:tc>
      </w:tr>
      <w:tr>
        <w:trPr>
          <w:trHeight w:val="20"/>
        </w:trPr>
        <w:tc>
          <w:tcPr>
            <w:tcW w:w="4520" w:type="dxa"/>
            <w:vAlign w:val="bottom"/>
            <w:gridSpan w:val="2"/>
            <w:vMerge w:val="restart"/>
          </w:tcPr>
          <w:p>
            <w:pPr>
              <w:spacing w:after="0"/>
              <w:rPr>
                <w:sz w:val="20"/>
                <w:szCs w:val="20"/>
                <w:color w:val="auto"/>
              </w:rPr>
            </w:pPr>
            <w:r>
              <w:rPr>
                <w:rFonts w:ascii="Arial" w:cs="Arial" w:eastAsia="Arial" w:hAnsi="Arial"/>
                <w:sz w:val="18"/>
                <w:szCs w:val="18"/>
                <w:color w:val="auto"/>
              </w:rPr>
              <w:t>GAAP weighted average shares—diluted</w:t>
            </w: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520" w:type="dxa"/>
            <w:vAlign w:val="bottom"/>
            <w:gridSpan w:val="2"/>
            <w:vMerge w:val="continue"/>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599,300</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613,499</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679,445</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623,268</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676,878</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11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6,397</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1,558</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5,760</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3,852</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3,728</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520" w:type="dxa"/>
            <w:vAlign w:val="bottom"/>
            <w:gridSpan w:val="2"/>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(c)</w:t>
            </w: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605,697</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615,057</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685,205</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627,120</w:t>
            </w: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680,606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per share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0.99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1.34</w:t>
            </w:r>
          </w:p>
        </w:tc>
        <w:tc>
          <w:tcPr>
            <w:tcW w:w="0" w:type="dxa"/>
            <w:vAlign w:val="bottom"/>
          </w:tcPr>
          <w:p>
            <w:pPr>
              <w:spacing w:after="0"/>
              <w:rPr>
                <w:sz w:val="1"/>
                <w:szCs w:val="1"/>
                <w:color w:val="auto"/>
              </w:rPr>
            </w:pPr>
          </w:p>
        </w:tc>
      </w:tr>
      <w:tr>
        <w:trPr>
          <w:trHeight w:val="20"/>
        </w:trPr>
        <w:tc>
          <w:tcPr>
            <w:tcW w:w="452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520" w:type="dxa"/>
            <w:vAlign w:val="bottom"/>
            <w:gridSpan w:val="2"/>
            <w:vMerge w:val="continue"/>
          </w:tcPr>
          <w:p>
            <w:pPr>
              <w:spacing w:after="0"/>
              <w:rPr>
                <w:sz w:val="18"/>
                <w:szCs w:val="18"/>
                <w:color w:val="auto"/>
              </w:rPr>
            </w:pPr>
          </w:p>
        </w:tc>
        <w:tc>
          <w:tcPr>
            <w:tcW w:w="1260" w:type="dxa"/>
            <w:vAlign w:val="bottom"/>
            <w:gridSpan w:val="2"/>
          </w:tcPr>
          <w:p>
            <w:pPr>
              <w:ind w:left="11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0.21</w:t>
            </w:r>
          </w:p>
        </w:tc>
        <w:tc>
          <w:tcPr>
            <w:tcW w:w="180" w:type="dxa"/>
            <w:vAlign w:val="bottom"/>
          </w:tcPr>
          <w:p>
            <w:pPr>
              <w:spacing w:after="0"/>
              <w:rPr>
                <w:sz w:val="18"/>
                <w:szCs w:val="18"/>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0.40</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0.40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1.27</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1.64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401,588</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538,317</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528,714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1,927,235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2,138,619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1,444</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1,940</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1,776</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6,995</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7,522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1,457</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11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4,062</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8,435</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404,489</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540,257</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534,552</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1,935,687</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2,154,576</w:t>
            </w:r>
          </w:p>
        </w:tc>
        <w:tc>
          <w:tcPr>
            <w:tcW w:w="0" w:type="dxa"/>
            <w:vAlign w:val="bottom"/>
          </w:tcPr>
          <w:p>
            <w:pPr>
              <w:spacing w:after="0"/>
              <w:rPr>
                <w:sz w:val="1"/>
                <w:szCs w:val="1"/>
                <w:color w:val="auto"/>
              </w:rPr>
            </w:pPr>
          </w:p>
        </w:tc>
      </w:tr>
      <w:tr>
        <w:trPr>
          <w:trHeight w:val="20"/>
        </w:trPr>
        <w:tc>
          <w:tcPr>
            <w:tcW w:w="4520" w:type="dxa"/>
            <w:vAlign w:val="bottom"/>
            <w:gridSpan w:val="2"/>
            <w:vMerge w:val="restart"/>
          </w:tcPr>
          <w:p>
            <w:pPr>
              <w:spacing w:after="0"/>
              <w:rPr>
                <w:sz w:val="20"/>
                <w:szCs w:val="20"/>
                <w:color w:val="auto"/>
              </w:rPr>
            </w:pPr>
            <w:r>
              <w:rPr>
                <w:rFonts w:ascii="Arial" w:cs="Arial" w:eastAsia="Arial" w:hAnsi="Arial"/>
                <w:sz w:val="18"/>
                <w:szCs w:val="18"/>
                <w:color w:val="auto"/>
              </w:rPr>
              <w:t>GAAP gross margin</w:t>
            </w: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520" w:type="dxa"/>
            <w:vAlign w:val="bottom"/>
            <w:gridSpan w:val="2"/>
            <w:vMerge w:val="continue"/>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54.1%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56.6%</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58.7%</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56.8%</w:t>
            </w: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59.2%</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0.2%</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0.2%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0.0%</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0"/>
        </w:trPr>
        <w:tc>
          <w:tcPr>
            <w:tcW w:w="452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1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20" w:type="dxa"/>
            <w:vAlign w:val="bottom"/>
            <w:gridSpan w:val="2"/>
            <w:vMerge w:val="continue"/>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20"/>
              <w:spacing w:after="0"/>
              <w:rPr>
                <w:sz w:val="20"/>
                <w:szCs w:val="20"/>
                <w:color w:val="auto"/>
              </w:rPr>
            </w:pPr>
            <w:r>
              <w:rPr>
                <w:rFonts w:ascii="Arial" w:cs="Arial" w:eastAsia="Arial" w:hAnsi="Arial"/>
                <w:sz w:val="18"/>
                <w:szCs w:val="18"/>
                <w:color w:val="auto"/>
              </w:rPr>
              <w:t>54.5%</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56.8%</w:t>
            </w:r>
          </w:p>
        </w:tc>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59.4%</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57.0%</w:t>
            </w:r>
          </w:p>
        </w:tc>
        <w:tc>
          <w:tcPr>
            <w:tcW w:w="100" w:type="dxa"/>
            <w:vAlign w:val="bottom"/>
          </w:tcPr>
          <w:p>
            <w:pPr>
              <w:spacing w:after="0"/>
              <w:rPr>
                <w:sz w:val="19"/>
                <w:szCs w:val="19"/>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59.7%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255,282</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266,255</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231,836</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1,013,678</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897,578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(22,298)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w w:val="92"/>
              </w:rPr>
              <w:t>(21,905)</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w w:val="92"/>
              </w:rPr>
              <w:t>(21,789)</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(85,924)</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(82,524)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(279)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(279)</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(420)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(1)</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(280)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(728)</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(1,966)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(3,137)</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(3,137)</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4520" w:type="dxa"/>
            <w:vAlign w:val="bottom"/>
            <w:gridSpan w:val="2"/>
            <w:vMerge w:val="restart"/>
          </w:tcPr>
          <w:p>
            <w:pPr>
              <w:spacing w:after="0"/>
              <w:rPr>
                <w:sz w:val="20"/>
                <w:szCs w:val="20"/>
                <w:color w:val="auto"/>
              </w:rPr>
            </w:pPr>
            <w:r>
              <w:rPr>
                <w:rFonts w:ascii="Arial" w:cs="Arial" w:eastAsia="Arial" w:hAnsi="Arial"/>
                <w:sz w:val="18"/>
                <w:szCs w:val="18"/>
                <w:color w:val="auto"/>
              </w:rPr>
              <w:t>Non-GAAP research and development</w:t>
            </w:r>
          </w:p>
        </w:tc>
        <w:tc>
          <w:tcPr>
            <w:tcW w:w="1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20" w:type="dxa"/>
            <w:vAlign w:val="bottom"/>
            <w:gridSpan w:val="2"/>
            <w:vMerge w:val="continue"/>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232,285</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241,212</w:t>
            </w:r>
          </w:p>
        </w:tc>
        <w:tc>
          <w:tcPr>
            <w:tcW w:w="3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209,767</w:t>
            </w:r>
          </w:p>
        </w:tc>
        <w:tc>
          <w:tcPr>
            <w:tcW w:w="300" w:type="dxa"/>
            <w:vAlign w:val="bottom"/>
          </w:tcPr>
          <w:p>
            <w:pPr>
              <w:spacing w:after="0"/>
              <w:rPr>
                <w:sz w:val="19"/>
                <w:szCs w:val="19"/>
                <w:color w:val="auto"/>
              </w:rPr>
            </w:pP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923,610</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813,088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40,392</w:t>
            </w:r>
          </w:p>
        </w:tc>
        <w:tc>
          <w:tcPr>
            <w:tcW w:w="18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40,500</w:t>
            </w: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40,444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159,434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155,481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(3,657)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(3,402)</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(2,991)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(12,920)</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(11,769)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(40)</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(8)</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Non-GAAP selling and marketing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36,687</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37,098</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37,453</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146,466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143,712</w:t>
            </w:r>
          </w:p>
        </w:tc>
        <w:tc>
          <w:tcPr>
            <w:tcW w:w="0" w:type="dxa"/>
            <w:vAlign w:val="bottom"/>
          </w:tcPr>
          <w:p>
            <w:pPr>
              <w:spacing w:after="0"/>
              <w:rPr>
                <w:sz w:val="1"/>
                <w:szCs w:val="1"/>
                <w:color w:val="auto"/>
              </w:rPr>
            </w:pPr>
          </w:p>
        </w:tc>
      </w:tr>
      <w:tr>
        <w:trPr>
          <w:trHeight w:val="20"/>
        </w:trPr>
        <w:tc>
          <w:tcPr>
            <w:tcW w:w="4520" w:type="dxa"/>
            <w:vAlign w:val="bottom"/>
            <w:gridSpan w:val="2"/>
            <w:vMerge w:val="restart"/>
          </w:tcPr>
          <w:p>
            <w:pPr>
              <w:spacing w:after="0"/>
              <w:rPr>
                <w:sz w:val="20"/>
                <w:szCs w:val="20"/>
                <w:color w:val="auto"/>
              </w:rPr>
            </w:pPr>
            <w:r>
              <w:rPr>
                <w:rFonts w:ascii="Arial" w:cs="Arial" w:eastAsia="Arial" w:hAnsi="Arial"/>
                <w:sz w:val="18"/>
                <w:szCs w:val="18"/>
                <w:color w:val="auto"/>
              </w:rPr>
              <w:t>GAAP general and administrative:</w:t>
            </w: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520" w:type="dxa"/>
            <w:vAlign w:val="bottom"/>
            <w:gridSpan w:val="2"/>
            <w:vMerge w:val="continue"/>
          </w:tcPr>
          <w:p>
            <w:pPr>
              <w:spacing w:after="0"/>
              <w:rPr>
                <w:sz w:val="18"/>
                <w:szCs w:val="18"/>
                <w:color w:val="auto"/>
              </w:rPr>
            </w:pPr>
          </w:p>
        </w:tc>
        <w:tc>
          <w:tcPr>
            <w:tcW w:w="1260" w:type="dxa"/>
            <w:vAlign w:val="bottom"/>
            <w:gridSpan w:val="2"/>
          </w:tcPr>
          <w:p>
            <w:pPr>
              <w:ind w:left="11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23,184</w:t>
            </w:r>
          </w:p>
        </w:tc>
        <w:tc>
          <w:tcPr>
            <w:tcW w:w="180" w:type="dxa"/>
            <w:vAlign w:val="bottom"/>
          </w:tcPr>
          <w:p>
            <w:pPr>
              <w:spacing w:after="0"/>
              <w:rPr>
                <w:sz w:val="18"/>
                <w:szCs w:val="18"/>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29,021</w:t>
            </w: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26,706</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100,620</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104,830</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(4,018)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(3,364)</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(4,723)</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(14,024)</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(16,590)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(185)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(185)</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(104)</w:t>
            </w: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(399)</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(1,120)</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00" w:type="dxa"/>
            <w:vAlign w:val="bottom"/>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750</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rPr>
              <w:t>(4,322)</w:t>
            </w: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(3,572)</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0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19,594</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21,231</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21,584</w:t>
            </w:r>
          </w:p>
        </w:tc>
        <w:tc>
          <w:tcPr>
            <w:tcW w:w="30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81,719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87,023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0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180" w:hanging="452"/>
        <w:spacing w:after="0" w:line="253"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Acquisition-related costs include the step-up in fair value of acquired inventory that was sold during the period, and the amortization of retention bonuses required by the terms of the acquisition. Restructuring costs related to recently completed acquisitions are included within “Restructuring” in the table above.</w:t>
      </w:r>
    </w:p>
    <w:p>
      <w:pPr>
        <w:ind w:left="460" w:right="200" w:hanging="452"/>
        <w:spacing w:after="0" w:line="250"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The years ended January 28, 2012 and January 29, 2011 include portions of settlements related to previous periods. The year ended January 28, 2012 and the three months ended October 29, 2011 include assessments of payroll taxes on employee benefits in certain jurisdictions. The three months and year ended January 28, 2012 include proceeds related to a concluded legal matter.</w:t>
      </w:r>
    </w:p>
    <w:p>
      <w:pPr>
        <w:spacing w:after="0" w:line="1" w:lineRule="exact"/>
        <w:rPr>
          <w:rFonts w:ascii="Arial" w:cs="Arial" w:eastAsia="Arial" w:hAnsi="Arial"/>
          <w:sz w:val="18"/>
          <w:szCs w:val="18"/>
          <w:i w:val="1"/>
          <w:iCs w:val="1"/>
          <w:color w:val="auto"/>
        </w:rPr>
      </w:pPr>
    </w:p>
    <w:p>
      <w:pPr>
        <w:ind w:left="460" w:right="380" w:hanging="452"/>
        <w:spacing w:after="0" w:line="323"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benefits of stock compensation costs attributable to future services and not yet recognized in the financial statements.</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274"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96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28,</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40" w:type="dxa"/>
            <w:vAlign w:val="bottom"/>
            <w:tcBorders>
              <w:bottom w:val="single" w:sz="8" w:color="CCEEFF"/>
            </w:tcBorders>
          </w:tcPr>
          <w:p>
            <w:pPr>
              <w:spacing w:after="0"/>
              <w:rPr>
                <w:sz w:val="14"/>
                <w:szCs w:val="14"/>
                <w:color w:val="auto"/>
              </w:rPr>
            </w:pPr>
          </w:p>
        </w:tc>
        <w:tc>
          <w:tcPr>
            <w:tcW w:w="45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8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45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assets: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2,246,498</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2,930,030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407,263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459,406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354,119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245,448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45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71,081</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77,763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3,078,961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3,712,647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383,801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358,440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23,215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2,173,496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2,129,464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108,146</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111,380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6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5,767,619</w:t>
            </w:r>
          </w:p>
        </w:tc>
        <w:tc>
          <w:tcPr>
            <w:tcW w:w="2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liabilities: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304,695</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332,007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224,900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232,518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59,959</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76,161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4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589,554</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640,686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164,047</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175,602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45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753,601</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816,288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5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Common stock</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1,162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4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3,683,117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4,805,588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Accumulated other comprehensive income</w:t>
            </w:r>
          </w:p>
        </w:tc>
        <w:tc>
          <w:tcPr>
            <w:tcW w:w="4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776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Retained earnings</w:t>
            </w:r>
          </w:p>
        </w:tc>
        <w:tc>
          <w:tcPr>
            <w:tcW w:w="45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1,328,963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713,872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45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5,014,018</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5,521,869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6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5,767,619</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6,338,157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60" w:type="dxa"/>
            <w:vAlign w:val="bottom"/>
            <w:vMerge w:val="restart"/>
          </w:tcPr>
          <w:p>
            <w:pPr>
              <w:jc w:val="right"/>
              <w:ind w:right="357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45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3" w:name="page14"/>
    <w:bookmarkEnd w:id="13"/>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3800"/>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7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60" w:type="dxa"/>
            <w:vAlign w:val="bottom"/>
            <w:gridSpan w:val="5"/>
          </w:tcPr>
          <w:p>
            <w:pPr>
              <w:jc w:val="right"/>
              <w:ind w:right="78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216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780" w:type="dxa"/>
            <w:vAlign w:val="bottom"/>
          </w:tcPr>
          <w:p>
            <w:pPr>
              <w:spacing w:after="0"/>
              <w:rPr>
                <w:sz w:val="11"/>
                <w:szCs w:val="11"/>
                <w:color w:val="auto"/>
              </w:rPr>
            </w:pPr>
          </w:p>
        </w:tc>
        <w:tc>
          <w:tcPr>
            <w:tcW w:w="1140" w:type="dxa"/>
            <w:vAlign w:val="bottom"/>
            <w:tcBorders>
              <w:top w:val="single" w:sz="8" w:color="auto"/>
            </w:tcBorders>
            <w:gridSpan w:val="3"/>
          </w:tcPr>
          <w:p>
            <w:pPr>
              <w:jc w:val="right"/>
              <w:ind w:right="440"/>
              <w:spacing w:after="0" w:line="129" w:lineRule="exact"/>
              <w:rPr>
                <w:sz w:val="20"/>
                <w:szCs w:val="20"/>
                <w:color w:val="auto"/>
              </w:rPr>
            </w:pPr>
            <w:r>
              <w:rPr>
                <w:rFonts w:ascii="Arial" w:cs="Arial" w:eastAsia="Arial" w:hAnsi="Arial"/>
                <w:sz w:val="14"/>
                <w:szCs w:val="14"/>
                <w:b w:val="1"/>
                <w:bCs w:val="1"/>
                <w:color w:val="auto"/>
                <w:w w:val="88"/>
              </w:rPr>
              <w:t>January 28,</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January 29,</w:t>
            </w:r>
          </w:p>
        </w:tc>
        <w:tc>
          <w:tcPr>
            <w:tcW w:w="4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w w:val="85"/>
              </w:rPr>
              <w:t>January 28,</w:t>
            </w: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ind w:right="13"/>
              <w:spacing w:after="0" w:line="129" w:lineRule="exact"/>
              <w:rPr>
                <w:sz w:val="20"/>
                <w:szCs w:val="20"/>
                <w:color w:val="auto"/>
              </w:rPr>
            </w:pPr>
            <w:r>
              <w:rPr>
                <w:rFonts w:ascii="Arial" w:cs="Arial" w:eastAsia="Arial" w:hAnsi="Arial"/>
                <w:sz w:val="14"/>
                <w:szCs w:val="14"/>
                <w:b w:val="1"/>
                <w:bCs w:val="1"/>
                <w:color w:val="auto"/>
                <w:w w:val="85"/>
              </w:rPr>
              <w:t>January 29,</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7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2012</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2011</w:t>
            </w:r>
          </w:p>
        </w:tc>
        <w:tc>
          <w:tcPr>
            <w:tcW w:w="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2012</w:t>
            </w:r>
          </w:p>
        </w:tc>
        <w:tc>
          <w:tcPr>
            <w:tcW w:w="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2011</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7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80,717</w:t>
            </w:r>
          </w:p>
        </w:tc>
        <w:tc>
          <w:tcPr>
            <w:tcW w:w="4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222,853</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615,091</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904,129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21,801</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24,199</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88,454</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93,190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31,416</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31,279</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119,862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118,405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12,723</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14,005</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49,357</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79,538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(income) expense, net</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3,779</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(1,987)</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15,190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7,581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Facilities impairment</w:t>
            </w:r>
          </w:p>
        </w:tc>
        <w:tc>
          <w:tcPr>
            <w:tcW w:w="100" w:type="dxa"/>
            <w:vAlign w:val="bottom"/>
          </w:tcPr>
          <w:p>
            <w:pPr>
              <w:spacing w:after="0"/>
              <w:rPr>
                <w:sz w:val="18"/>
                <w:szCs w:val="18"/>
                <w:color w:val="auto"/>
              </w:rPr>
            </w:pPr>
          </w:p>
        </w:tc>
        <w:tc>
          <w:tcPr>
            <w:tcW w:w="104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12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1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1,140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(65)</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(230)</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(164)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receivable</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46,252</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8,569</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54,550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(102,610)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86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w w:val="98"/>
              </w:rPr>
              <w:t>(37,142)</w:t>
            </w:r>
          </w:p>
        </w:tc>
        <w:tc>
          <w:tcPr>
            <w:tcW w:w="100" w:type="dxa"/>
            <w:vAlign w:val="bottom"/>
          </w:tcPr>
          <w:p>
            <w:pPr>
              <w:spacing w:after="0"/>
              <w:rPr>
                <w:sz w:val="18"/>
                <w:szCs w:val="18"/>
                <w:color w:val="auto"/>
              </w:rPr>
            </w:pPr>
          </w:p>
        </w:tc>
        <w:tc>
          <w:tcPr>
            <w:tcW w:w="1120" w:type="dxa"/>
            <w:vAlign w:val="bottom"/>
            <w:gridSpan w:val="2"/>
          </w:tcPr>
          <w:p>
            <w:pPr>
              <w:jc w:val="right"/>
              <w:ind w:right="360"/>
              <w:spacing w:after="0"/>
              <w:rPr>
                <w:sz w:val="20"/>
                <w:szCs w:val="20"/>
                <w:color w:val="auto"/>
              </w:rPr>
            </w:pPr>
            <w:r>
              <w:rPr>
                <w:rFonts w:ascii="Arial" w:cs="Arial" w:eastAsia="Arial" w:hAnsi="Arial"/>
                <w:sz w:val="18"/>
                <w:szCs w:val="18"/>
                <w:color w:val="auto"/>
              </w:rPr>
              <w:t>(17,120)</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(101,109)</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(3,655)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(6,738)</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64,553</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27,491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54,349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860"/>
              <w:spacing w:after="0"/>
              <w:rPr>
                <w:sz w:val="20"/>
                <w:szCs w:val="20"/>
                <w:color w:val="auto"/>
              </w:rPr>
            </w:pPr>
            <w:r>
              <w:rPr>
                <w:rFonts w:ascii="Arial" w:cs="Arial" w:eastAsia="Arial" w:hAnsi="Arial"/>
                <w:sz w:val="18"/>
                <w:szCs w:val="18"/>
                <w:color w:val="auto"/>
              </w:rPr>
              <w:t>Accounts payable</w:t>
            </w:r>
          </w:p>
        </w:tc>
        <w:tc>
          <w:tcPr>
            <w:tcW w:w="100" w:type="dxa"/>
            <w:vAlign w:val="bottom"/>
          </w:tcPr>
          <w:p>
            <w:pPr>
              <w:spacing w:after="0"/>
              <w:rPr>
                <w:sz w:val="18"/>
                <w:szCs w:val="18"/>
                <w:color w:val="auto"/>
              </w:rPr>
            </w:pP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w w:val="98"/>
              </w:rPr>
              <w:t>(51,288)</w:t>
            </w:r>
          </w:p>
        </w:tc>
        <w:tc>
          <w:tcPr>
            <w:tcW w:w="100" w:type="dxa"/>
            <w:vAlign w:val="bottom"/>
          </w:tcPr>
          <w:p>
            <w:pPr>
              <w:spacing w:after="0"/>
              <w:rPr>
                <w:sz w:val="18"/>
                <w:szCs w:val="18"/>
                <w:color w:val="auto"/>
              </w:rPr>
            </w:pPr>
          </w:p>
        </w:tc>
        <w:tc>
          <w:tcPr>
            <w:tcW w:w="1120" w:type="dxa"/>
            <w:vAlign w:val="bottom"/>
            <w:gridSpan w:val="2"/>
          </w:tcPr>
          <w:p>
            <w:pPr>
              <w:jc w:val="right"/>
              <w:ind w:right="360"/>
              <w:spacing w:after="0"/>
              <w:rPr>
                <w:sz w:val="20"/>
                <w:szCs w:val="20"/>
                <w:color w:val="auto"/>
              </w:rPr>
            </w:pPr>
            <w:r>
              <w:rPr>
                <w:rFonts w:ascii="Arial" w:cs="Arial" w:eastAsia="Arial" w:hAnsi="Arial"/>
                <w:sz w:val="18"/>
                <w:szCs w:val="18"/>
                <w:color w:val="auto"/>
              </w:rPr>
              <w:t>(21,471)</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(47,095)</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42,464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liabilities and other</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(3,583)</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(56,007)</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(21,613)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(38,059)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86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w w:val="98"/>
              </w:rPr>
              <w:t>(19,489)</w:t>
            </w:r>
          </w:p>
        </w:tc>
        <w:tc>
          <w:tcPr>
            <w:tcW w:w="100" w:type="dxa"/>
            <w:vAlign w:val="bottom"/>
          </w:tcPr>
          <w:p>
            <w:pPr>
              <w:spacing w:after="0"/>
              <w:rPr>
                <w:sz w:val="18"/>
                <w:szCs w:val="18"/>
                <w:color w:val="auto"/>
              </w:rPr>
            </w:pPr>
          </w:p>
        </w:tc>
        <w:tc>
          <w:tcPr>
            <w:tcW w:w="1120" w:type="dxa"/>
            <w:vAlign w:val="bottom"/>
            <w:gridSpan w:val="2"/>
          </w:tcPr>
          <w:p>
            <w:pPr>
              <w:jc w:val="right"/>
              <w:ind w:right="360"/>
              <w:spacing w:after="0"/>
              <w:rPr>
                <w:sz w:val="20"/>
                <w:szCs w:val="20"/>
                <w:color w:val="auto"/>
              </w:rPr>
            </w:pPr>
            <w:r>
              <w:rPr>
                <w:rFonts w:ascii="Arial" w:cs="Arial" w:eastAsia="Arial" w:hAnsi="Arial"/>
                <w:sz w:val="18"/>
                <w:szCs w:val="18"/>
                <w:color w:val="auto"/>
              </w:rPr>
              <w:t>(5,755)</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(12,565)</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21,210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Deferred income</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(9,285)</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(12,055)</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(16,202)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16,765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780" w:type="dxa"/>
            <w:vAlign w:val="bottom"/>
            <w:vMerge w:val="restart"/>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678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69,098</w:t>
            </w: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250,833</w:t>
            </w:r>
          </w:p>
        </w:tc>
        <w:tc>
          <w:tcPr>
            <w:tcW w:w="100" w:type="dxa"/>
            <w:vAlign w:val="bottom"/>
          </w:tcPr>
          <w:p>
            <w:pPr>
              <w:spacing w:after="0"/>
              <w:rPr>
                <w:sz w:val="19"/>
                <w:szCs w:val="19"/>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771,247</w:t>
            </w:r>
          </w:p>
        </w:tc>
        <w:tc>
          <w:tcPr>
            <w:tcW w:w="10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1,193,548</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Purchases of marketable securities</w:t>
            </w:r>
          </w:p>
        </w:tc>
        <w:tc>
          <w:tcPr>
            <w:tcW w:w="100" w:type="dxa"/>
            <w:vAlign w:val="bottom"/>
          </w:tcPr>
          <w:p>
            <w:pPr>
              <w:spacing w:after="0"/>
              <w:rPr>
                <w:sz w:val="18"/>
                <w:szCs w:val="18"/>
                <w:color w:val="auto"/>
              </w:rPr>
            </w:pP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w w:val="85"/>
              </w:rPr>
              <w:t>(268,804)</w:t>
            </w:r>
          </w:p>
        </w:tc>
        <w:tc>
          <w:tcPr>
            <w:tcW w:w="100" w:type="dxa"/>
            <w:vAlign w:val="bottom"/>
          </w:tcPr>
          <w:p>
            <w:pPr>
              <w:spacing w:after="0"/>
              <w:rPr>
                <w:sz w:val="18"/>
                <w:szCs w:val="18"/>
                <w:color w:val="auto"/>
              </w:rPr>
            </w:pPr>
          </w:p>
        </w:tc>
        <w:tc>
          <w:tcPr>
            <w:tcW w:w="1120" w:type="dxa"/>
            <w:vAlign w:val="bottom"/>
            <w:gridSpan w:val="2"/>
          </w:tcPr>
          <w:p>
            <w:pPr>
              <w:jc w:val="right"/>
              <w:ind w:right="360"/>
              <w:spacing w:after="0"/>
              <w:rPr>
                <w:sz w:val="20"/>
                <w:szCs w:val="20"/>
                <w:color w:val="auto"/>
              </w:rPr>
            </w:pPr>
            <w:r>
              <w:rPr>
                <w:rFonts w:ascii="Arial" w:cs="Arial" w:eastAsia="Arial" w:hAnsi="Arial"/>
                <w:sz w:val="18"/>
                <w:szCs w:val="18"/>
                <w:color w:val="auto"/>
                <w:w w:val="95"/>
              </w:rPr>
              <w:t>(240,817)</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w w:val="86"/>
              </w:rPr>
              <w:t>(1,851,696)</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w w:val="89"/>
              </w:rPr>
              <w:t>(1,262,767)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strategic investments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(500)</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(4,003)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Sales and maturities of investments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378,950</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190,021</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w w:val="92"/>
              </w:rPr>
              <w:t>1,462,164</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868,759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paid for acquisitions, net</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8"/>
              </w:rPr>
              <w:t>(75,156)</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(8,767)</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(93,916)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(29,446)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Proceeds from sale of equity investments</w:t>
            </w:r>
          </w:p>
        </w:tc>
        <w:tc>
          <w:tcPr>
            <w:tcW w:w="100" w:type="dxa"/>
            <w:vAlign w:val="bottom"/>
          </w:tcPr>
          <w:p>
            <w:pPr>
              <w:spacing w:after="0"/>
              <w:rPr>
                <w:sz w:val="18"/>
                <w:szCs w:val="18"/>
                <w:color w:val="auto"/>
              </w:rPr>
            </w:pPr>
          </w:p>
        </w:tc>
        <w:tc>
          <w:tcPr>
            <w:tcW w:w="104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9,192</w:t>
            </w:r>
          </w:p>
        </w:tc>
        <w:tc>
          <w:tcPr>
            <w:tcW w:w="100" w:type="dxa"/>
            <w:vAlign w:val="bottom"/>
          </w:tcPr>
          <w:p>
            <w:pPr>
              <w:spacing w:after="0"/>
              <w:rPr>
                <w:sz w:val="18"/>
                <w:szCs w:val="18"/>
                <w:color w:val="auto"/>
              </w:rPr>
            </w:pPr>
          </w:p>
        </w:tc>
        <w:tc>
          <w:tcPr>
            <w:tcW w:w="118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9,192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(4,230)</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(10,495)</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(13,823)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(23,144)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Pr>
          <w:p>
            <w:pPr>
              <w:spacing w:after="0"/>
              <w:rPr>
                <w:sz w:val="18"/>
                <w:szCs w:val="18"/>
                <w:color w:val="auto"/>
              </w:rPr>
            </w:pP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w w:val="98"/>
              </w:rPr>
              <w:t>(26,449)</w:t>
            </w:r>
          </w:p>
        </w:tc>
        <w:tc>
          <w:tcPr>
            <w:tcW w:w="100" w:type="dxa"/>
            <w:vAlign w:val="bottom"/>
          </w:tcPr>
          <w:p>
            <w:pPr>
              <w:spacing w:after="0"/>
              <w:rPr>
                <w:sz w:val="18"/>
                <w:szCs w:val="18"/>
                <w:color w:val="auto"/>
              </w:rPr>
            </w:pPr>
          </w:p>
        </w:tc>
        <w:tc>
          <w:tcPr>
            <w:tcW w:w="1120" w:type="dxa"/>
            <w:vAlign w:val="bottom"/>
            <w:gridSpan w:val="2"/>
          </w:tcPr>
          <w:p>
            <w:pPr>
              <w:jc w:val="right"/>
              <w:ind w:right="360"/>
              <w:spacing w:after="0"/>
              <w:rPr>
                <w:sz w:val="20"/>
                <w:szCs w:val="20"/>
                <w:color w:val="auto"/>
              </w:rPr>
            </w:pPr>
            <w:r>
              <w:rPr>
                <w:rFonts w:ascii="Arial" w:cs="Arial" w:eastAsia="Arial" w:hAnsi="Arial"/>
                <w:sz w:val="18"/>
                <w:szCs w:val="18"/>
                <w:color w:val="auto"/>
              </w:rPr>
              <w:t>(26,906)</w:t>
            </w:r>
          </w:p>
        </w:tc>
        <w:tc>
          <w:tcPr>
            <w:tcW w:w="100" w:type="dxa"/>
            <w:vAlign w:val="bottom"/>
          </w:tcPr>
          <w:p>
            <w:pPr>
              <w:spacing w:after="0"/>
              <w:rPr>
                <w:sz w:val="18"/>
                <w:szCs w:val="18"/>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rPr>
              <w:t>(88,779)</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(90,173)</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7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provided by investing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3,811</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(87,772)</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(590,053)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(529,329)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Repurchase of common stock</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5"/>
              </w:rPr>
              <w:t>(186,480)</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(26,892)</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(1,340,876)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(87,486)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47,464</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68,281</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97,857</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165,954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and term loan obligations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(500)</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(511)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(1,940)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65</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230</w:t>
            </w:r>
          </w:p>
        </w:tc>
        <w:tc>
          <w:tcPr>
            <w:tcW w:w="10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164</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899</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7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67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provided by financing activities</w:t>
            </w: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5"/>
              </w:rPr>
              <w:t>(138,951)</w:t>
            </w: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41,119</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6"/>
              </w:rPr>
              <w:t>(1,243,366)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77,427</w:t>
            </w:r>
          </w:p>
        </w:tc>
        <w:tc>
          <w:tcPr>
            <w:tcW w:w="0" w:type="dxa"/>
            <w:vAlign w:val="bottom"/>
          </w:tcPr>
          <w:p>
            <w:pPr>
              <w:spacing w:after="0"/>
              <w:rPr>
                <w:sz w:val="1"/>
                <w:szCs w:val="1"/>
                <w:color w:val="auto"/>
              </w:rPr>
            </w:pPr>
          </w:p>
        </w:tc>
      </w:tr>
      <w:tr>
        <w:trPr>
          <w:trHeight w:val="20"/>
        </w:trPr>
        <w:tc>
          <w:tcPr>
            <w:tcW w:w="6800" w:type="dxa"/>
            <w:vAlign w:val="bottom"/>
            <w:gridSpan w:val="2"/>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800" w:type="dxa"/>
            <w:vAlign w:val="bottom"/>
            <w:gridSpan w:val="2"/>
            <w:vMerge w:val="continue"/>
          </w:tcPr>
          <w:p>
            <w:pPr>
              <w:spacing w:after="0"/>
              <w:rPr>
                <w:sz w:val="19"/>
                <w:szCs w:val="19"/>
                <w:color w:val="auto"/>
              </w:rPr>
            </w:pPr>
          </w:p>
        </w:tc>
        <w:tc>
          <w:tcPr>
            <w:tcW w:w="100" w:type="dxa"/>
            <w:vAlign w:val="bottom"/>
          </w:tcPr>
          <w:p>
            <w:pPr>
              <w:spacing w:after="0"/>
              <w:rPr>
                <w:sz w:val="19"/>
                <w:szCs w:val="19"/>
                <w:color w:val="auto"/>
              </w:rPr>
            </w:pP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w w:val="98"/>
              </w:rPr>
              <w:t>(66,042)</w:t>
            </w:r>
          </w:p>
        </w:tc>
        <w:tc>
          <w:tcPr>
            <w:tcW w:w="100" w:type="dxa"/>
            <w:vAlign w:val="bottom"/>
          </w:tcPr>
          <w:p>
            <w:pPr>
              <w:spacing w:after="0"/>
              <w:rPr>
                <w:sz w:val="19"/>
                <w:szCs w:val="19"/>
                <w:color w:val="auto"/>
              </w:rPr>
            </w:pP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rPr>
              <w:t>204,180</w:t>
            </w:r>
          </w:p>
        </w:tc>
        <w:tc>
          <w:tcPr>
            <w:tcW w:w="100" w:type="dxa"/>
            <w:vAlign w:val="bottom"/>
          </w:tcPr>
          <w:p>
            <w:pPr>
              <w:spacing w:after="0"/>
              <w:rPr>
                <w:sz w:val="19"/>
                <w:szCs w:val="19"/>
                <w:color w:val="auto"/>
              </w:rPr>
            </w:pPr>
          </w:p>
        </w:tc>
        <w:tc>
          <w:tcPr>
            <w:tcW w:w="1180" w:type="dxa"/>
            <w:vAlign w:val="bottom"/>
            <w:gridSpan w:val="2"/>
          </w:tcPr>
          <w:p>
            <w:pPr>
              <w:jc w:val="right"/>
              <w:ind w:right="360"/>
              <w:spacing w:after="0"/>
              <w:rPr>
                <w:sz w:val="20"/>
                <w:szCs w:val="20"/>
                <w:color w:val="auto"/>
              </w:rPr>
            </w:pPr>
            <w:r>
              <w:rPr>
                <w:rFonts w:ascii="Arial" w:cs="Arial" w:eastAsia="Arial" w:hAnsi="Arial"/>
                <w:sz w:val="18"/>
                <w:szCs w:val="18"/>
                <w:color w:val="auto"/>
                <w:w w:val="86"/>
              </w:rPr>
              <w:t>(1,062,172)</w:t>
            </w:r>
          </w:p>
        </w:tc>
        <w:tc>
          <w:tcPr>
            <w:tcW w:w="100" w:type="dxa"/>
            <w:vAlign w:val="bottom"/>
          </w:tcPr>
          <w:p>
            <w:pPr>
              <w:spacing w:after="0"/>
              <w:rPr>
                <w:sz w:val="19"/>
                <w:szCs w:val="19"/>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741,646</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67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850,944</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4"/>
              </w:rPr>
              <w:t>1,642,894</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92"/>
              </w:rPr>
              <w:t>1,847,074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1,105,428</w:t>
            </w:r>
          </w:p>
        </w:tc>
        <w:tc>
          <w:tcPr>
            <w:tcW w:w="0" w:type="dxa"/>
            <w:vAlign w:val="bottom"/>
          </w:tcPr>
          <w:p>
            <w:pPr>
              <w:spacing w:after="0"/>
              <w:rPr>
                <w:sz w:val="1"/>
                <w:szCs w:val="1"/>
                <w:color w:val="auto"/>
              </w:rPr>
            </w:pPr>
          </w:p>
        </w:tc>
      </w:tr>
      <w:tr>
        <w:trPr>
          <w:trHeight w:val="20"/>
        </w:trPr>
        <w:tc>
          <w:tcPr>
            <w:tcW w:w="6800" w:type="dxa"/>
            <w:vAlign w:val="bottom"/>
            <w:gridSpan w:val="2"/>
            <w:vMerge w:val="restart"/>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800" w:type="dxa"/>
            <w:vAlign w:val="bottom"/>
            <w:gridSpan w:val="2"/>
            <w:vMerge w:val="continue"/>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784,902</w:t>
            </w:r>
          </w:p>
        </w:tc>
        <w:tc>
          <w:tcPr>
            <w:tcW w:w="4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1120" w:type="dxa"/>
            <w:vAlign w:val="bottom"/>
            <w:gridSpan w:val="2"/>
          </w:tcPr>
          <w:p>
            <w:pPr>
              <w:jc w:val="right"/>
              <w:ind w:right="420"/>
              <w:spacing w:after="0"/>
              <w:rPr>
                <w:sz w:val="20"/>
                <w:szCs w:val="20"/>
                <w:color w:val="auto"/>
              </w:rPr>
            </w:pPr>
            <w:r>
              <w:rPr>
                <w:rFonts w:ascii="Arial" w:cs="Arial" w:eastAsia="Arial" w:hAnsi="Arial"/>
                <w:sz w:val="18"/>
                <w:szCs w:val="18"/>
                <w:color w:val="auto"/>
                <w:w w:val="84"/>
              </w:rPr>
              <w:t>1,847,074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784,902</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1,847,074</w:t>
            </w:r>
          </w:p>
        </w:tc>
        <w:tc>
          <w:tcPr>
            <w:tcW w:w="0" w:type="dxa"/>
            <w:vAlign w:val="bottom"/>
          </w:tcPr>
          <w:p>
            <w:pPr>
              <w:spacing w:after="0"/>
              <w:rPr>
                <w:sz w:val="1"/>
                <w:szCs w:val="1"/>
                <w:color w:val="auto"/>
              </w:rPr>
            </w:pPr>
          </w:p>
        </w:tc>
      </w:tr>
      <w:tr>
        <w:trPr>
          <w:trHeight w:val="372"/>
        </w:trPr>
        <w:tc>
          <w:tcPr>
            <w:tcW w:w="6800" w:type="dxa"/>
            <w:vAlign w:val="bottom"/>
            <w:gridSpan w:val="2"/>
          </w:tcPr>
          <w:p>
            <w:pPr>
              <w:jc w:val="right"/>
              <w:ind w:right="952"/>
              <w:spacing w:after="0"/>
              <w:rPr>
                <w:sz w:val="20"/>
                <w:szCs w:val="20"/>
                <w:color w:val="auto"/>
              </w:rPr>
            </w:pPr>
            <w:r>
              <w:rPr>
                <w:rFonts w:ascii="Arial" w:cs="Arial" w:eastAsia="Arial" w:hAnsi="Arial"/>
                <w:sz w:val="18"/>
                <w:szCs w:val="18"/>
                <w:color w:val="auto"/>
              </w:rPr>
              <w:t>9</w:t>
            </w:r>
          </w:p>
        </w:tc>
        <w:tc>
          <w:tcPr>
            <w:tcW w:w="100" w:type="dxa"/>
            <w:vAlign w:val="bottom"/>
            <w:tcBorders>
              <w:top w:val="single" w:sz="8" w:color="auto"/>
            </w:tcBorders>
          </w:tcPr>
          <w:p>
            <w:pPr>
              <w:spacing w:after="0"/>
              <w:rPr>
                <w:sz w:val="24"/>
                <w:szCs w:val="24"/>
                <w:color w:val="auto"/>
              </w:rPr>
            </w:pPr>
          </w:p>
        </w:tc>
        <w:tc>
          <w:tcPr>
            <w:tcW w:w="640" w:type="dxa"/>
            <w:vAlign w:val="bottom"/>
            <w:tcBorders>
              <w:top w:val="single" w:sz="8" w:color="auto"/>
            </w:tcBorders>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700" w:type="dxa"/>
            <w:vAlign w:val="bottom"/>
            <w:tcBorders>
              <w:top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760" w:type="dxa"/>
            <w:vAlign w:val="bottom"/>
            <w:tcBorders>
              <w:top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78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2019-12-09T12:42:54Z</dcterms:created>
  <dcterms:modified xsi:type="dcterms:W3CDTF">2019-12-09T12:42:54Z</dcterms:modified>
</cp:coreProperties>
</file>