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(CUSIP Number)</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2011</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12"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12" w:lineRule="exact"/>
        <w:rPr>
          <w:sz w:val="24"/>
          <w:szCs w:val="24"/>
          <w:color w:val="auto"/>
        </w:rPr>
      </w:pPr>
    </w:p>
    <w:p>
      <w:pPr>
        <w:ind w:left="900" w:hanging="446"/>
        <w:spacing w:after="0"/>
        <w:tabs>
          <w:tab w:leader="none" w:pos="90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5"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340"/>
          </w:cols>
          <w:pgMar w:left="240" w:top="422" w:right="31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Sehat Sutardja</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68,015,012 shares*</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68,015,012 shares*</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68,015,012 shares*</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6"/>
              </w:rPr>
              <w:t>11.6%</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20" w:hanging="212"/>
        <w:spacing w:after="0" w:line="294" w:lineRule="auto"/>
        <w:tabs>
          <w:tab w:leader="none" w:pos="220"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2,416,680 shares issuable pursuant to stock options exercisable on February 29, 2012, held by Dr. Sehat Sutardja, and (iii) 225,000 shares issuable pursuant to stock options exercisable on February 29, 2012,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40"/>
          </w:cols>
          <w:pgMar w:left="240" w:top="280"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Weili Dai</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68,015,012 shares *</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68,015,012 shares *</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68,015,012 shares *</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6"/>
              </w:rPr>
              <w:t>11.6%</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20" w:hanging="212"/>
        <w:spacing w:after="0" w:line="294" w:lineRule="auto"/>
        <w:tabs>
          <w:tab w:leader="none" w:pos="220" w:val="left"/>
        </w:tabs>
        <w:numPr>
          <w:ilvl w:val="0"/>
          <w:numId w:val="4"/>
        </w:numPr>
        <w:rPr>
          <w:rFonts w:ascii="Arial" w:cs="Arial" w:eastAsia="Arial" w:hAnsi="Arial"/>
          <w:sz w:val="16"/>
          <w:szCs w:val="16"/>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2,416,680 shares issuable pursuant to stock options exercisable on February 29, 2012, held by Dr. Sehat Sutardja, and (iii) 225,000 shares issuable pursuant to stock options exercisable on February 29, 2012,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40"/>
          </w:cols>
          <w:pgMar w:left="240" w:top="847" w:right="21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90" w:lineRule="exact"/>
        <w:rPr>
          <w:sz w:val="20"/>
          <w:szCs w:val="20"/>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Technology Group Ltd.</w:t>
      </w:r>
    </w:p>
    <w:p>
      <w:pPr>
        <w:spacing w:after="0" w:line="84" w:lineRule="exact"/>
        <w:rPr>
          <w:sz w:val="20"/>
          <w:szCs w:val="20"/>
          <w:color w:val="auto"/>
        </w:rPr>
      </w:pPr>
    </w:p>
    <w:p>
      <w:pPr>
        <w:ind w:left="1620" w:right="5279" w:hanging="1166"/>
        <w:spacing w:after="0" w:line="254" w:lineRule="auto"/>
        <w:tabs>
          <w:tab w:leader="none" w:pos="161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62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620" w:right="737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90" w:lineRule="exact"/>
        <w:rPr>
          <w:sz w:val="20"/>
          <w:szCs w:val="20"/>
          <w:color w:val="auto"/>
        </w:rPr>
      </w:pPr>
    </w:p>
    <w:p>
      <w:pPr>
        <w:ind w:left="920" w:right="7719" w:hanging="466"/>
        <w:spacing w:after="0" w:line="332" w:lineRule="auto"/>
        <w:tabs>
          <w:tab w:leader="none" w:pos="898" w:val="left"/>
        </w:tabs>
        <w:numPr>
          <w:ilvl w:val="0"/>
          <w:numId w:val="7"/>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4" w:lineRule="exact"/>
        <w:rPr>
          <w:rFonts w:ascii="Arial" w:cs="Arial" w:eastAsia="Arial" w:hAnsi="Arial"/>
          <w:sz w:val="16"/>
          <w:szCs w:val="16"/>
          <w:color w:val="auto"/>
        </w:rPr>
      </w:pPr>
    </w:p>
    <w:p>
      <w:pPr>
        <w:ind w:left="1620" w:right="4439" w:hanging="1166"/>
        <w:spacing w:after="0" w:line="254" w:lineRule="auto"/>
        <w:tabs>
          <w:tab w:leader="none" w:pos="161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620" w:right="69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109"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Citizenship</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United States</w:t>
      </w:r>
    </w:p>
    <w:p>
      <w:pPr>
        <w:spacing w:after="0" w:line="205" w:lineRule="exact"/>
        <w:rPr>
          <w:sz w:val="20"/>
          <w:szCs w:val="20"/>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Common shares, par value $0.002 per share</w:t>
      </w:r>
    </w:p>
    <w:p>
      <w:pPr>
        <w:spacing w:after="0" w:line="205" w:lineRule="exact"/>
        <w:rPr>
          <w:sz w:val="20"/>
          <w:szCs w:val="20"/>
          <w:color w:val="auto"/>
        </w:rPr>
      </w:pPr>
    </w:p>
    <w:p>
      <w:pPr>
        <w:ind w:left="920" w:right="8199" w:hanging="466"/>
        <w:spacing w:after="0" w:line="332" w:lineRule="auto"/>
        <w:tabs>
          <w:tab w:leader="none" w:pos="898" w:val="left"/>
        </w:tabs>
        <w:numPr>
          <w:ilvl w:val="0"/>
          <w:numId w:val="9"/>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26" w:lineRule="exact"/>
        <w:rPr>
          <w:sz w:val="20"/>
          <w:szCs w:val="20"/>
          <w:color w:val="auto"/>
        </w:rPr>
      </w:pPr>
    </w:p>
    <w:p>
      <w:pPr>
        <w:ind w:left="920" w:right="7719" w:hanging="466"/>
        <w:spacing w:after="0" w:line="268" w:lineRule="auto"/>
        <w:tabs>
          <w:tab w:leader="none" w:pos="898" w:val="left"/>
        </w:tabs>
        <w:numPr>
          <w:ilvl w:val="0"/>
          <w:numId w:val="10"/>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50" w:lineRule="exact"/>
        <w:rPr>
          <w:rFonts w:ascii="Arial" w:cs="Arial" w:eastAsia="Arial" w:hAnsi="Arial"/>
          <w:sz w:val="18"/>
          <w:szCs w:val="18"/>
          <w:color w:val="auto"/>
        </w:rPr>
      </w:pPr>
    </w:p>
    <w:p>
      <w:pPr>
        <w:ind w:left="1620" w:right="4439" w:hanging="1166"/>
        <w:spacing w:after="0" w:line="254" w:lineRule="auto"/>
        <w:tabs>
          <w:tab w:leader="none" w:pos="161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620" w:right="69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109"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Citizenship</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United States</w:t>
      </w:r>
    </w:p>
    <w:p>
      <w:pPr>
        <w:spacing w:after="0" w:line="205"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Common shares, par value $0.002 per share</w:t>
      </w:r>
    </w:p>
    <w:p>
      <w:pPr>
        <w:spacing w:after="0" w:line="205" w:lineRule="exact"/>
        <w:rPr>
          <w:sz w:val="20"/>
          <w:szCs w:val="20"/>
          <w:color w:val="auto"/>
        </w:rPr>
      </w:pPr>
    </w:p>
    <w:p>
      <w:pPr>
        <w:ind w:left="920" w:right="8199" w:hanging="466"/>
        <w:spacing w:after="0" w:line="332" w:lineRule="auto"/>
        <w:tabs>
          <w:tab w:leader="none" w:pos="898" w:val="left"/>
        </w:tabs>
        <w:numPr>
          <w:ilvl w:val="0"/>
          <w:numId w:val="12"/>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90"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80" w:right="1440" w:bottom="1440" w:gutter="0" w:footer="0" w:header="0"/>
        </w:sectPr>
      </w:pPr>
    </w:p>
    <w:bookmarkStart w:id="4" w:name="page5"/>
    <w:bookmarkEnd w:id="4"/>
    <w:p>
      <w:pPr>
        <w:spacing w:after="0"/>
        <w:tabs>
          <w:tab w:leader="none" w:pos="102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5"/>
          <w:szCs w:val="15"/>
          <w:color w:val="auto"/>
        </w:rPr>
        <w:t>Ownership</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90" w:lineRule="exact"/>
        <w:rPr>
          <w:sz w:val="20"/>
          <w:szCs w:val="20"/>
          <w:color w:val="auto"/>
        </w:rPr>
      </w:pPr>
    </w:p>
    <w:p>
      <w:pPr>
        <w:ind w:left="900" w:hanging="446"/>
        <w:spacing w:after="0"/>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5"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68,015,012 shares **</w:t>
      </w:r>
    </w:p>
    <w:p>
      <w:pPr>
        <w:spacing w:after="0" w:line="205" w:lineRule="exact"/>
        <w:rPr>
          <w:rFonts w:ascii="Arial" w:cs="Arial" w:eastAsia="Arial" w:hAnsi="Arial"/>
          <w:sz w:val="18"/>
          <w:szCs w:val="18"/>
          <w:color w:val="auto"/>
        </w:rPr>
      </w:pPr>
    </w:p>
    <w:p>
      <w:pPr>
        <w:ind w:left="900" w:hanging="446"/>
        <w:spacing w:after="0"/>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5"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11.6%</w:t>
      </w:r>
    </w:p>
    <w:p>
      <w:pPr>
        <w:spacing w:after="0" w:line="205" w:lineRule="exact"/>
        <w:rPr>
          <w:rFonts w:ascii="Arial" w:cs="Arial" w:eastAsia="Arial" w:hAnsi="Arial"/>
          <w:sz w:val="18"/>
          <w:szCs w:val="18"/>
          <w:color w:val="auto"/>
        </w:rPr>
      </w:pPr>
    </w:p>
    <w:p>
      <w:pPr>
        <w:ind w:left="900" w:hanging="446"/>
        <w:spacing w:after="0"/>
        <w:tabs>
          <w:tab w:leader="none" w:pos="900" w:val="left"/>
        </w:tabs>
        <w:numPr>
          <w:ilvl w:val="1"/>
          <w:numId w:val="13"/>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90" w:lineRule="exact"/>
        <w:rPr>
          <w:rFonts w:ascii="Arial" w:cs="Arial" w:eastAsia="Arial" w:hAnsi="Arial"/>
          <w:sz w:val="18"/>
          <w:szCs w:val="18"/>
          <w:color w:val="auto"/>
        </w:rPr>
      </w:pPr>
    </w:p>
    <w:p>
      <w:pPr>
        <w:ind w:left="1480" w:right="7080" w:hanging="567"/>
        <w:spacing w:after="0" w:line="268" w:lineRule="auto"/>
        <w:tabs>
          <w:tab w:leader="none" w:pos="1480" w:val="left"/>
        </w:tabs>
        <w:numPr>
          <w:ilvl w:val="2"/>
          <w:numId w:val="13"/>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50" w:lineRule="exact"/>
        <w:rPr>
          <w:rFonts w:ascii="Arial" w:cs="Arial" w:eastAsia="Arial" w:hAnsi="Arial"/>
          <w:sz w:val="18"/>
          <w:szCs w:val="18"/>
          <w:color w:val="auto"/>
        </w:rPr>
      </w:pPr>
    </w:p>
    <w:p>
      <w:pPr>
        <w:ind w:left="1480" w:right="6900" w:hanging="567"/>
        <w:spacing w:after="0" w:line="268" w:lineRule="auto"/>
        <w:tabs>
          <w:tab w:leader="none" w:pos="1480" w:val="left"/>
        </w:tabs>
        <w:numPr>
          <w:ilvl w:val="2"/>
          <w:numId w:val="13"/>
        </w:numPr>
        <w:rPr>
          <w:rFonts w:ascii="Arial" w:cs="Arial" w:eastAsia="Arial" w:hAnsi="Arial"/>
          <w:sz w:val="18"/>
          <w:szCs w:val="18"/>
          <w:color w:val="auto"/>
        </w:rPr>
      </w:pPr>
      <w:r>
        <w:rPr>
          <w:rFonts w:ascii="Arial" w:cs="Arial" w:eastAsia="Arial" w:hAnsi="Arial"/>
          <w:sz w:val="18"/>
          <w:szCs w:val="18"/>
          <w:color w:val="auto"/>
        </w:rPr>
        <w:t>Shared power to vote or to direct the vote 68,015,012 shares *</w:t>
      </w:r>
    </w:p>
    <w:p>
      <w:pPr>
        <w:spacing w:after="0" w:line="50" w:lineRule="exact"/>
        <w:rPr>
          <w:rFonts w:ascii="Arial" w:cs="Arial" w:eastAsia="Arial" w:hAnsi="Arial"/>
          <w:sz w:val="18"/>
          <w:szCs w:val="18"/>
          <w:color w:val="auto"/>
        </w:rPr>
      </w:pPr>
    </w:p>
    <w:p>
      <w:pPr>
        <w:ind w:left="1480" w:right="6200" w:hanging="567"/>
        <w:spacing w:after="0" w:line="268" w:lineRule="auto"/>
        <w:tabs>
          <w:tab w:leader="none" w:pos="1480" w:val="left"/>
        </w:tabs>
        <w:numPr>
          <w:ilvl w:val="2"/>
          <w:numId w:val="13"/>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50" w:lineRule="exact"/>
        <w:rPr>
          <w:rFonts w:ascii="Arial" w:cs="Arial" w:eastAsia="Arial" w:hAnsi="Arial"/>
          <w:sz w:val="18"/>
          <w:szCs w:val="18"/>
          <w:color w:val="auto"/>
        </w:rPr>
      </w:pPr>
    </w:p>
    <w:p>
      <w:pPr>
        <w:ind w:left="1480" w:right="6020" w:hanging="567"/>
        <w:spacing w:after="0" w:line="268" w:lineRule="auto"/>
        <w:tabs>
          <w:tab w:leader="none" w:pos="1480" w:val="left"/>
        </w:tabs>
        <w:numPr>
          <w:ilvl w:val="2"/>
          <w:numId w:val="13"/>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68,015,012 shares *</w:t>
      </w:r>
    </w:p>
    <w:p>
      <w:pPr>
        <w:spacing w:after="0" w:line="50" w:lineRule="exact"/>
        <w:rPr>
          <w:rFonts w:ascii="Arial" w:cs="Arial" w:eastAsia="Arial" w:hAnsi="Arial"/>
          <w:sz w:val="18"/>
          <w:szCs w:val="18"/>
          <w:color w:val="auto"/>
        </w:rPr>
      </w:pPr>
    </w:p>
    <w:p>
      <w:pPr>
        <w:ind w:left="460" w:right="460" w:hanging="446"/>
        <w:spacing w:after="0" w:line="268"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50" w:lineRule="exact"/>
        <w:rPr>
          <w:rFonts w:ascii="Arial" w:cs="Arial" w:eastAsia="Arial" w:hAnsi="Arial"/>
          <w:sz w:val="18"/>
          <w:szCs w:val="18"/>
          <w:color w:val="auto"/>
        </w:rPr>
      </w:pPr>
    </w:p>
    <w:p>
      <w:pPr>
        <w:ind w:left="460" w:right="80" w:hanging="452"/>
        <w:spacing w:after="0" w:line="305" w:lineRule="auto"/>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w:t>
      </w:r>
    </w:p>
    <w:p>
      <w:pPr>
        <w:ind w:left="460" w:hanging="6"/>
        <w:spacing w:after="0" w:line="254" w:lineRule="auto"/>
        <w:tabs>
          <w:tab w:leader="none" w:pos="718" w:val="left"/>
        </w:tabs>
        <w:numPr>
          <w:ilvl w:val="1"/>
          <w:numId w:val="14"/>
        </w:numPr>
        <w:rPr>
          <w:rFonts w:ascii="Arial" w:cs="Arial" w:eastAsia="Arial" w:hAnsi="Arial"/>
          <w:sz w:val="18"/>
          <w:szCs w:val="18"/>
          <w:color w:val="auto"/>
        </w:rPr>
      </w:pPr>
      <w:r>
        <w:rPr>
          <w:rFonts w:ascii="Arial" w:cs="Arial" w:eastAsia="Arial" w:hAnsi="Arial"/>
          <w:sz w:val="18"/>
          <w:szCs w:val="18"/>
          <w:color w:val="auto"/>
        </w:rPr>
        <w:t>2,416,680 shares issuable pursuant to stock options exercisable on February 29, 2012, held by Dr. Sehat Sutardja, and (iii) 225,000 shares issuable pursuant to stock options exercisable on February 29, 2012,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26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90" w:lineRule="exact"/>
        <w:rPr>
          <w:sz w:val="20"/>
          <w:szCs w:val="20"/>
          <w:color w:val="auto"/>
        </w:rPr>
      </w:pPr>
    </w:p>
    <w:p>
      <w:pPr>
        <w:ind w:right="10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ind w:right="960"/>
        <w:spacing w:after="0" w:line="362"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7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6"/>
          <w:szCs w:val="16"/>
          <w:color w:val="auto"/>
        </w:rPr>
        <w:t>Certification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1300"/>
          </w:cols>
          <w:pgMar w:left="240" w:top="280" w:right="359" w:bottom="1440" w:gutter="0" w:footer="0" w:header="0"/>
        </w:sectPr>
      </w:pPr>
    </w:p>
    <w:bookmarkStart w:id="5" w:name="page6"/>
    <w:bookmarkEnd w:id="5"/>
    <w:p>
      <w:pPr>
        <w:ind w:left="5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2,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ind w:left="8280"/>
        <w:spacing w:after="0"/>
        <w:tabs>
          <w:tab w:leader="none" w:pos="860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5"/>
          <w:szCs w:val="15"/>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88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212"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2,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right"/>
        <w:ind w:right="1320"/>
        <w:spacing w:after="0"/>
        <w:tabs>
          <w:tab w:leader="none" w:pos="19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right"/>
        <w:ind w:right="13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0780"/>
          </w:cols>
          <w:pgMar w:left="240" w:top="274" w:right="879" w:bottom="1440" w:gutter="0" w:footer="0" w:header="0"/>
        </w:sectPr>
      </w:pPr>
    </w:p>
    <w:bookmarkStart w:id="6" w:name="page7"/>
    <w:bookmarkEnd w:id="6"/>
    <w:p>
      <w:pPr>
        <w:jc w:val="right"/>
        <w:ind w:right="39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5" w:lineRule="exact"/>
        <w:rPr>
          <w:sz w:val="20"/>
          <w:szCs w:val="20"/>
          <w:color w:val="auto"/>
        </w:rPr>
      </w:pPr>
    </w:p>
    <w:p>
      <w:pPr>
        <w:ind w:left="20"/>
        <w:spacing w:after="0"/>
        <w:tabs>
          <w:tab w:leader="none" w:pos="960" w:val="left"/>
        </w:tabs>
        <w:rPr>
          <w:sz w:val="20"/>
          <w:szCs w:val="20"/>
          <w:color w:val="auto"/>
        </w:rPr>
      </w:pPr>
      <w:r>
        <w:rPr>
          <w:rFonts w:ascii="Arial" w:cs="Arial" w:eastAsia="Arial" w:hAnsi="Arial"/>
          <w:sz w:val="14"/>
          <w:szCs w:val="14"/>
          <w:u w:val="single" w:color="auto"/>
          <w:color w:val="auto"/>
        </w:rPr>
        <w:t>Exhibit</w:t>
      </w:r>
      <w:r>
        <w:rPr>
          <w:sz w:val="20"/>
          <w:szCs w:val="20"/>
          <w:color w:val="auto"/>
        </w:rPr>
        <w:tab/>
      </w:r>
      <w:r>
        <w:rPr>
          <w:rFonts w:ascii="Arial" w:cs="Arial" w:eastAsia="Arial" w:hAnsi="Arial"/>
          <w:sz w:val="14"/>
          <w:szCs w:val="14"/>
          <w:u w:val="single" w:color="auto"/>
          <w:color w:val="auto"/>
        </w:rPr>
        <w:t>Description</w:t>
      </w:r>
    </w:p>
    <w:p>
      <w:pPr>
        <w:spacing w:after="0" w:line="11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2, 2012.</w:t>
      </w:r>
    </w:p>
    <w:p>
      <w:pPr>
        <w:sectPr>
          <w:pgSz w:w="11900" w:h="16838" w:orient="portrait"/>
          <w:cols w:equalWidth="0" w:num="1">
            <w:col w:w="10219"/>
          </w:cols>
          <w:pgMar w:left="240" w:top="274"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3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171"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 2012.</w:t>
      </w:r>
    </w:p>
    <w:p>
      <w:pPr>
        <w:spacing w:after="0" w:line="212" w:lineRule="exact"/>
        <w:rPr>
          <w:sz w:val="20"/>
          <w:szCs w:val="20"/>
          <w:color w:val="auto"/>
        </w:rPr>
      </w:pPr>
    </w:p>
    <w:tbl>
      <w:tblPr>
        <w:tblLayout w:type="fixed"/>
        <w:tblInd w:w="6860" w:type="dxa"/>
        <w:tblCellMar>
          <w:top w:w="0" w:type="dxa"/>
          <w:left w:w="0" w:type="dxa"/>
          <w:bottom w:w="0" w:type="dxa"/>
          <w:right w:w="0" w:type="dxa"/>
        </w:tblCellMar>
      </w:tblPr>
      <w:tr>
        <w:trPr>
          <w:trHeight w:val="223"/>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1620" w:type="dxa"/>
            <w:vAlign w:val="bottom"/>
            <w:tcBorders>
              <w:bottom w:val="single" w:sz="8" w:color="auto"/>
            </w:tcBorders>
          </w:tcPr>
          <w:p>
            <w:pPr>
              <w:ind w:left="1460"/>
              <w:spacing w:after="0"/>
              <w:rPr>
                <w:sz w:val="20"/>
                <w:szCs w:val="20"/>
                <w:color w:val="auto"/>
              </w:rPr>
            </w:pPr>
            <w:r>
              <w:rPr>
                <w:rFonts w:ascii="Arial" w:cs="Arial" w:eastAsia="Arial" w:hAnsi="Arial"/>
                <w:sz w:val="18"/>
                <w:szCs w:val="18"/>
                <w:color w:val="auto"/>
                <w:w w:val="73"/>
              </w:rPr>
              <w:t>/s/</w:t>
            </w:r>
          </w:p>
        </w:tc>
        <w:tc>
          <w:tcPr>
            <w:tcW w:w="2660" w:type="dxa"/>
            <w:vAlign w:val="bottom"/>
            <w:tcBorders>
              <w:bottom w:val="single" w:sz="8" w:color="auto"/>
            </w:tcBorders>
          </w:tcPr>
          <w:p>
            <w:pPr>
              <w:jc w:val="center"/>
              <w:ind w:right="1552"/>
              <w:spacing w:after="0"/>
              <w:rPr>
                <w:sz w:val="20"/>
                <w:szCs w:val="20"/>
                <w:color w:val="auto"/>
              </w:rPr>
            </w:pPr>
            <w:r>
              <w:rPr>
                <w:rFonts w:ascii="Arial" w:cs="Arial" w:eastAsia="Arial" w:hAnsi="Arial"/>
                <w:sz w:val="18"/>
                <w:szCs w:val="18"/>
                <w:color w:val="auto"/>
                <w:w w:val="92"/>
              </w:rPr>
              <w:t>Weili Dai</w:t>
            </w:r>
          </w:p>
        </w:tc>
      </w:tr>
      <w:tr>
        <w:trPr>
          <w:trHeight w:val="222"/>
        </w:trPr>
        <w:tc>
          <w:tcPr>
            <w:tcW w:w="2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2660" w:type="dxa"/>
            <w:vAlign w:val="bottom"/>
          </w:tcPr>
          <w:p>
            <w:pPr>
              <w:jc w:val="center"/>
              <w:ind w:right="1532"/>
              <w:spacing w:after="0"/>
              <w:rPr>
                <w:sz w:val="20"/>
                <w:szCs w:val="20"/>
                <w:color w:val="auto"/>
              </w:rPr>
            </w:pPr>
            <w:r>
              <w:rPr>
                <w:rFonts w:ascii="Arial" w:cs="Arial" w:eastAsia="Arial" w:hAnsi="Arial"/>
                <w:sz w:val="18"/>
                <w:szCs w:val="18"/>
                <w:color w:val="auto"/>
                <w:w w:val="95"/>
              </w:rPr>
              <w:t>Weili Dai</w:t>
            </w:r>
          </w:p>
        </w:tc>
      </w:tr>
      <w:tr>
        <w:trPr>
          <w:trHeight w:val="432"/>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1620" w:type="dxa"/>
            <w:vAlign w:val="bottom"/>
          </w:tcPr>
          <w:p>
            <w:pPr>
              <w:ind w:left="1280"/>
              <w:spacing w:after="0"/>
              <w:rPr>
                <w:sz w:val="20"/>
                <w:szCs w:val="20"/>
                <w:color w:val="auto"/>
              </w:rPr>
            </w:pPr>
            <w:r>
              <w:rPr>
                <w:rFonts w:ascii="Arial" w:cs="Arial" w:eastAsia="Arial" w:hAnsi="Arial"/>
                <w:sz w:val="18"/>
                <w:szCs w:val="18"/>
                <w:color w:val="auto"/>
              </w:rPr>
              <w:t>/s/</w:t>
            </w:r>
          </w:p>
        </w:tc>
        <w:tc>
          <w:tcPr>
            <w:tcW w:w="2660" w:type="dxa"/>
            <w:vAlign w:val="bottom"/>
          </w:tcPr>
          <w:p>
            <w:pPr>
              <w:jc w:val="center"/>
              <w:ind w:right="1552"/>
              <w:spacing w:after="0"/>
              <w:rPr>
                <w:sz w:val="20"/>
                <w:szCs w:val="20"/>
                <w:color w:val="auto"/>
              </w:rPr>
            </w:pPr>
            <w:r>
              <w:rPr>
                <w:rFonts w:ascii="Arial" w:cs="Arial" w:eastAsia="Arial" w:hAnsi="Arial"/>
                <w:sz w:val="18"/>
                <w:szCs w:val="18"/>
                <w:color w:val="auto"/>
                <w:w w:val="85"/>
              </w:rPr>
              <w:t>Sehat Sutardja</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1270</wp:posOffset>
            </wp:positionV>
            <wp:extent cx="271843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1" w:lineRule="exact"/>
        <w:rPr>
          <w:sz w:val="20"/>
          <w:szCs w:val="20"/>
          <w:color w:val="auto"/>
        </w:rPr>
      </w:pPr>
    </w:p>
    <w:p>
      <w:pPr>
        <w:ind w:left="8640"/>
        <w:spacing w:after="0"/>
        <w:rPr>
          <w:sz w:val="20"/>
          <w:szCs w:val="20"/>
          <w:color w:val="auto"/>
        </w:rPr>
      </w:pPr>
      <w:r>
        <w:rPr>
          <w:rFonts w:ascii="Arial" w:cs="Arial" w:eastAsia="Arial" w:hAnsi="Arial"/>
          <w:sz w:val="18"/>
          <w:szCs w:val="18"/>
          <w:color w:val="auto"/>
        </w:rPr>
        <w:t>Dr. Sehat Sutardja</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E2A9E3"/>
    <w:multiLevelType w:val="hybridMultilevel"/>
    <w:lvl w:ilvl="0">
      <w:lvlJc w:val="left"/>
      <w:lvlText w:val="☐"/>
      <w:numFmt w:val="bullet"/>
      <w:start w:val="1"/>
    </w:lvl>
  </w:abstractNum>
  <w:abstractNum w:abstractNumId="1">
    <w:nsid w:val="7545E146"/>
    <w:multiLevelType w:val="hybridMultilevel"/>
    <w:lvl w:ilvl="0">
      <w:lvlJc w:val="left"/>
      <w:lvlText w:val="*"/>
      <w:numFmt w:val="bullet"/>
      <w:start w:val="1"/>
    </w:lvl>
    <w:lvl w:ilvl="1">
      <w:lvlJc w:val="left"/>
      <w:lvlText w:val="☒"/>
      <w:numFmt w:val="bullet"/>
      <w:start w:val="1"/>
    </w:lvl>
  </w:abstractNum>
  <w:abstractNum w:abstractNumId="2">
    <w:nsid w:val="515F007C"/>
    <w:multiLevelType w:val="hybridMultilevel"/>
    <w:lvl w:ilvl="0">
      <w:lvlJc w:val="left"/>
      <w:lvlText w:val="*"/>
      <w:numFmt w:val="bullet"/>
      <w:start w:val="1"/>
    </w:lvl>
  </w:abstractNum>
  <w:abstractNum w:abstractNumId="3">
    <w:nsid w:val="5BD062C2"/>
    <w:multiLevelType w:val="hybridMultilevel"/>
    <w:lvl w:ilvl="0">
      <w:lvlJc w:val="left"/>
      <w:lvlText w:val="*"/>
      <w:numFmt w:val="bullet"/>
      <w:start w:val="1"/>
    </w:lvl>
  </w:abstractNum>
  <w:abstractNum w:abstractNumId="4">
    <w:nsid w:val="12200854"/>
    <w:multiLevelType w:val="hybridMultilevel"/>
    <w:lvl w:ilvl="0">
      <w:lvlJc w:val="left"/>
      <w:lvlText w:val="(%1)"/>
      <w:numFmt w:val="lowerLetter"/>
      <w:start w:val="1"/>
    </w:lvl>
  </w:abstractNum>
  <w:abstractNum w:abstractNumId="5">
    <w:nsid w:val="4DB127F8"/>
    <w:multiLevelType w:val="hybridMultilevel"/>
    <w:lvl w:ilvl="0">
      <w:lvlJc w:val="left"/>
      <w:lvlText w:val="(%1)"/>
      <w:numFmt w:val="lowerLetter"/>
      <w:start w:val="2"/>
    </w:lvl>
  </w:abstractNum>
  <w:abstractNum w:abstractNumId="6">
    <w:nsid w:val="216231B"/>
    <w:multiLevelType w:val="hybridMultilevel"/>
    <w:lvl w:ilvl="0">
      <w:lvlJc w:val="left"/>
      <w:lvlText w:val="(%1)"/>
      <w:numFmt w:val="lowerLetter"/>
      <w:start w:val="1"/>
    </w:lvl>
  </w:abstractNum>
  <w:abstractNum w:abstractNumId="7">
    <w:nsid w:val="1F16E9E8"/>
    <w:multiLevelType w:val="hybridMultilevel"/>
    <w:lvl w:ilvl="0">
      <w:lvlJc w:val="left"/>
      <w:lvlText w:val="(%1)"/>
      <w:numFmt w:val="lowerLetter"/>
      <w:start w:val="4"/>
    </w:lvl>
  </w:abstractNum>
  <w:abstractNum w:abstractNumId="8">
    <w:nsid w:val="1190CDE7"/>
    <w:multiLevelType w:val="hybridMultilevel"/>
    <w:lvl w:ilvl="0">
      <w:lvlJc w:val="left"/>
      <w:lvlText w:val="(%1)"/>
      <w:numFmt w:val="lowerLetter"/>
      <w:start w:val="5"/>
    </w:lvl>
  </w:abstractNum>
  <w:abstractNum w:abstractNumId="9">
    <w:nsid w:val="66EF438D"/>
    <w:multiLevelType w:val="hybridMultilevel"/>
    <w:lvl w:ilvl="0">
      <w:lvlJc w:val="left"/>
      <w:lvlText w:val="(%1)"/>
      <w:numFmt w:val="lowerLetter"/>
      <w:start w:val="1"/>
    </w:lvl>
  </w:abstractNum>
  <w:abstractNum w:abstractNumId="10">
    <w:nsid w:val="140E0F76"/>
    <w:multiLevelType w:val="hybridMultilevel"/>
    <w:lvl w:ilvl="0">
      <w:lvlJc w:val="left"/>
      <w:lvlText w:val="(%1)"/>
      <w:numFmt w:val="lowerLetter"/>
      <w:start w:val="4"/>
    </w:lvl>
  </w:abstractNum>
  <w:abstractNum w:abstractNumId="11">
    <w:nsid w:val="3352255A"/>
    <w:multiLevelType w:val="hybridMultilevel"/>
    <w:lvl w:ilvl="0">
      <w:lvlJc w:val="left"/>
      <w:lvlText w:val="(%1)"/>
      <w:numFmt w:val="lowerLetter"/>
      <w:start w:val="5"/>
    </w:lvl>
  </w:abstractNum>
  <w:abstractNum w:abstractNumId="12">
    <w:nsid w:val="109CF92E"/>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abstractNum w:abstractNumId="13">
    <w:nsid w:val="DED7263"/>
    <w:multiLevelType w:val="hybridMultilevel"/>
    <w:lvl w:ilvl="0">
      <w:lvlJc w:val="left"/>
      <w:lvlText w:val="**"/>
      <w:numFmt w:val="bullet"/>
      <w:start w:val="1"/>
    </w:lvl>
    <w:lvl w:ilvl="1">
      <w:lvlJc w:val="left"/>
      <w:lvlText w:val="(%2)"/>
      <w:numFmt w:val="lowerLetter"/>
      <w:start w:val="35"/>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2019-12-09T11:44:31Z</dcterms:created>
  <dcterms:modified xsi:type="dcterms:W3CDTF">2019-12-09T11:44:31Z</dcterms:modified>
</cp:coreProperties>
</file>