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SCHEDULE 13G</w:t>
      </w:r>
    </w:p>
    <w:p>
      <w:pPr>
        <w:spacing w:after="0" w:line="253"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(Amendment No. 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96"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(Title of Class of Securities)</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(CUSIP Number)</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December 31, 2011</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5"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Page 1 of 5</w:t>
      </w:r>
    </w:p>
    <w:p>
      <w:pPr>
        <w:sectPr>
          <w:pgSz w:w="11900" w:h="16838" w:orient="portrait"/>
          <w:cols w:equalWidth="0" w:num="1">
            <w:col w:w="11340"/>
          </w:cols>
          <w:pgMar w:left="240" w:top="422" w:right="31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54875" cy="48964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4896485"/>
                    </a:xfrm>
                    <a:prstGeom prst="rect">
                      <a:avLst/>
                    </a:prstGeom>
                    <a:noFill/>
                  </pic:spPr>
                </pic:pic>
              </a:graphicData>
            </a:graphic>
          </wp:anchor>
        </w:drawing>
      </w:r>
    </w:p>
    <w:p>
      <w:pPr>
        <w:spacing w:after="0" w:line="84"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Dr. Pantas Sutardja</w:t>
            </w: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102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1014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1020" w:type="dxa"/>
            <w:vAlign w:val="bottom"/>
            <w:tcBorders>
              <w:bottom w:val="single" w:sz="8" w:color="auto"/>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1020" w:type="dxa"/>
            <w:vAlign w:val="bottom"/>
            <w:tcBorders>
              <w:bottom w:val="single" w:sz="8" w:color="auto"/>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3,077,500 shares</w:t>
            </w: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37,610,435 shares</w:t>
            </w: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1008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1008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3,077,500 shares</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100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37,610,435 shares</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940" w:type="dxa"/>
            <w:vAlign w:val="bottom"/>
            <w:gridSpan w:val="3"/>
          </w:tcPr>
          <w:p>
            <w:pPr>
              <w:ind w:left="80"/>
              <w:spacing w:after="0"/>
              <w:rPr>
                <w:sz w:val="20"/>
                <w:szCs w:val="20"/>
                <w:color w:val="auto"/>
              </w:rPr>
            </w:pPr>
            <w:r>
              <w:rPr>
                <w:rFonts w:ascii="Arial" w:cs="Arial" w:eastAsia="Arial" w:hAnsi="Arial"/>
                <w:sz w:val="18"/>
                <w:szCs w:val="18"/>
                <w:color w:val="auto"/>
                <w:w w:val="98"/>
              </w:rPr>
              <w:t>Aggregate</w:t>
            </w:r>
          </w:p>
        </w:tc>
        <w:tc>
          <w:tcPr>
            <w:tcW w:w="1008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40,687,935 shares*</w:t>
            </w: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1102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gridSpan w:val="2"/>
          </w:tcPr>
          <w:p>
            <w:pPr>
              <w:spacing w:after="0"/>
              <w:rPr>
                <w:sz w:val="13"/>
                <w:szCs w:val="13"/>
                <w:color w:val="auto"/>
              </w:rPr>
            </w:pPr>
          </w:p>
        </w:tc>
        <w:tc>
          <w:tcPr>
            <w:tcW w:w="1008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7.0%</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jc w:val="both"/>
        <w:ind w:left="220" w:right="6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amounts reported consists of 37,610,435 shares held by the Sutardja Chuk Revocable Family Trust and 3,077,500 shares deemed to be beneficially owned pursuant to stock options exercisable on February 29, 2012. 2,006,135 of the shares held by Sutardja Chuk Revocable Family Trust are held in an account that could be deemed a margin account.</w:t>
      </w:r>
    </w:p>
    <w:p>
      <w:pPr>
        <w:spacing w:after="0" w:line="27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440"/>
          </w:cols>
          <w:pgMar w:left="240" w:top="280"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17" w:lineRule="exact"/>
        <w:rPr>
          <w:sz w:val="20"/>
          <w:szCs w:val="20"/>
          <w:color w:val="auto"/>
        </w:rPr>
      </w:pPr>
    </w:p>
    <w:p>
      <w:pPr>
        <w:ind w:left="1040" w:hanging="330"/>
        <w:spacing w:after="0"/>
        <w:tabs>
          <w:tab w:leader="none" w:pos="104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24" w:lineRule="exact"/>
        <w:rPr>
          <w:rFonts w:ascii="Arial" w:cs="Arial" w:eastAsia="Arial" w:hAnsi="Arial"/>
          <w:sz w:val="18"/>
          <w:szCs w:val="18"/>
          <w:color w:val="auto"/>
        </w:rPr>
      </w:pPr>
    </w:p>
    <w:p>
      <w:pPr>
        <w:ind w:left="1480" w:right="5399" w:hanging="770"/>
        <w:spacing w:after="0" w:line="254"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ind w:left="148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80" w:right="749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040" w:right="7579" w:hanging="330"/>
        <w:spacing w:after="0" w:line="332" w:lineRule="auto"/>
        <w:tabs>
          <w:tab w:leader="none" w:pos="1040" w:val="left"/>
        </w:tabs>
        <w:numPr>
          <w:ilvl w:val="0"/>
          <w:numId w:val="5"/>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44" w:lineRule="exact"/>
        <w:rPr>
          <w:rFonts w:ascii="Arial" w:cs="Arial" w:eastAsia="Arial" w:hAnsi="Arial"/>
          <w:sz w:val="16"/>
          <w:szCs w:val="16"/>
          <w:color w:val="auto"/>
        </w:rPr>
      </w:pPr>
    </w:p>
    <w:p>
      <w:pPr>
        <w:ind w:left="1480" w:right="4559" w:hanging="770"/>
        <w:spacing w:after="0" w:line="254"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480" w:right="711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28" w:lineRule="exact"/>
        <w:rPr>
          <w:rFonts w:ascii="Arial" w:cs="Arial" w:eastAsia="Arial" w:hAnsi="Arial"/>
          <w:sz w:val="18"/>
          <w:szCs w:val="18"/>
          <w:color w:val="auto"/>
        </w:rPr>
      </w:pPr>
    </w:p>
    <w:p>
      <w:pPr>
        <w:ind w:left="1040" w:right="8239" w:hanging="330"/>
        <w:spacing w:after="0" w:line="370" w:lineRule="auto"/>
        <w:tabs>
          <w:tab w:leader="none" w:pos="1040" w:val="left"/>
        </w:tabs>
        <w:numPr>
          <w:ilvl w:val="0"/>
          <w:numId w:val="5"/>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21" w:lineRule="exact"/>
        <w:rPr>
          <w:rFonts w:ascii="Arial" w:cs="Arial" w:eastAsia="Arial" w:hAnsi="Arial"/>
          <w:sz w:val="15"/>
          <w:szCs w:val="15"/>
          <w:color w:val="auto"/>
        </w:rPr>
      </w:pPr>
    </w:p>
    <w:p>
      <w:pPr>
        <w:ind w:left="1040" w:hanging="330"/>
        <w:spacing w:after="0"/>
        <w:tabs>
          <w:tab w:leader="none" w:pos="10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24" w:lineRule="exact"/>
        <w:rPr>
          <w:rFonts w:ascii="Arial" w:cs="Arial" w:eastAsia="Arial" w:hAnsi="Arial"/>
          <w:sz w:val="18"/>
          <w:szCs w:val="18"/>
          <w:color w:val="auto"/>
        </w:rPr>
      </w:pPr>
    </w:p>
    <w:p>
      <w:pPr>
        <w:ind w:left="1040" w:right="8059" w:hanging="330"/>
        <w:spacing w:after="0" w:line="332" w:lineRule="auto"/>
        <w:tabs>
          <w:tab w:leader="none" w:pos="1040" w:val="left"/>
        </w:tabs>
        <w:numPr>
          <w:ilvl w:val="0"/>
          <w:numId w:val="5"/>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153"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5"/>
          <w:szCs w:val="15"/>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5"/>
          <w:szCs w:val="15"/>
          <w:color w:val="auto"/>
        </w:rPr>
        <w:t>Provide the following information regarding the aggregate number and percentage of the class of securities of the issuer identified in Item 1.</w:t>
      </w:r>
    </w:p>
    <w:p>
      <w:pPr>
        <w:spacing w:after="0" w:line="152" w:lineRule="exact"/>
        <w:rPr>
          <w:sz w:val="20"/>
          <w:szCs w:val="20"/>
          <w:color w:val="auto"/>
        </w:rPr>
      </w:pPr>
    </w:p>
    <w:p>
      <w:pPr>
        <w:ind w:left="1040" w:hanging="330"/>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40,687,935 shares*</w:t>
      </w:r>
    </w:p>
    <w:p>
      <w:pPr>
        <w:spacing w:after="0" w:line="124" w:lineRule="exact"/>
        <w:rPr>
          <w:rFonts w:ascii="Arial" w:cs="Arial" w:eastAsia="Arial" w:hAnsi="Arial"/>
          <w:sz w:val="18"/>
          <w:szCs w:val="18"/>
          <w:color w:val="auto"/>
        </w:rPr>
      </w:pPr>
    </w:p>
    <w:p>
      <w:pPr>
        <w:ind w:left="1040" w:hanging="330"/>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7.0%</w:t>
      </w:r>
    </w:p>
    <w:p>
      <w:pPr>
        <w:spacing w:after="0" w:line="124" w:lineRule="exact"/>
        <w:rPr>
          <w:rFonts w:ascii="Arial" w:cs="Arial" w:eastAsia="Arial" w:hAnsi="Arial"/>
          <w:sz w:val="18"/>
          <w:szCs w:val="18"/>
          <w:color w:val="auto"/>
        </w:rPr>
      </w:pPr>
    </w:p>
    <w:p>
      <w:pPr>
        <w:ind w:left="1040" w:hanging="330"/>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1400" w:right="6039" w:hanging="352"/>
        <w:spacing w:after="0" w:line="268" w:lineRule="auto"/>
        <w:tabs>
          <w:tab w:leader="none" w:pos="1434" w:val="left"/>
        </w:tabs>
        <w:numPr>
          <w:ilvl w:val="1"/>
          <w:numId w:val="6"/>
        </w:numPr>
        <w:rPr>
          <w:rFonts w:ascii="Arial" w:cs="Arial" w:eastAsia="Arial" w:hAnsi="Arial"/>
          <w:sz w:val="18"/>
          <w:szCs w:val="18"/>
          <w:color w:val="auto"/>
        </w:rPr>
      </w:pPr>
      <w:r>
        <w:rPr>
          <w:rFonts w:ascii="Arial" w:cs="Arial" w:eastAsia="Arial" w:hAnsi="Arial"/>
          <w:sz w:val="18"/>
          <w:szCs w:val="18"/>
          <w:color w:val="auto"/>
        </w:rPr>
        <w:t>Sole power to vote or to direct the vote 3,077,500 shares</w:t>
      </w:r>
    </w:p>
    <w:p>
      <w:pPr>
        <w:spacing w:after="0" w:line="132"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219"/>
          </w:cols>
          <w:pgMar w:left="240" w:top="280" w:right="1440" w:bottom="1440" w:gutter="0" w:footer="0" w:header="0"/>
        </w:sectPr>
      </w:pPr>
    </w:p>
    <w:bookmarkStart w:id="3" w:name="page4"/>
    <w:bookmarkEnd w:id="3"/>
    <w:p>
      <w:pPr>
        <w:ind w:left="1160" w:right="7280" w:hanging="511"/>
        <w:spacing w:after="0" w:line="268" w:lineRule="auto"/>
        <w:tabs>
          <w:tab w:leader="none" w:pos="1160" w:val="left"/>
        </w:tabs>
        <w:numPr>
          <w:ilvl w:val="1"/>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Shared power to vote or to direct the vote 37,610,435 shares</w:t>
      </w:r>
    </w:p>
    <w:p>
      <w:pPr>
        <w:spacing w:after="0" w:line="91" w:lineRule="exact"/>
        <w:rPr>
          <w:rFonts w:ascii="Arial" w:cs="Arial" w:eastAsia="Arial" w:hAnsi="Arial"/>
          <w:sz w:val="18"/>
          <w:szCs w:val="18"/>
          <w:color w:val="auto"/>
        </w:rPr>
      </w:pPr>
    </w:p>
    <w:p>
      <w:pPr>
        <w:ind w:left="1160" w:right="6580" w:hanging="560"/>
        <w:spacing w:after="0" w:line="268" w:lineRule="auto"/>
        <w:tabs>
          <w:tab w:leader="none" w:pos="1160" w:val="left"/>
        </w:tabs>
        <w:numPr>
          <w:ilvl w:val="1"/>
          <w:numId w:val="7"/>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3,077,500 shares</w:t>
      </w:r>
    </w:p>
    <w:p>
      <w:pPr>
        <w:spacing w:after="0" w:line="91" w:lineRule="exact"/>
        <w:rPr>
          <w:rFonts w:ascii="Arial" w:cs="Arial" w:eastAsia="Arial" w:hAnsi="Arial"/>
          <w:sz w:val="18"/>
          <w:szCs w:val="18"/>
          <w:color w:val="auto"/>
        </w:rPr>
      </w:pPr>
    </w:p>
    <w:p>
      <w:pPr>
        <w:ind w:left="1160" w:right="6400" w:hanging="550"/>
        <w:spacing w:after="0" w:line="268" w:lineRule="auto"/>
        <w:tabs>
          <w:tab w:leader="none" w:pos="1160" w:val="left"/>
        </w:tabs>
        <w:numPr>
          <w:ilvl w:val="1"/>
          <w:numId w:val="7"/>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37,610,435 shares</w:t>
      </w:r>
    </w:p>
    <w:p>
      <w:pPr>
        <w:spacing w:after="0" w:line="64" w:lineRule="exact"/>
        <w:rPr>
          <w:rFonts w:ascii="Arial" w:cs="Arial" w:eastAsia="Arial" w:hAnsi="Arial"/>
          <w:sz w:val="18"/>
          <w:szCs w:val="18"/>
          <w:color w:val="auto"/>
        </w:rPr>
      </w:pPr>
    </w:p>
    <w:p>
      <w:pPr>
        <w:ind w:left="240" w:hanging="224"/>
        <w:spacing w:after="0" w:line="259" w:lineRule="auto"/>
        <w:rPr>
          <w:rFonts w:ascii="Arial" w:cs="Arial" w:eastAsia="Arial" w:hAnsi="Arial"/>
          <w:sz w:val="18"/>
          <w:szCs w:val="18"/>
          <w:color w:val="auto"/>
        </w:rPr>
      </w:pPr>
      <w:r>
        <w:rPr>
          <w:rFonts w:ascii="Arial" w:cs="Arial" w:eastAsia="Arial" w:hAnsi="Arial"/>
          <w:sz w:val="18"/>
          <w:szCs w:val="18"/>
          <w:color w:val="auto"/>
        </w:rPr>
        <w:t>* The amounts reported consists of 37,610,435 shares held by the Sutardja Chuk Revocable Family Trust and 3,077,500 shares deemed to be beneficially owned pursuant to stock options exercisable on February 29, 2012. 2,006,135 of the shares held by Sutardja Chuk Revocable Family Trust are held in an account that could be deemed a margin account.</w:t>
      </w:r>
    </w:p>
    <w:p>
      <w:pPr>
        <w:spacing w:after="0" w:line="30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117" w:lineRule="exact"/>
        <w:rPr>
          <w:sz w:val="20"/>
          <w:szCs w:val="20"/>
          <w:color w:val="auto"/>
        </w:rPr>
      </w:pPr>
    </w:p>
    <w:p>
      <w:pPr>
        <w:ind w:right="160"/>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99"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ind w:right="1360"/>
        <w:spacing w:after="0" w:line="393" w:lineRule="auto"/>
        <w:rPr>
          <w:sz w:val="20"/>
          <w:szCs w:val="20"/>
          <w:color w:val="auto"/>
        </w:rPr>
      </w:pPr>
      <w:r>
        <w:rPr>
          <w:rFonts w:ascii="Arial" w:cs="Arial" w:eastAsia="Arial" w:hAnsi="Arial"/>
          <w:sz w:val="18"/>
          <w:szCs w:val="18"/>
          <w:color w:val="auto"/>
        </w:rPr>
        <w:t>Item 7. Identification and Classification of the Subsidiary Which Acquired the Security Being Reported on By the Parent Holding Company Not Applicable</w:t>
      </w:r>
    </w:p>
    <w:p>
      <w:pPr>
        <w:spacing w:after="0" w:line="186"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Item 10. 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1360"/>
          </w:cols>
          <w:pgMar w:left="240" w:top="280" w:right="299" w:bottom="1440" w:gutter="0" w:footer="0" w:header="0"/>
        </w:sectPr>
      </w:pPr>
    </w:p>
    <w:bookmarkStart w:id="4" w:name="page5"/>
    <w:bookmarkEnd w:id="4"/>
    <w:p>
      <w:pPr>
        <w:ind w:left="53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January 31, 2012</w:t>
      </w:r>
    </w:p>
    <w:p>
      <w:pPr>
        <w:spacing w:after="0" w:line="1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19"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Dr. Pantas Sutardja</w:t>
      </w:r>
    </w:p>
    <w:p>
      <w:pPr>
        <w:spacing w:after="0" w:line="1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1"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0780"/>
      </w:cols>
      <w:pgMar w:left="240" w:top="274" w:right="8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lvl w:ilvl="1">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1)"/>
      <w:numFmt w:val="lowerLetter"/>
      <w:start w:val="1"/>
    </w:lvl>
  </w:abstractNum>
  <w:abstractNum w:abstractNumId="4">
    <w:nsid w:val="507ED7AB"/>
    <w:multiLevelType w:val="hybridMultilevel"/>
    <w:lvl w:ilvl="0">
      <w:lvlJc w:val="left"/>
      <w:lvlText w:val="(%1)"/>
      <w:numFmt w:val="lowerLetter"/>
      <w:start w:val="1"/>
    </w:lvl>
  </w:abstractNum>
  <w:abstractNum w:abstractNumId="5">
    <w:nsid w:val="2EB141F2"/>
    <w:multiLevelType w:val="hybridMultilevel"/>
    <w:lvl w:ilvl="0">
      <w:lvlJc w:val="left"/>
      <w:lvlText w:val="(%1)"/>
      <w:numFmt w:val="lowerLetter"/>
      <w:start w:val="1"/>
    </w:lvl>
    <w:lvl w:ilvl="1">
      <w:lvlJc w:val="left"/>
      <w:lvlText w:val="(%2)"/>
      <w:numFmt w:val="lowerLetter"/>
      <w:start w:val="9"/>
    </w:lvl>
  </w:abstractNum>
  <w:abstractNum w:abstractNumId="6">
    <w:nsid w:val="41B71EFB"/>
    <w:multiLevelType w:val="hybridMultilevel"/>
    <w:lvl w:ilvl="0">
      <w:lvlJc w:val="left"/>
      <w:lvlText w:val="*"/>
      <w:numFmt w:val="bullet"/>
      <w:start w:val="1"/>
    </w:lvl>
    <w:lvl w:ilvl="1">
      <w:lvlJc w:val="left"/>
      <w:lvlText w:val="(%2)"/>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2019-12-09T12:35:35Z</dcterms:created>
  <dcterms:modified xsi:type="dcterms:W3CDTF">2019-12-09T12:35:35Z</dcterms:modified>
</cp:coreProperties>
</file>