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3</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#G5876H105</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FMR LLC</w:t>
      </w:r>
    </w:p>
    <w:p>
      <w:pPr>
        <w:spacing w:after="0"/>
        <w:rPr>
          <w:sz w:val="20"/>
          <w:szCs w:val="20"/>
          <w:color w:val="auto"/>
        </w:rPr>
      </w:pPr>
      <w:r>
        <w:rPr>
          <w:rFonts w:ascii="Courier New" w:cs="Courier New" w:eastAsia="Courier New" w:hAnsi="Courier New"/>
          <w:sz w:val="18"/>
          <w:szCs w:val="18"/>
          <w:color w:val="auto"/>
        </w:rPr>
        <w:t>Item 4: Delaware</w:t>
      </w:r>
    </w:p>
    <w:p>
      <w:pPr>
        <w:spacing w:after="0" w:line="237" w:lineRule="auto"/>
        <w:rPr>
          <w:sz w:val="20"/>
          <w:szCs w:val="20"/>
          <w:color w:val="auto"/>
        </w:rPr>
      </w:pPr>
      <w:r>
        <w:rPr>
          <w:rFonts w:ascii="Courier New" w:cs="Courier New" w:eastAsia="Courier New" w:hAnsi="Courier New"/>
          <w:sz w:val="18"/>
          <w:szCs w:val="18"/>
          <w:color w:val="auto"/>
        </w:rPr>
        <w:t>Item 5: 785,391</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52,426,663</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52,426,663</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040" w:type="dxa"/>
            <w:vAlign w:val="bottom"/>
          </w:tcPr>
          <w:p>
            <w:pPr>
              <w:jc w:val="right"/>
              <w:spacing w:after="0" w:line="202" w:lineRule="exact"/>
              <w:rPr>
                <w:sz w:val="20"/>
                <w:szCs w:val="20"/>
                <w:color w:val="auto"/>
              </w:rPr>
            </w:pPr>
            <w:r>
              <w:rPr>
                <w:rFonts w:ascii="Courier New" w:cs="Courier New" w:eastAsia="Courier New" w:hAnsi="Courier New"/>
                <w:sz w:val="18"/>
                <w:szCs w:val="18"/>
                <w:color w:val="auto"/>
              </w:rPr>
              <w:t>8.985%</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0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HC</w:t>
            </w:r>
          </w:p>
        </w:tc>
      </w:tr>
    </w:tbl>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Edward C. Johnson 3d</w:t>
      </w:r>
    </w:p>
    <w:p>
      <w:pPr>
        <w:spacing w:after="0"/>
        <w:rPr>
          <w:sz w:val="20"/>
          <w:szCs w:val="20"/>
          <w:color w:val="auto"/>
        </w:rPr>
      </w:pPr>
      <w:r>
        <w:rPr>
          <w:rFonts w:ascii="Courier New" w:cs="Courier New" w:eastAsia="Courier New" w:hAnsi="Courier New"/>
          <w:sz w:val="18"/>
          <w:szCs w:val="18"/>
          <w:color w:val="auto"/>
        </w:rPr>
        <w:t>Item 4: United States of America</w:t>
      </w:r>
    </w:p>
    <w:p>
      <w:pPr>
        <w:spacing w:after="0" w:line="237" w:lineRule="auto"/>
        <w:rPr>
          <w:sz w:val="20"/>
          <w:szCs w:val="20"/>
          <w:color w:val="auto"/>
        </w:rPr>
      </w:pPr>
      <w:r>
        <w:rPr>
          <w:rFonts w:ascii="Courier New" w:cs="Courier New" w:eastAsia="Courier New" w:hAnsi="Courier New"/>
          <w:sz w:val="18"/>
          <w:szCs w:val="18"/>
          <w:color w:val="auto"/>
        </w:rPr>
        <w:t>Item 5: 0</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52,426,663</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52,426,663</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040" w:type="dxa"/>
            <w:vAlign w:val="bottom"/>
          </w:tcPr>
          <w:p>
            <w:pPr>
              <w:ind w:left="420"/>
              <w:spacing w:after="0" w:line="202" w:lineRule="exact"/>
              <w:rPr>
                <w:sz w:val="20"/>
                <w:szCs w:val="20"/>
                <w:color w:val="auto"/>
              </w:rPr>
            </w:pPr>
            <w:r>
              <w:rPr>
                <w:rFonts w:ascii="Courier New" w:cs="Courier New" w:eastAsia="Courier New" w:hAnsi="Courier New"/>
                <w:sz w:val="18"/>
                <w:szCs w:val="18"/>
                <w:color w:val="auto"/>
                <w:w w:val="92"/>
              </w:rPr>
              <w:t>8.985%</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04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IN</w:t>
            </w:r>
          </w:p>
        </w:tc>
      </w:tr>
    </w:tbl>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9"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4"/>
          <w:szCs w:val="24"/>
          <w:color w:val="auto"/>
        </w:rPr>
      </w:pPr>
    </w:p>
    <w:p>
      <w:pPr>
        <w:spacing w:after="0" w:line="200" w:lineRule="exact"/>
        <w:rPr>
          <w:sz w:val="24"/>
          <w:szCs w:val="24"/>
          <w:color w:val="auto"/>
        </w:rPr>
      </w:pPr>
    </w:p>
    <w:p>
      <w:pPr>
        <w:spacing w:after="0" w:line="205"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1(a).</w:t>
      </w:r>
      <w:r>
        <w:rPr>
          <w:sz w:val="20"/>
          <w:szCs w:val="20"/>
          <w:color w:val="auto"/>
        </w:rPr>
        <w:tab/>
      </w:r>
      <w:r>
        <w:rPr>
          <w:rFonts w:ascii="Courier New" w:cs="Courier New" w:eastAsia="Courier New" w:hAnsi="Courier New"/>
          <w:sz w:val="16"/>
          <w:szCs w:val="16"/>
          <w:color w:val="auto"/>
        </w:rPr>
        <w:t>Name of Issuer:</w:t>
      </w:r>
    </w:p>
    <w:p>
      <w:pPr>
        <w:spacing w:after="0" w:line="201" w:lineRule="exact"/>
        <w:rPr>
          <w:sz w:val="24"/>
          <w:szCs w:val="24"/>
          <w:color w:val="auto"/>
        </w:rPr>
      </w:pPr>
    </w:p>
    <w:p>
      <w:pPr>
        <w:jc w:val="center"/>
        <w:ind w:right="3779"/>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1(b).</w:t>
      </w:r>
      <w:r>
        <w:rPr>
          <w:sz w:val="20"/>
          <w:szCs w:val="20"/>
          <w:color w:val="auto"/>
        </w:rPr>
        <w:tab/>
      </w:r>
      <w:r>
        <w:rPr>
          <w:rFonts w:ascii="Courier New" w:cs="Courier New" w:eastAsia="Courier New" w:hAnsi="Courier New"/>
          <w:sz w:val="16"/>
          <w:szCs w:val="16"/>
          <w:color w:val="auto"/>
        </w:rPr>
        <w:t>Name of Issuer's Principal Executive Offices: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Canon's Court</w:t>
      </w:r>
    </w:p>
    <w:p>
      <w:pPr>
        <w:ind w:left="1700"/>
        <w:spacing w:after="0" w:line="238" w:lineRule="auto"/>
        <w:rPr>
          <w:sz w:val="20"/>
          <w:szCs w:val="20"/>
          <w:color w:val="auto"/>
        </w:rPr>
      </w:pPr>
      <w:r>
        <w:rPr>
          <w:rFonts w:ascii="Courier New" w:cs="Courier New" w:eastAsia="Courier New" w:hAnsi="Courier New"/>
          <w:sz w:val="18"/>
          <w:szCs w:val="18"/>
          <w:color w:val="auto"/>
        </w:rPr>
        <w:t>22 Victoria Street</w:t>
      </w:r>
    </w:p>
    <w:p>
      <w:pPr>
        <w:ind w:left="1700"/>
        <w:spacing w:after="0"/>
        <w:rPr>
          <w:sz w:val="20"/>
          <w:szCs w:val="20"/>
          <w:color w:val="auto"/>
        </w:rPr>
      </w:pPr>
      <w:r>
        <w:rPr>
          <w:rFonts w:ascii="Courier New" w:cs="Courier New" w:eastAsia="Courier New" w:hAnsi="Courier New"/>
          <w:sz w:val="18"/>
          <w:szCs w:val="18"/>
          <w:color w:val="auto"/>
        </w:rPr>
        <w:t>Hamilton HM 12,</w:t>
      </w:r>
    </w:p>
    <w:p>
      <w:pPr>
        <w:ind w:left="1700"/>
        <w:spacing w:after="0" w:line="237" w:lineRule="auto"/>
        <w:rPr>
          <w:sz w:val="20"/>
          <w:szCs w:val="20"/>
          <w:color w:val="auto"/>
        </w:rPr>
      </w:pPr>
      <w:r>
        <w:rPr>
          <w:rFonts w:ascii="Courier New" w:cs="Courier New" w:eastAsia="Courier New" w:hAnsi="Courier New"/>
          <w:sz w:val="18"/>
          <w:szCs w:val="18"/>
          <w:color w:val="auto"/>
        </w:rPr>
        <w:t>Bermuda</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 Filing:</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FMR LLC</w:t>
      </w:r>
    </w:p>
    <w:p>
      <w:pPr>
        <w:spacing w:after="0" w:line="207" w:lineRule="exact"/>
        <w:rPr>
          <w:sz w:val="24"/>
          <w:szCs w:val="24"/>
          <w:color w:val="auto"/>
        </w:rPr>
      </w:pPr>
    </w:p>
    <w:p>
      <w:pPr>
        <w:ind w:right="3359"/>
        <w:spacing w:after="0" w:line="235" w:lineRule="auto"/>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3"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82 Devonshire Street, Boston,</w:t>
      </w:r>
    </w:p>
    <w:p>
      <w:pPr>
        <w:spacing w:after="0" w:line="238" w:lineRule="auto"/>
        <w:tabs>
          <w:tab w:leader="none" w:pos="1560" w:val="left"/>
        </w:tabs>
        <w:rPr>
          <w:sz w:val="20"/>
          <w:szCs w:val="20"/>
          <w:color w:val="auto"/>
        </w:rPr>
      </w:pPr>
      <w:r>
        <w:rPr>
          <w:rFonts w:ascii="Courier New" w:cs="Courier New" w:eastAsia="Courier New" w:hAnsi="Courier New"/>
          <w:sz w:val="18"/>
          <w:szCs w:val="18"/>
          <w:color w:val="auto"/>
        </w:rPr>
        <w:t>Massachusetts</w:t>
        <w:tab/>
        <w:t>02109</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2(c).</w:t>
      </w:r>
      <w:r>
        <w:rPr>
          <w:sz w:val="20"/>
          <w:szCs w:val="20"/>
          <w:color w:val="auto"/>
        </w:rPr>
        <w:tab/>
      </w:r>
      <w:r>
        <w:rPr>
          <w:rFonts w:ascii="Courier New" w:cs="Courier New" w:eastAsia="Courier New" w:hAnsi="Courier New"/>
          <w:sz w:val="16"/>
          <w:szCs w:val="16"/>
          <w:color w:val="auto"/>
        </w:rPr>
        <w:t>Citizenship:</w:t>
      </w:r>
    </w:p>
    <w:p>
      <w:pPr>
        <w:spacing w:after="0" w:line="201" w:lineRule="exact"/>
        <w:rPr>
          <w:sz w:val="24"/>
          <w:szCs w:val="24"/>
          <w:color w:val="auto"/>
        </w:rPr>
      </w:pPr>
    </w:p>
    <w:p>
      <w:pPr>
        <w:jc w:val="center"/>
        <w:ind w:right="5359"/>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2(d).</w:t>
      </w:r>
      <w:r>
        <w:rPr>
          <w:sz w:val="20"/>
          <w:szCs w:val="20"/>
          <w:color w:val="auto"/>
        </w:rPr>
        <w:tab/>
      </w:r>
      <w:r>
        <w:rPr>
          <w:rFonts w:ascii="Courier New" w:cs="Courier New" w:eastAsia="Courier New" w:hAnsi="Courier New"/>
          <w:sz w:val="16"/>
          <w:szCs w:val="16"/>
          <w:color w:val="auto"/>
        </w:rPr>
        <w:t>Title of Class of Securities: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2(e).</w:t>
      </w:r>
      <w:r>
        <w:rPr>
          <w:sz w:val="20"/>
          <w:szCs w:val="20"/>
          <w:color w:val="auto"/>
        </w:rPr>
        <w:tab/>
      </w:r>
      <w:r>
        <w:rPr>
          <w:rFonts w:ascii="Courier New" w:cs="Courier New" w:eastAsia="Courier New" w:hAnsi="Courier New"/>
          <w:sz w:val="16"/>
          <w:szCs w:val="16"/>
          <w:color w:val="auto"/>
        </w:rPr>
        <w:t>CUSIP Number:</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G5876H105</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3. This statement is filed pursuant to Rule 13d-1(b) or 13d-2(b)</w:t>
      </w:r>
    </w:p>
    <w:p>
      <w:pPr>
        <w:spacing w:after="0" w:line="21" w:lineRule="exact"/>
        <w:rPr>
          <w:sz w:val="24"/>
          <w:szCs w:val="24"/>
          <w:color w:val="auto"/>
        </w:rPr>
      </w:pPr>
    </w:p>
    <w:p>
      <w:pPr>
        <w:ind w:right="3899"/>
        <w:spacing w:after="0" w:line="236" w:lineRule="auto"/>
        <w:rPr>
          <w:sz w:val="20"/>
          <w:szCs w:val="20"/>
          <w:color w:val="auto"/>
        </w:rPr>
      </w:pPr>
      <w:r>
        <w:rPr>
          <w:rFonts w:ascii="Courier New" w:cs="Courier New" w:eastAsia="Courier New" w:hAnsi="Courier New"/>
          <w:sz w:val="18"/>
          <w:szCs w:val="18"/>
          <w:color w:val="auto"/>
        </w:rPr>
        <w:t>and the person filing, FMR LLC, is a parent holding company in accordance with Section 240.13d-1(b)(ii)(G). (Note: See Item 7).</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4"/>
          <w:szCs w:val="24"/>
          <w:color w:val="auto"/>
        </w:rPr>
      </w:pPr>
    </w:p>
    <w:p>
      <w:pPr>
        <w:ind w:left="860"/>
        <w:spacing w:after="0"/>
        <w:tabs>
          <w:tab w:leader="none" w:pos="1680" w:val="left"/>
          <w:tab w:leader="none" w:pos="5040" w:val="left"/>
        </w:tabs>
        <w:rPr>
          <w:sz w:val="20"/>
          <w:szCs w:val="20"/>
          <w:color w:val="auto"/>
        </w:rPr>
      </w:pPr>
      <w:r>
        <w:rPr>
          <w:rFonts w:ascii="Courier New" w:cs="Courier New" w:eastAsia="Courier New" w:hAnsi="Courier New"/>
          <w:sz w:val="18"/>
          <w:szCs w:val="18"/>
          <w:color w:val="auto"/>
        </w:rPr>
        <w:t>(a)</w:t>
      </w:r>
      <w:r>
        <w:rPr>
          <w:sz w:val="20"/>
          <w:szCs w:val="20"/>
          <w:color w:val="auto"/>
        </w:rPr>
        <w:tab/>
      </w:r>
      <w:r>
        <w:rPr>
          <w:rFonts w:ascii="Courier New" w:cs="Courier New" w:eastAsia="Courier New" w:hAnsi="Courier New"/>
          <w:sz w:val="18"/>
          <w:szCs w:val="18"/>
          <w:color w:val="auto"/>
        </w:rPr>
        <w:t>Amount Beneficially Owned:</w:t>
      </w:r>
      <w:r>
        <w:rPr>
          <w:sz w:val="20"/>
          <w:szCs w:val="20"/>
          <w:color w:val="auto"/>
        </w:rPr>
        <w:tab/>
      </w:r>
      <w:r>
        <w:rPr>
          <w:rFonts w:ascii="Courier New" w:cs="Courier New" w:eastAsia="Courier New" w:hAnsi="Courier New"/>
          <w:sz w:val="16"/>
          <w:szCs w:val="16"/>
          <w:color w:val="auto"/>
        </w:rPr>
        <w:t>52,426,663</w:t>
      </w:r>
    </w:p>
    <w:p>
      <w:pPr>
        <w:sectPr>
          <w:pgSz w:w="11900" w:h="16855" w:orient="portrait"/>
          <w:cols w:equalWidth="0" w:num="1">
            <w:col w:w="10219"/>
          </w:cols>
          <w:pgMar w:left="240" w:top="244" w:right="1440" w:bottom="0" w:gutter="0" w:footer="0" w:header="0"/>
        </w:sectPr>
      </w:pPr>
    </w:p>
    <w:bookmarkStart w:id="1" w:name="page2"/>
    <w:bookmarkEnd w:id="1"/>
    <w:p>
      <w:pPr>
        <w:ind w:left="860"/>
        <w:spacing w:after="0"/>
        <w:tabs>
          <w:tab w:leader="none" w:pos="1680" w:val="left"/>
          <w:tab w:leader="none" w:pos="4200" w:val="left"/>
        </w:tabs>
        <w:rPr>
          <w:sz w:val="20"/>
          <w:szCs w:val="20"/>
          <w:color w:val="auto"/>
        </w:rPr>
      </w:pPr>
      <w:r>
        <w:rPr>
          <w:rFonts w:ascii="Courier New" w:cs="Courier New" w:eastAsia="Courier New" w:hAnsi="Courier New"/>
          <w:sz w:val="18"/>
          <w:szCs w:val="18"/>
          <w:color w:val="auto"/>
        </w:rPr>
        <w:t>(b)</w:t>
      </w:r>
      <w:r>
        <w:rPr>
          <w:sz w:val="20"/>
          <w:szCs w:val="20"/>
          <w:color w:val="auto"/>
        </w:rPr>
        <w:tab/>
      </w:r>
      <w:r>
        <w:rPr>
          <w:rFonts w:ascii="Courier New" w:cs="Courier New" w:eastAsia="Courier New" w:hAnsi="Courier New"/>
          <w:sz w:val="18"/>
          <w:szCs w:val="18"/>
          <w:color w:val="auto"/>
        </w:rPr>
        <w:t>Percent of Class:</w:t>
      </w:r>
      <w:r>
        <w:rPr>
          <w:sz w:val="20"/>
          <w:szCs w:val="20"/>
          <w:color w:val="auto"/>
        </w:rPr>
        <w:tab/>
      </w:r>
      <w:r>
        <w:rPr>
          <w:rFonts w:ascii="Courier New" w:cs="Courier New" w:eastAsia="Courier New" w:hAnsi="Courier New"/>
          <w:sz w:val="16"/>
          <w:szCs w:val="16"/>
          <w:color w:val="auto"/>
        </w:rPr>
        <w:t>8.985%</w:t>
      </w:r>
    </w:p>
    <w:p>
      <w:pPr>
        <w:spacing w:after="0" w:line="207" w:lineRule="exact"/>
        <w:rPr>
          <w:sz w:val="20"/>
          <w:szCs w:val="20"/>
          <w:color w:val="auto"/>
        </w:rPr>
      </w:pPr>
    </w:p>
    <w:p>
      <w:pPr>
        <w:ind w:left="1700" w:hanging="849"/>
        <w:spacing w:after="0"/>
        <w:tabs>
          <w:tab w:leader="none" w:pos="170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Number of shares as to which such</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person has:</w:t>
      </w:r>
    </w:p>
    <w:p>
      <w:pPr>
        <w:sectPr>
          <w:pgSz w:w="11900" w:h="16838" w:orient="portrait"/>
          <w:cols w:equalWidth="0" w:num="1">
            <w:col w:w="10219"/>
          </w:cols>
          <w:pgMar w:left="240" w:top="339" w:right="1440" w:bottom="0" w:gutter="0" w:footer="0" w:header="0"/>
        </w:sectPr>
      </w:pP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vote:</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sole power to vote or to direct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785,391</w:t>
      </w:r>
    </w:p>
    <w:p>
      <w:pPr>
        <w:spacing w:after="0" w:line="200" w:lineRule="exact"/>
        <w:rPr>
          <w:sz w:val="20"/>
          <w:szCs w:val="20"/>
          <w:color w:val="auto"/>
        </w:rPr>
      </w:pPr>
    </w:p>
    <w:p>
      <w:pPr>
        <w:sectPr>
          <w:pgSz w:w="11900" w:h="16838" w:orient="portrait"/>
          <w:cols w:equalWidth="0" w:num="2">
            <w:col w:w="1160" w:space="540"/>
            <w:col w:w="8519"/>
          </w:cols>
          <w:pgMar w:left="240" w:top="339" w:right="1440" w:bottom="0" w:gutter="0" w:footer="0" w:header="0"/>
          <w:type w:val="continuous"/>
        </w:sectPr>
      </w:pPr>
    </w:p>
    <w:p>
      <w:pPr>
        <w:spacing w:after="0" w:line="1" w:lineRule="exact"/>
        <w:rPr>
          <w:sz w:val="20"/>
          <w:szCs w:val="20"/>
          <w:color w:val="auto"/>
        </w:rPr>
      </w:pPr>
    </w:p>
    <w:p>
      <w:pPr>
        <w:ind w:left="1700" w:hanging="849"/>
        <w:spacing w:after="0"/>
        <w:tabs>
          <w:tab w:leader="none" w:pos="170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w:t>
      </w:r>
    </w:p>
    <w:tbl>
      <w:tblPr>
        <w:tblLayout w:type="fixed"/>
        <w:tblInd w:w="0" w:type="dxa"/>
        <w:tblCellMar>
          <w:top w:w="0" w:type="dxa"/>
          <w:left w:w="0" w:type="dxa"/>
          <w:bottom w:w="0" w:type="dxa"/>
          <w:right w:w="0" w:type="dxa"/>
        </w:tblCellMar>
      </w:tblPr>
      <w:tr>
        <w:trPr>
          <w:trHeight w:val="203"/>
        </w:trPr>
        <w:tc>
          <w:tcPr>
            <w:tcW w:w="212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vote: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1" w:lineRule="exact"/>
        <w:rPr>
          <w:sz w:val="20"/>
          <w:szCs w:val="20"/>
          <w:color w:val="auto"/>
        </w:rPr>
      </w:pPr>
    </w:p>
    <w:p>
      <w:pPr>
        <w:ind w:left="1700" w:hanging="849"/>
        <w:spacing w:after="0"/>
        <w:tabs>
          <w:tab w:leader="none" w:pos="170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1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52,426,663</w:t>
            </w:r>
          </w:p>
        </w:tc>
      </w:tr>
    </w:tbl>
    <w:p>
      <w:pPr>
        <w:spacing w:after="0" w:line="201" w:lineRule="exact"/>
        <w:rPr>
          <w:sz w:val="20"/>
          <w:szCs w:val="20"/>
          <w:color w:val="auto"/>
        </w:rPr>
      </w:pPr>
    </w:p>
    <w:p>
      <w:pPr>
        <w:ind w:left="1700" w:hanging="849"/>
        <w:spacing w:after="0"/>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3479"/>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8" w:lineRule="exact"/>
        <w:rPr>
          <w:sz w:val="20"/>
          <w:szCs w:val="20"/>
          <w:color w:val="auto"/>
        </w:rPr>
      </w:pPr>
    </w:p>
    <w:p>
      <w:pPr>
        <w:ind w:right="3359" w:firstLine="843"/>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 Marvell Technology Group</w:t>
      </w:r>
    </w:p>
    <w:p>
      <w:pPr>
        <w:spacing w:after="0" w:line="6" w:lineRule="exact"/>
        <w:rPr>
          <w:sz w:val="20"/>
          <w:szCs w:val="20"/>
          <w:color w:val="auto"/>
        </w:rPr>
      </w:pPr>
    </w:p>
    <w:p>
      <w:pPr>
        <w:ind w:right="4099"/>
        <w:spacing w:after="0" w:line="236" w:lineRule="auto"/>
        <w:rPr>
          <w:sz w:val="20"/>
          <w:szCs w:val="20"/>
          <w:color w:val="auto"/>
        </w:rPr>
      </w:pPr>
      <w:r>
        <w:rPr>
          <w:rFonts w:ascii="Courier New" w:cs="Courier New" w:eastAsia="Courier New" w:hAnsi="Courier New"/>
          <w:sz w:val="18"/>
          <w:szCs w:val="18"/>
          <w:color w:val="auto"/>
        </w:rPr>
        <w:t>Ltd.. No one person's interest in the Common Stock of Marvell Technology Group Ltd. is more than five percent of the total outstanding Common Stock.</w:t>
      </w:r>
    </w:p>
    <w:p>
      <w:pPr>
        <w:spacing w:after="0" w:line="209"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See attached Exhibit A.</w:t>
      </w:r>
    </w:p>
    <w:p>
      <w:pPr>
        <w:spacing w:after="0" w:line="207"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3" w:lineRule="exact"/>
        <w:rPr>
          <w:sz w:val="20"/>
          <w:szCs w:val="20"/>
          <w:color w:val="auto"/>
        </w:rPr>
      </w:pPr>
    </w:p>
    <w:p>
      <w:pPr>
        <w:ind w:left="860"/>
        <w:spacing w:after="0"/>
        <w:tabs>
          <w:tab w:leader="none" w:pos="2620" w:val="left"/>
        </w:tabs>
        <w:rPr>
          <w:sz w:val="20"/>
          <w:szCs w:val="20"/>
          <w:color w:val="auto"/>
        </w:rPr>
      </w:pPr>
      <w:r>
        <w:rPr>
          <w:rFonts w:ascii="Courier New" w:cs="Courier New" w:eastAsia="Courier New" w:hAnsi="Courier New"/>
          <w:sz w:val="18"/>
          <w:szCs w:val="18"/>
          <w:color w:val="auto"/>
        </w:rPr>
        <w:t>Not applicable.</w:t>
      </w:r>
      <w:r>
        <w:rPr>
          <w:sz w:val="20"/>
          <w:szCs w:val="20"/>
          <w:color w:val="auto"/>
        </w:rPr>
        <w:tab/>
      </w:r>
      <w:r>
        <w:rPr>
          <w:rFonts w:ascii="Courier New" w:cs="Courier New" w:eastAsia="Courier New" w:hAnsi="Courier New"/>
          <w:sz w:val="16"/>
          <w:szCs w:val="16"/>
          <w:color w:val="auto"/>
        </w:rPr>
        <w:t>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jc w:val="center"/>
        <w:ind w:right="6939"/>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Certifications.</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w:t>
      </w:r>
    </w:p>
    <w:p>
      <w:pPr>
        <w:spacing w:after="0" w:line="1" w:lineRule="exact"/>
        <w:rPr>
          <w:sz w:val="20"/>
          <w:szCs w:val="20"/>
          <w:color w:val="auto"/>
        </w:rPr>
      </w:pPr>
    </w:p>
    <w:p>
      <w:pPr>
        <w:ind w:right="3479"/>
        <w:spacing w:after="0" w:line="237" w:lineRule="auto"/>
        <w:rPr>
          <w:sz w:val="20"/>
          <w:szCs w:val="20"/>
          <w:color w:val="auto"/>
        </w:rPr>
      </w:pPr>
      <w:r>
        <w:rPr>
          <w:rFonts w:ascii="Courier New" w:cs="Courier New" w:eastAsia="Courier New" w:hAnsi="Courier New"/>
          <w:sz w:val="18"/>
          <w:szCs w:val="18"/>
          <w:color w:val="auto"/>
        </w:rPr>
        <w:t>purpose of and do not have the effect of changing or influencing the control of the issuer of such securities and were not acquired in connection with or as a participant in any transaction having such purpose or effect. I also certify that, to the best of my knowledge and belief, FIL Limited and its various non-U.S. investment management subsidiaries</w:t>
      </w:r>
    </w:p>
    <w:p>
      <w:pPr>
        <w:spacing w:after="0" w:line="7" w:lineRule="exact"/>
        <w:rPr>
          <w:sz w:val="20"/>
          <w:szCs w:val="20"/>
          <w:color w:val="auto"/>
        </w:rPr>
      </w:pPr>
    </w:p>
    <w:p>
      <w:pPr>
        <w:ind w:right="3579"/>
        <w:spacing w:after="0" w:line="237" w:lineRule="auto"/>
        <w:rPr>
          <w:sz w:val="20"/>
          <w:szCs w:val="20"/>
          <w:color w:val="auto"/>
        </w:rPr>
      </w:pPr>
      <w:r>
        <w:rPr>
          <w:rFonts w:ascii="Courier New" w:cs="Courier New" w:eastAsia="Courier New" w:hAnsi="Courier New"/>
          <w:sz w:val="18"/>
          <w:szCs w:val="18"/>
          <w:color w:val="auto"/>
        </w:rPr>
        <w:t>included on this Schedule 13G are subject to a regulatory scheme substantially comparable to the regulatory scheme applicable to the functionally equivalent U.S. institutions. I also undertake to furnish to the Commission staff, upon request, information that would otherwise be disclosed in a Schedule 13D with respect to FIL Limited and its various non-U.S. investment management subsidiaries included on this Schedule 13G.</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039" w:firstLine="843"/>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13, 2012</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/s/ Scott C. Goebel</w:t>
      </w:r>
    </w:p>
    <w:p>
      <w:pPr>
        <w:spacing w:after="0" w:line="238" w:lineRule="auto"/>
        <w:rPr>
          <w:sz w:val="20"/>
          <w:szCs w:val="20"/>
          <w:color w:val="auto"/>
        </w:rPr>
      </w:pPr>
      <w:r>
        <w:rPr>
          <w:rFonts w:ascii="Courier New" w:cs="Courier New" w:eastAsia="Courier New" w:hAnsi="Courier New"/>
          <w:sz w:val="18"/>
          <w:szCs w:val="18"/>
          <w:color w:val="auto"/>
        </w:rPr>
        <w:t>Signature</w:t>
      </w:r>
    </w:p>
    <w:p>
      <w:pPr>
        <w:sectPr>
          <w:pgSz w:w="11900" w:h="16838" w:orient="portrait"/>
          <w:cols w:equalWidth="0" w:num="1">
            <w:col w:w="10219"/>
          </w:cols>
          <w:pgMar w:left="240" w:top="339" w:right="1440" w:bottom="0" w:gutter="0" w:footer="0" w:header="0"/>
          <w:type w:val="continuous"/>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Scott C. Goebel</w:t>
      </w:r>
    </w:p>
    <w:p>
      <w:pPr>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spacing w:after="0" w:line="5" w:lineRule="exact"/>
        <w:rPr>
          <w:sz w:val="20"/>
          <w:szCs w:val="20"/>
          <w:color w:val="auto"/>
        </w:rPr>
      </w:pPr>
    </w:p>
    <w:p>
      <w:pPr>
        <w:ind w:right="4319"/>
        <w:spacing w:after="0" w:line="235" w:lineRule="auto"/>
        <w:rPr>
          <w:sz w:val="20"/>
          <w:szCs w:val="20"/>
          <w:color w:val="auto"/>
        </w:rPr>
      </w:pPr>
      <w:r>
        <w:rPr>
          <w:rFonts w:ascii="Courier New" w:cs="Courier New" w:eastAsia="Courier New" w:hAnsi="Courier New"/>
          <w:sz w:val="18"/>
          <w:szCs w:val="18"/>
          <w:color w:val="auto"/>
        </w:rPr>
        <w:t>effective as of June 1, 2008 by and on behalf of FMR LLC and its direct and indirect subsidiaries</w:t>
      </w:r>
    </w:p>
    <w:p>
      <w:pPr>
        <w:spacing w:after="0" w:line="200" w:lineRule="exact"/>
        <w:rPr>
          <w:sz w:val="20"/>
          <w:szCs w:val="20"/>
          <w:color w:val="auto"/>
        </w:rPr>
      </w:pP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Fidelity Management &amp; Research Company ("Fidelity"), 82 Devonshire Street, Boston, Massachusetts 02109, a wholly-owned subsidiary of FMR LLC and an investment adviser registered under Section 203 of the Investment Advisers Act</w:t>
      </w:r>
    </w:p>
    <w:p>
      <w:pPr>
        <w:spacing w:after="0" w:line="6" w:lineRule="exact"/>
        <w:rPr>
          <w:sz w:val="20"/>
          <w:szCs w:val="20"/>
          <w:color w:val="auto"/>
        </w:rPr>
      </w:pPr>
    </w:p>
    <w:p>
      <w:pPr>
        <w:ind w:right="3899"/>
        <w:spacing w:after="0" w:line="237" w:lineRule="auto"/>
        <w:rPr>
          <w:sz w:val="20"/>
          <w:szCs w:val="20"/>
          <w:color w:val="auto"/>
        </w:rPr>
      </w:pPr>
      <w:r>
        <w:rPr>
          <w:rFonts w:ascii="Courier New" w:cs="Courier New" w:eastAsia="Courier New" w:hAnsi="Courier New"/>
          <w:sz w:val="18"/>
          <w:szCs w:val="18"/>
          <w:color w:val="auto"/>
        </w:rPr>
        <w:t>of 1940, is the beneficial owner of 50,683,119 shares or 8.686% of the Common Stock outstanding of Marvell Technology Group Ltd. ("the Company") as a result of acting as investment adviser to various investment companies registered under Section 8 of the Investment Company Act of 1940.</w:t>
      </w:r>
    </w:p>
    <w:p>
      <w:pPr>
        <w:spacing w:after="0" w:line="210" w:lineRule="exact"/>
        <w:rPr>
          <w:sz w:val="20"/>
          <w:szCs w:val="20"/>
          <w:color w:val="auto"/>
        </w:rPr>
      </w:pPr>
    </w:p>
    <w:p>
      <w:pPr>
        <w:ind w:right="4199" w:firstLine="843"/>
        <w:spacing w:after="0" w:line="236" w:lineRule="auto"/>
        <w:rPr>
          <w:sz w:val="20"/>
          <w:szCs w:val="20"/>
          <w:color w:val="auto"/>
        </w:rPr>
      </w:pPr>
      <w:r>
        <w:rPr>
          <w:rFonts w:ascii="Courier New" w:cs="Courier New" w:eastAsia="Courier New" w:hAnsi="Courier New"/>
          <w:sz w:val="18"/>
          <w:szCs w:val="18"/>
          <w:color w:val="auto"/>
        </w:rPr>
        <w:t>Edward C. Johnson 3d and FMR LLC, through its control of Fidelity, and the funds each has sole power to dispose of the 50,683,119 shares owned by the Funds.</w:t>
      </w:r>
    </w:p>
    <w:p>
      <w:pPr>
        <w:spacing w:after="0" w:line="209" w:lineRule="exact"/>
        <w:rPr>
          <w:sz w:val="20"/>
          <w:szCs w:val="20"/>
          <w:color w:val="auto"/>
        </w:rPr>
      </w:pPr>
    </w:p>
    <w:p>
      <w:pPr>
        <w:ind w:right="4099" w:firstLine="843"/>
        <w:spacing w:after="0" w:line="268" w:lineRule="auto"/>
        <w:rPr>
          <w:sz w:val="20"/>
          <w:szCs w:val="20"/>
          <w:color w:val="auto"/>
        </w:rPr>
      </w:pPr>
      <w:r>
        <w:rPr>
          <w:rFonts w:ascii="Courier New" w:cs="Courier New" w:eastAsia="Courier New" w:hAnsi="Courier New"/>
          <w:sz w:val="16"/>
          <w:szCs w:val="16"/>
          <w:color w:val="auto"/>
        </w:rPr>
        <w:t>Members of the family of Edward C. Johnson 3d, Chairman of FMR LLC, are the predominant owners, directly or through trusts, of Series B voting common shares of FMR LLC, representing 49% of the voting power of FMR LLC.</w:t>
      </w:r>
    </w:p>
    <w:p>
      <w:pPr>
        <w:spacing w:after="0" w:line="1" w:lineRule="exact"/>
        <w:rPr>
          <w:sz w:val="20"/>
          <w:szCs w:val="20"/>
          <w:color w:val="auto"/>
        </w:rPr>
      </w:pPr>
    </w:p>
    <w:p>
      <w:pPr>
        <w:ind w:right="3899"/>
        <w:spacing w:after="0" w:line="237" w:lineRule="auto"/>
        <w:rPr>
          <w:sz w:val="20"/>
          <w:szCs w:val="20"/>
          <w:color w:val="auto"/>
        </w:rPr>
      </w:pPr>
      <w:r>
        <w:rPr>
          <w:rFonts w:ascii="Courier New" w:cs="Courier New" w:eastAsia="Courier New" w:hAnsi="Courier New"/>
          <w:sz w:val="18"/>
          <w:szCs w:val="18"/>
          <w:color w:val="auto"/>
        </w:rPr>
        <w:t>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 FMR LLC.</w:t>
      </w:r>
    </w:p>
    <w:p>
      <w:pPr>
        <w:spacing w:after="0" w:line="208" w:lineRule="exact"/>
        <w:rPr>
          <w:sz w:val="20"/>
          <w:szCs w:val="20"/>
          <w:color w:val="auto"/>
        </w:rPr>
      </w:pPr>
    </w:p>
    <w:p>
      <w:pPr>
        <w:jc w:val="center"/>
        <w:ind w:right="4199"/>
        <w:spacing w:after="0"/>
        <w:rPr>
          <w:sz w:val="20"/>
          <w:szCs w:val="20"/>
          <w:color w:val="auto"/>
        </w:rPr>
      </w:pPr>
      <w:r>
        <w:rPr>
          <w:rFonts w:ascii="Courier New" w:cs="Courier New" w:eastAsia="Courier New" w:hAnsi="Courier New"/>
          <w:sz w:val="18"/>
          <w:szCs w:val="18"/>
          <w:color w:val="auto"/>
        </w:rPr>
        <w:t>Neither FMR LLC nor Edward C. Johnson 3d,</w:t>
      </w:r>
    </w:p>
    <w:p>
      <w:pPr>
        <w:spacing w:after="0" w:line="4" w:lineRule="exact"/>
        <w:rPr>
          <w:sz w:val="20"/>
          <w:szCs w:val="20"/>
          <w:color w:val="auto"/>
        </w:rPr>
      </w:pPr>
    </w:p>
    <w:p>
      <w:pPr>
        <w:jc w:val="center"/>
        <w:ind w:right="4199"/>
        <w:spacing w:after="0"/>
        <w:rPr>
          <w:sz w:val="20"/>
          <w:szCs w:val="20"/>
          <w:color w:val="auto"/>
        </w:rPr>
      </w:pPr>
      <w:r>
        <w:rPr>
          <w:rFonts w:ascii="Courier New" w:cs="Courier New" w:eastAsia="Courier New" w:hAnsi="Courier New"/>
          <w:sz w:val="16"/>
          <w:szCs w:val="16"/>
          <w:color w:val="auto"/>
        </w:rPr>
        <w:t>Chairman of FMR LLC, has the sole power to vote or direct</w:t>
      </w:r>
    </w:p>
    <w:p>
      <w:pPr>
        <w:spacing w:after="0" w:line="21" w:lineRule="exact"/>
        <w:rPr>
          <w:sz w:val="20"/>
          <w:szCs w:val="20"/>
          <w:color w:val="auto"/>
        </w:rPr>
      </w:pPr>
    </w:p>
    <w:p>
      <w:pPr>
        <w:ind w:right="3679"/>
        <w:spacing w:after="0" w:line="275" w:lineRule="auto"/>
        <w:rPr>
          <w:sz w:val="20"/>
          <w:szCs w:val="20"/>
          <w:color w:val="auto"/>
        </w:rPr>
      </w:pPr>
      <w:r>
        <w:rPr>
          <w:rFonts w:ascii="Courier New" w:cs="Courier New" w:eastAsia="Courier New" w:hAnsi="Courier New"/>
          <w:sz w:val="16"/>
          <w:szCs w:val="16"/>
          <w:color w:val="auto"/>
        </w:rPr>
        <w:t>the voting of the shares owned directly by the Fidelity Funds, which power resides with the Funds' Boards of Trustees. Fidelity carries out the voting of the shares under written guidelines established by the Funds' Boards of Trustees.</w:t>
      </w:r>
    </w:p>
    <w:p>
      <w:pPr>
        <w:spacing w:after="0" w:line="182"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Strategic Advisers, Inc., 82 Devonshire Street, Boston, MA 02109, a wholly-owned subsidiary of FMR LLC and an investment adviser registered under Section 203 of the Investment Advisers Act of 1940, provides investment advisory services to individuals. As such, FMR LLC's beneficial ownership includes 396,015 shares, or 0.068%, of the Common Stock outstanding of Marvell Technology Group Ltd., beneficially owned through Strategic Advisers, Inc.</w:t>
      </w: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Pyramis Global Advisors, LLC ("PGALLC"), 900</w:t>
      </w:r>
    </w:p>
    <w:p>
      <w:pPr>
        <w:spacing w:after="0" w:line="238" w:lineRule="auto"/>
        <w:rPr>
          <w:sz w:val="20"/>
          <w:szCs w:val="20"/>
          <w:color w:val="auto"/>
        </w:rPr>
      </w:pPr>
      <w:r>
        <w:rPr>
          <w:rFonts w:ascii="Courier New" w:cs="Courier New" w:eastAsia="Courier New" w:hAnsi="Courier New"/>
          <w:sz w:val="18"/>
          <w:szCs w:val="18"/>
          <w:color w:val="auto"/>
        </w:rPr>
        <w:t>Salem Street, Smithfield, Rhode Island, 02917, an indirect</w:t>
      </w:r>
    </w:p>
    <w:p>
      <w:pPr>
        <w:spacing w:after="0"/>
        <w:rPr>
          <w:sz w:val="20"/>
          <w:szCs w:val="20"/>
          <w:color w:val="auto"/>
        </w:rPr>
      </w:pPr>
      <w:r>
        <w:rPr>
          <w:rFonts w:ascii="Courier New" w:cs="Courier New" w:eastAsia="Courier New" w:hAnsi="Courier New"/>
          <w:sz w:val="18"/>
          <w:szCs w:val="18"/>
          <w:color w:val="auto"/>
        </w:rPr>
        <w:t>wholly-owned subsidiary of FMR LLC and an investment</w:t>
      </w:r>
    </w:p>
    <w:p>
      <w:pPr>
        <w:spacing w:after="0" w:line="237" w:lineRule="auto"/>
        <w:rPr>
          <w:sz w:val="20"/>
          <w:szCs w:val="20"/>
          <w:color w:val="auto"/>
        </w:rPr>
      </w:pPr>
      <w:r>
        <w:rPr>
          <w:rFonts w:ascii="Courier New" w:cs="Courier New" w:eastAsia="Courier New" w:hAnsi="Courier New"/>
          <w:sz w:val="18"/>
          <w:szCs w:val="18"/>
          <w:color w:val="auto"/>
        </w:rPr>
        <w:t>adviser registered under Section 203 of the Investment</w:t>
      </w:r>
    </w:p>
    <w:p>
      <w:pPr>
        <w:spacing w:after="0" w:line="238" w:lineRule="auto"/>
        <w:rPr>
          <w:sz w:val="20"/>
          <w:szCs w:val="20"/>
          <w:color w:val="auto"/>
        </w:rPr>
      </w:pPr>
      <w:r>
        <w:rPr>
          <w:rFonts w:ascii="Courier New" w:cs="Courier New" w:eastAsia="Courier New" w:hAnsi="Courier New"/>
          <w:sz w:val="18"/>
          <w:szCs w:val="18"/>
          <w:color w:val="auto"/>
        </w:rPr>
        <w:t>Advisers Act of 1940, is the beneficial owner of 215,200</w:t>
      </w:r>
    </w:p>
    <w:p>
      <w:pPr>
        <w:spacing w:after="0"/>
        <w:rPr>
          <w:sz w:val="20"/>
          <w:szCs w:val="20"/>
          <w:color w:val="auto"/>
        </w:rPr>
      </w:pPr>
      <w:r>
        <w:rPr>
          <w:rFonts w:ascii="Courier New" w:cs="Courier New" w:eastAsia="Courier New" w:hAnsi="Courier New"/>
          <w:sz w:val="18"/>
          <w:szCs w:val="18"/>
          <w:color w:val="auto"/>
        </w:rPr>
        <w:t>shares or 0.037% of the outstanding Common Stock of</w:t>
      </w:r>
    </w:p>
    <w:p>
      <w:pPr>
        <w:spacing w:after="0" w:line="237" w:lineRule="auto"/>
        <w:rPr>
          <w:sz w:val="20"/>
          <w:szCs w:val="20"/>
          <w:color w:val="auto"/>
        </w:rPr>
      </w:pPr>
      <w:r>
        <w:rPr>
          <w:rFonts w:ascii="Courier New" w:cs="Courier New" w:eastAsia="Courier New" w:hAnsi="Courier New"/>
          <w:sz w:val="18"/>
          <w:szCs w:val="18"/>
          <w:color w:val="auto"/>
        </w:rPr>
        <w:t>Marvell Technology Group Ltd. as a result of its serving as</w:t>
      </w:r>
    </w:p>
    <w:p>
      <w:pPr>
        <w:spacing w:after="0"/>
        <w:rPr>
          <w:sz w:val="20"/>
          <w:szCs w:val="20"/>
          <w:color w:val="auto"/>
        </w:rPr>
      </w:pPr>
      <w:r>
        <w:rPr>
          <w:rFonts w:ascii="Courier New" w:cs="Courier New" w:eastAsia="Courier New" w:hAnsi="Courier New"/>
          <w:sz w:val="18"/>
          <w:szCs w:val="18"/>
          <w:color w:val="auto"/>
        </w:rPr>
        <w:t>investment adviser to institutional accounts, non-U.S. mutual</w:t>
      </w:r>
    </w:p>
    <w:p>
      <w:pPr>
        <w:spacing w:after="0" w:line="237" w:lineRule="auto"/>
        <w:rPr>
          <w:sz w:val="20"/>
          <w:szCs w:val="20"/>
          <w:color w:val="auto"/>
        </w:rPr>
      </w:pPr>
      <w:r>
        <w:rPr>
          <w:rFonts w:ascii="Courier New" w:cs="Courier New" w:eastAsia="Courier New" w:hAnsi="Courier New"/>
          <w:sz w:val="18"/>
          <w:szCs w:val="18"/>
          <w:color w:val="auto"/>
        </w:rPr>
        <w:t>funds, or investment companies registered under Section 8 of</w:t>
      </w:r>
    </w:p>
    <w:p>
      <w:pPr>
        <w:spacing w:after="0"/>
        <w:rPr>
          <w:sz w:val="20"/>
          <w:szCs w:val="20"/>
          <w:color w:val="auto"/>
        </w:rPr>
      </w:pPr>
      <w:r>
        <w:rPr>
          <w:rFonts w:ascii="Courier New" w:cs="Courier New" w:eastAsia="Courier New" w:hAnsi="Courier New"/>
          <w:sz w:val="18"/>
          <w:szCs w:val="18"/>
          <w:color w:val="auto"/>
        </w:rPr>
        <w:t>the Investment Company Act of 1940 owning such shares.</w:t>
      </w:r>
    </w:p>
    <w:p>
      <w:pPr>
        <w:spacing w:after="0" w:line="206" w:lineRule="exact"/>
        <w:rPr>
          <w:sz w:val="20"/>
          <w:szCs w:val="20"/>
          <w:color w:val="auto"/>
        </w:rPr>
      </w:pPr>
    </w:p>
    <w:p>
      <w:pPr>
        <w:ind w:right="3779" w:firstLine="843"/>
        <w:spacing w:after="0" w:line="237" w:lineRule="auto"/>
        <w:rPr>
          <w:sz w:val="20"/>
          <w:szCs w:val="20"/>
          <w:color w:val="auto"/>
        </w:rPr>
      </w:pPr>
      <w:r>
        <w:rPr>
          <w:rFonts w:ascii="Courier New" w:cs="Courier New" w:eastAsia="Courier New" w:hAnsi="Courier New"/>
          <w:sz w:val="18"/>
          <w:szCs w:val="18"/>
          <w:color w:val="auto"/>
        </w:rPr>
        <w:t>Edward C. Johnson 3d and FMR LLC, through its control of PGALLC, each has sole dispositive power over 215,200 shares and sole power to vote or to direct the voting of 138,700 shares of Common Stock owned by the institutional accounts or funds advised by PGALLC as reported above.</w:t>
      </w: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Pyramis Global Advisors Trust Company ("PGATC"),</w:t>
      </w:r>
    </w:p>
    <w:p>
      <w:pPr>
        <w:spacing w:after="0" w:line="4" w:lineRule="exact"/>
        <w:rPr>
          <w:sz w:val="20"/>
          <w:szCs w:val="20"/>
          <w:color w:val="auto"/>
        </w:rPr>
      </w:pPr>
    </w:p>
    <w:p>
      <w:pPr>
        <w:ind w:right="3679"/>
        <w:spacing w:after="0" w:line="268" w:lineRule="auto"/>
        <w:rPr>
          <w:sz w:val="20"/>
          <w:szCs w:val="20"/>
          <w:color w:val="auto"/>
        </w:rPr>
      </w:pPr>
      <w:r>
        <w:rPr>
          <w:rFonts w:ascii="Courier New" w:cs="Courier New" w:eastAsia="Courier New" w:hAnsi="Courier New"/>
          <w:sz w:val="16"/>
          <w:szCs w:val="16"/>
          <w:color w:val="auto"/>
        </w:rPr>
        <w:t>900 Salem Street, Smithfield, Rhode Island, 02917, an indirect wholly-owned subsidiary of FMR LLC and a bank as defined</w:t>
      </w:r>
    </w:p>
    <w:p>
      <w:pPr>
        <w:ind w:right="3779"/>
        <w:spacing w:after="0" w:line="235" w:lineRule="auto"/>
        <w:rPr>
          <w:sz w:val="20"/>
          <w:szCs w:val="20"/>
          <w:color w:val="auto"/>
        </w:rPr>
      </w:pPr>
      <w:r>
        <w:rPr>
          <w:rFonts w:ascii="Courier New" w:cs="Courier New" w:eastAsia="Courier New" w:hAnsi="Courier New"/>
          <w:sz w:val="18"/>
          <w:szCs w:val="18"/>
          <w:color w:val="auto"/>
        </w:rPr>
        <w:t>in Section 3(a)(6) of the Securities Exchange Act of 1934, is the beneficial owner of 913,570 shares or 0.157% of the</w:t>
      </w:r>
    </w:p>
    <w:p>
      <w:pPr>
        <w:sectPr>
          <w:pgSz w:w="11900" w:h="16838" w:orient="portrait"/>
          <w:cols w:equalWidth="0" w:num="1">
            <w:col w:w="10219"/>
          </w:cols>
          <w:pgMar w:left="240" w:top="136" w:right="1440" w:bottom="0" w:gutter="0" w:footer="0" w:header="0"/>
        </w:sectPr>
      </w:pPr>
    </w:p>
    <w:bookmarkStart w:id="3" w:name="page4"/>
    <w:bookmarkEnd w:id="3"/>
    <w:p>
      <w:pPr>
        <w:jc w:val="both"/>
        <w:ind w:right="4319"/>
        <w:spacing w:after="0" w:line="236" w:lineRule="auto"/>
        <w:rPr>
          <w:sz w:val="20"/>
          <w:szCs w:val="20"/>
          <w:color w:val="auto"/>
        </w:rPr>
      </w:pPr>
      <w:r>
        <w:rPr>
          <w:rFonts w:ascii="Courier New" w:cs="Courier New" w:eastAsia="Courier New" w:hAnsi="Courier New"/>
          <w:sz w:val="18"/>
          <w:szCs w:val="18"/>
          <w:color w:val="auto"/>
        </w:rPr>
        <w:t>outstanding Common Stock of the Marvell Technology Group Ltd. as a result of its serving as investment manager of institutional accounts owning such shares.</w:t>
      </w:r>
    </w:p>
    <w:p>
      <w:pPr>
        <w:spacing w:after="0" w:line="209" w:lineRule="exact"/>
        <w:rPr>
          <w:sz w:val="20"/>
          <w:szCs w:val="20"/>
          <w:color w:val="auto"/>
        </w:rPr>
      </w:pPr>
    </w:p>
    <w:p>
      <w:pPr>
        <w:ind w:right="3779" w:firstLine="843"/>
        <w:spacing w:after="0" w:line="237" w:lineRule="auto"/>
        <w:rPr>
          <w:sz w:val="20"/>
          <w:szCs w:val="20"/>
          <w:color w:val="auto"/>
        </w:rPr>
      </w:pPr>
      <w:r>
        <w:rPr>
          <w:rFonts w:ascii="Courier New" w:cs="Courier New" w:eastAsia="Courier New" w:hAnsi="Courier New"/>
          <w:sz w:val="18"/>
          <w:szCs w:val="18"/>
          <w:color w:val="auto"/>
        </w:rPr>
        <w:t>Edward C. Johnson 3d and FMR LLC, through its control of Pyramis Global Advisors Trust Company, each has sole dispositive power over 913,570 shares and sole power to vote or to direct the voting of 45,717 shares of Common Stock owned by the institutional accounts managed by PGATC as reported above.</w:t>
      </w:r>
    </w:p>
    <w:p>
      <w:pPr>
        <w:spacing w:after="0" w:line="210"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FIL Limited ("FIL"), Pembroke Hall, 42 Crow Lane, Hamilton, Bermuda, and various foreign-based subsidiaries provide investment advisory and management services to a number of non-U.S. investment companies and certain institutional investors. FIL, which is a qualified institution under section 240.13d-1(b)(1)(ii), is the beneficial owner of 218,759 shares or 0.037% of the Common Stock outstanding of the Company.</w:t>
      </w:r>
    </w:p>
    <w:p>
      <w:pPr>
        <w:spacing w:after="0" w:line="212" w:lineRule="exact"/>
        <w:rPr>
          <w:sz w:val="20"/>
          <w:szCs w:val="20"/>
          <w:color w:val="auto"/>
        </w:rPr>
      </w:pPr>
    </w:p>
    <w:p>
      <w:pPr>
        <w:ind w:right="3999" w:firstLine="843"/>
        <w:spacing w:after="0" w:line="268" w:lineRule="auto"/>
        <w:rPr>
          <w:sz w:val="20"/>
          <w:szCs w:val="20"/>
          <w:color w:val="auto"/>
        </w:rPr>
      </w:pPr>
      <w:r>
        <w:rPr>
          <w:rFonts w:ascii="Courier New" w:cs="Courier New" w:eastAsia="Courier New" w:hAnsi="Courier New"/>
          <w:sz w:val="16"/>
          <w:szCs w:val="16"/>
          <w:color w:val="auto"/>
        </w:rPr>
        <w:t>Partnerships controlled predominantly by members of the family of Edward C. Johnson 3d, Chairman of FMR LLC</w:t>
      </w:r>
    </w:p>
    <w:p>
      <w:pPr>
        <w:ind w:right="3679"/>
        <w:spacing w:after="0" w:line="268" w:lineRule="auto"/>
        <w:rPr>
          <w:sz w:val="20"/>
          <w:szCs w:val="20"/>
          <w:color w:val="auto"/>
        </w:rPr>
      </w:pPr>
      <w:r>
        <w:rPr>
          <w:rFonts w:ascii="Courier New" w:cs="Courier New" w:eastAsia="Courier New" w:hAnsi="Courier New"/>
          <w:sz w:val="16"/>
          <w:szCs w:val="16"/>
          <w:color w:val="auto"/>
        </w:rPr>
        <w:t>and FIL, or trusts for their benefit, own shares of FIL voting stock. While the percentage of total voting power represented</w:t>
      </w:r>
    </w:p>
    <w:p>
      <w:pPr>
        <w:ind w:right="3359"/>
        <w:spacing w:after="0" w:line="268" w:lineRule="auto"/>
        <w:rPr>
          <w:sz w:val="20"/>
          <w:szCs w:val="20"/>
          <w:color w:val="auto"/>
        </w:rPr>
      </w:pPr>
      <w:r>
        <w:rPr>
          <w:rFonts w:ascii="Courier New" w:cs="Courier New" w:eastAsia="Courier New" w:hAnsi="Courier New"/>
          <w:sz w:val="16"/>
          <w:szCs w:val="16"/>
          <w:color w:val="auto"/>
        </w:rPr>
        <w:t>by these shares may fluctuate as a result of changes in the total number of shares of FIL voting stock outstanding from time to time, it normally represents more than 25% and less than 50%</w:t>
      </w:r>
    </w:p>
    <w:p>
      <w:pPr>
        <w:spacing w:after="0" w:line="1" w:lineRule="exact"/>
        <w:rPr>
          <w:sz w:val="20"/>
          <w:szCs w:val="20"/>
          <w:color w:val="auto"/>
        </w:rPr>
      </w:pPr>
    </w:p>
    <w:p>
      <w:pPr>
        <w:ind w:right="3579"/>
        <w:spacing w:after="0" w:line="237" w:lineRule="auto"/>
        <w:rPr>
          <w:sz w:val="20"/>
          <w:szCs w:val="20"/>
          <w:color w:val="auto"/>
        </w:rPr>
      </w:pPr>
      <w:r>
        <w:rPr>
          <w:rFonts w:ascii="Courier New" w:cs="Courier New" w:eastAsia="Courier New" w:hAnsi="Courier New"/>
          <w:sz w:val="18"/>
          <w:szCs w:val="18"/>
          <w:color w:val="auto"/>
        </w:rPr>
        <w:t>of the total votes which may be cast by all holders of FIL voting stock. FMR LLC and FIL are separate and independent corporate entities, and their Boards of Directors are generally composed of different individuals.</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 and FIL are of the view that they are not</w:t>
      </w:r>
    </w:p>
    <w:p>
      <w:pPr>
        <w:spacing w:after="0" w:line="238" w:lineRule="auto"/>
        <w:rPr>
          <w:sz w:val="20"/>
          <w:szCs w:val="20"/>
          <w:color w:val="auto"/>
        </w:rPr>
      </w:pPr>
      <w:r>
        <w:rPr>
          <w:rFonts w:ascii="Courier New" w:cs="Courier New" w:eastAsia="Courier New" w:hAnsi="Courier New"/>
          <w:sz w:val="18"/>
          <w:szCs w:val="18"/>
          <w:color w:val="auto"/>
        </w:rPr>
        <w:t>acting as a "group" for purposes of Section 13(d) under the</w:t>
      </w:r>
    </w:p>
    <w:p>
      <w:pPr>
        <w:spacing w:after="0"/>
        <w:rPr>
          <w:sz w:val="20"/>
          <w:szCs w:val="20"/>
          <w:color w:val="auto"/>
        </w:rPr>
      </w:pPr>
      <w:r>
        <w:rPr>
          <w:rFonts w:ascii="Courier New" w:cs="Courier New" w:eastAsia="Courier New" w:hAnsi="Courier New"/>
          <w:sz w:val="18"/>
          <w:szCs w:val="18"/>
          <w:color w:val="auto"/>
        </w:rPr>
        <w:t>Securities Exchange Act of 1934 (the "1934" Act) and that</w:t>
      </w:r>
    </w:p>
    <w:p>
      <w:pPr>
        <w:spacing w:after="0" w:line="237" w:lineRule="auto"/>
        <w:rPr>
          <w:sz w:val="20"/>
          <w:szCs w:val="20"/>
          <w:color w:val="auto"/>
        </w:rPr>
      </w:pPr>
      <w:r>
        <w:rPr>
          <w:rFonts w:ascii="Courier New" w:cs="Courier New" w:eastAsia="Courier New" w:hAnsi="Courier New"/>
          <w:sz w:val="18"/>
          <w:szCs w:val="18"/>
          <w:color w:val="auto"/>
        </w:rPr>
        <w:t>they are not otherwise required to attribute to each other the</w:t>
      </w:r>
    </w:p>
    <w:p>
      <w:pPr>
        <w:spacing w:after="0" w:line="238" w:lineRule="auto"/>
        <w:rPr>
          <w:sz w:val="20"/>
          <w:szCs w:val="20"/>
          <w:color w:val="auto"/>
        </w:rPr>
      </w:pPr>
      <w:r>
        <w:rPr>
          <w:rFonts w:ascii="Courier New" w:cs="Courier New" w:eastAsia="Courier New" w:hAnsi="Courier New"/>
          <w:sz w:val="18"/>
          <w:szCs w:val="18"/>
          <w:color w:val="auto"/>
        </w:rPr>
        <w:t>"beneficial ownership" of securities "beneficially owned" by</w:t>
      </w:r>
    </w:p>
    <w:p>
      <w:pPr>
        <w:spacing w:after="0"/>
        <w:rPr>
          <w:sz w:val="20"/>
          <w:szCs w:val="20"/>
          <w:color w:val="auto"/>
        </w:rPr>
      </w:pPr>
      <w:r>
        <w:rPr>
          <w:rFonts w:ascii="Courier New" w:cs="Courier New" w:eastAsia="Courier New" w:hAnsi="Courier New"/>
          <w:sz w:val="18"/>
          <w:szCs w:val="18"/>
          <w:color w:val="auto"/>
        </w:rPr>
        <w:t>the other corporation within the meaning of Rule 13d-3</w:t>
      </w:r>
    </w:p>
    <w:p>
      <w:pPr>
        <w:spacing w:after="0"/>
        <w:tabs>
          <w:tab w:leader="none" w:pos="3460" w:val="left"/>
        </w:tabs>
        <w:rPr>
          <w:sz w:val="20"/>
          <w:szCs w:val="20"/>
          <w:color w:val="auto"/>
        </w:rPr>
      </w:pPr>
      <w:r>
        <w:rPr>
          <w:rFonts w:ascii="Courier New" w:cs="Courier New" w:eastAsia="Courier New" w:hAnsi="Courier New"/>
          <w:sz w:val="18"/>
          <w:szCs w:val="18"/>
          <w:color w:val="auto"/>
        </w:rPr>
        <w:t>promulgated under the 1934 Act.</w:t>
      </w:r>
      <w:r>
        <w:rPr>
          <w:sz w:val="20"/>
          <w:szCs w:val="20"/>
          <w:color w:val="auto"/>
        </w:rPr>
        <w:tab/>
      </w:r>
      <w:r>
        <w:rPr>
          <w:rFonts w:ascii="Courier New" w:cs="Courier New" w:eastAsia="Courier New" w:hAnsi="Courier New"/>
          <w:sz w:val="16"/>
          <w:szCs w:val="16"/>
          <w:color w:val="auto"/>
        </w:rPr>
        <w:t>Therefore, they are of the</w:t>
      </w:r>
    </w:p>
    <w:p>
      <w:pPr>
        <w:spacing w:after="0"/>
        <w:rPr>
          <w:sz w:val="20"/>
          <w:szCs w:val="20"/>
          <w:color w:val="auto"/>
        </w:rPr>
      </w:pPr>
      <w:r>
        <w:rPr>
          <w:rFonts w:ascii="Courier New" w:cs="Courier New" w:eastAsia="Courier New" w:hAnsi="Courier New"/>
          <w:sz w:val="18"/>
          <w:szCs w:val="18"/>
          <w:color w:val="auto"/>
        </w:rPr>
        <w:t>view that the shares held by the other corporation need not be</w:t>
      </w:r>
    </w:p>
    <w:p>
      <w:pPr>
        <w:spacing w:after="0" w:line="237" w:lineRule="auto"/>
        <w:rPr>
          <w:sz w:val="20"/>
          <w:szCs w:val="20"/>
          <w:color w:val="auto"/>
        </w:rPr>
      </w:pPr>
      <w:r>
        <w:rPr>
          <w:rFonts w:ascii="Courier New" w:cs="Courier New" w:eastAsia="Courier New" w:hAnsi="Courier New"/>
          <w:sz w:val="18"/>
          <w:szCs w:val="18"/>
          <w:color w:val="auto"/>
        </w:rPr>
        <w:t>aggregated for purposes of Section 13(d). However, FMR</w:t>
      </w:r>
    </w:p>
    <w:p>
      <w:pPr>
        <w:spacing w:after="0" w:line="5" w:lineRule="exact"/>
        <w:rPr>
          <w:sz w:val="20"/>
          <w:szCs w:val="20"/>
          <w:color w:val="auto"/>
        </w:rPr>
      </w:pPr>
    </w:p>
    <w:p>
      <w:pPr>
        <w:ind w:right="3579"/>
        <w:spacing w:after="0" w:line="236" w:lineRule="auto"/>
        <w:rPr>
          <w:sz w:val="20"/>
          <w:szCs w:val="20"/>
          <w:color w:val="auto"/>
        </w:rPr>
      </w:pPr>
      <w:r>
        <w:rPr>
          <w:rFonts w:ascii="Courier New" w:cs="Courier New" w:eastAsia="Courier New" w:hAnsi="Courier New"/>
          <w:sz w:val="18"/>
          <w:szCs w:val="18"/>
          <w:color w:val="auto"/>
        </w:rPr>
        <w:t>LLC is making this filing on a voluntary basis as if all of the shares are beneficially owned by FMR LLC and FIL on a joint basis.</w:t>
      </w:r>
    </w:p>
    <w:p>
      <w:pPr>
        <w:spacing w:after="0" w:line="209"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FIL has sole dispositive power over 218,759 shares owned by the International Funds. FIL has sole power to vote or direct the voting of 203,159 shares and no power to vote or direct the voting of 15,600 shares of Common Stock held by the International Funds as reported above.</w:t>
      </w:r>
    </w:p>
    <w:p>
      <w:pPr>
        <w:spacing w:after="0" w:line="200" w:lineRule="exact"/>
        <w:rPr>
          <w:sz w:val="20"/>
          <w:szCs w:val="20"/>
          <w:color w:val="auto"/>
        </w:rPr>
      </w:pPr>
    </w:p>
    <w:p>
      <w:pPr>
        <w:spacing w:after="0" w:line="206"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ind w:left="860"/>
        <w:spacing w:after="0"/>
        <w:tabs>
          <w:tab w:leader="none" w:pos="2720" w:val="left"/>
        </w:tabs>
        <w:rPr>
          <w:sz w:val="20"/>
          <w:szCs w:val="20"/>
          <w:color w:val="auto"/>
        </w:rPr>
      </w:pPr>
      <w:r>
        <w:rPr>
          <w:rFonts w:ascii="Courier New" w:cs="Courier New" w:eastAsia="Courier New" w:hAnsi="Courier New"/>
          <w:sz w:val="18"/>
          <w:szCs w:val="18"/>
          <w:color w:val="auto"/>
        </w:rPr>
        <w:t>RULE 13d-1(f)(1)</w:t>
      </w:r>
      <w:r>
        <w:rPr>
          <w:sz w:val="20"/>
          <w:szCs w:val="20"/>
          <w:color w:val="auto"/>
        </w:rPr>
        <w:tab/>
      </w:r>
      <w:r>
        <w:rPr>
          <w:rFonts w:ascii="Courier New" w:cs="Courier New" w:eastAsia="Courier New" w:hAnsi="Courier New"/>
          <w:sz w:val="16"/>
          <w:szCs w:val="16"/>
          <w:color w:val="auto"/>
        </w:rPr>
        <w:t>AGREEMENT</w:t>
      </w:r>
    </w:p>
    <w:p>
      <w:pPr>
        <w:spacing w:after="0" w:line="207" w:lineRule="exact"/>
        <w:rPr>
          <w:sz w:val="20"/>
          <w:szCs w:val="20"/>
          <w:color w:val="auto"/>
        </w:rPr>
      </w:pPr>
    </w:p>
    <w:p>
      <w:pPr>
        <w:ind w:right="3479" w:firstLine="843"/>
        <w:spacing w:after="0" w:line="237" w:lineRule="auto"/>
        <w:rPr>
          <w:sz w:val="20"/>
          <w:szCs w:val="20"/>
          <w:color w:val="auto"/>
        </w:rPr>
      </w:pPr>
      <w:r>
        <w:rPr>
          <w:rFonts w:ascii="Courier New" w:cs="Courier New" w:eastAsia="Courier New" w:hAnsi="Courier New"/>
          <w:sz w:val="18"/>
          <w:szCs w:val="18"/>
          <w:color w:val="auto"/>
        </w:rPr>
        <w:t>The undersigned persons, on February 13, 2012, agree and consent to the joint filing on their behalf of this Schedule 13G in connection with their beneficial ownership of the Common Stock of Marvell Technology Group Ltd. at December 31, 2011.</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spacing w:after="0" w:line="5" w:lineRule="exact"/>
        <w:rPr>
          <w:sz w:val="20"/>
          <w:szCs w:val="20"/>
          <w:color w:val="auto"/>
        </w:rPr>
      </w:pPr>
    </w:p>
    <w:p>
      <w:pPr>
        <w:ind w:right="3899" w:firstLine="843"/>
        <w:spacing w:after="0" w:line="236" w:lineRule="auto"/>
        <w:rPr>
          <w:sz w:val="20"/>
          <w:szCs w:val="20"/>
          <w:color w:val="auto"/>
        </w:rPr>
      </w:pPr>
      <w:r>
        <w:rPr>
          <w:rFonts w:ascii="Courier New" w:cs="Courier New" w:eastAsia="Courier New" w:hAnsi="Courier New"/>
          <w:sz w:val="18"/>
          <w:szCs w:val="18"/>
          <w:color w:val="auto"/>
        </w:rPr>
        <w:t>Duly authorized under Power of Attorney effective as of June 1, 2008, by and on behalf of FMR LLC and its direct and indirect subsidiaries</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spacing w:after="0" w:line="5" w:lineRule="exact"/>
        <w:rPr>
          <w:sz w:val="20"/>
          <w:szCs w:val="20"/>
          <w:color w:val="auto"/>
        </w:rPr>
      </w:pPr>
    </w:p>
    <w:p>
      <w:pPr>
        <w:ind w:right="3899" w:firstLine="843"/>
        <w:spacing w:after="0" w:line="290" w:lineRule="auto"/>
        <w:rPr>
          <w:sz w:val="20"/>
          <w:szCs w:val="20"/>
          <w:color w:val="auto"/>
        </w:rPr>
      </w:pPr>
      <w:r>
        <w:rPr>
          <w:rFonts w:ascii="Courier New" w:cs="Courier New" w:eastAsia="Courier New" w:hAnsi="Courier New"/>
          <w:sz w:val="16"/>
          <w:szCs w:val="16"/>
          <w:color w:val="auto"/>
        </w:rPr>
        <w:t>Duly authorized under Power of Attorney effective as of June 1, 2008, by and on behalf of Edward C. Johnson 3d</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Management &amp; Research Company</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sectPr>
          <w:pgSz w:w="11900" w:h="16838" w:orient="portrait"/>
          <w:cols w:equalWidth="0" w:num="1">
            <w:col w:w="10219"/>
          </w:cols>
          <w:pgMar w:left="240" w:top="142" w:right="1440" w:bottom="0" w:gutter="0" w:footer="0" w:header="0"/>
        </w:sectPr>
      </w:pPr>
    </w:p>
    <w:bookmarkStart w:id="4" w:name="page5"/>
    <w:bookmarkEnd w:id="4"/>
    <w:p>
      <w:pPr>
        <w:spacing w:after="0"/>
        <w:rPr>
          <w:sz w:val="20"/>
          <w:szCs w:val="20"/>
          <w:color w:val="auto"/>
        </w:rPr>
      </w:pPr>
      <w:r>
        <w:rPr>
          <w:rFonts w:ascii="Courier New" w:cs="Courier New" w:eastAsia="Courier New" w:hAnsi="Courier New"/>
          <w:sz w:val="18"/>
          <w:szCs w:val="18"/>
          <w:color w:val="auto"/>
        </w:rPr>
        <w:t>Scott C. Goebel</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Senior V.P. and General Counsel</w:t>
      </w:r>
    </w:p>
    <w:sectPr>
      <w:pgSz w:w="11900" w:h="16838" w:orient="portrait"/>
      <w:cols w:equalWidth="0" w:num="1">
        <w:col w:w="9359"/>
      </w:cols>
      <w:pgMar w:left="110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3"/>
    </w:lvl>
  </w:abstractNum>
  <w:abstractNum w:abstractNumId="1">
    <w:nsid w:val="19495CFF"/>
    <w:multiLevelType w:val="hybridMultilevel"/>
    <w:lvl w:ilvl="0">
      <w:lvlJc w:val="left"/>
      <w:lvlText w:val="(%1)"/>
      <w:numFmt w:val="lowerRoman"/>
      <w:start w:val="2"/>
    </w:lvl>
  </w:abstractNum>
  <w:abstractNum w:abstractNumId="2">
    <w:nsid w:val="2AE8944A"/>
    <w:multiLevelType w:val="hybridMultilevel"/>
    <w:lvl w:ilvl="0">
      <w:lvlJc w:val="left"/>
      <w:lvlText w:val="(%1)"/>
      <w:numFmt w:val="lowerRoman"/>
      <w:start w:val="3"/>
    </w:lvl>
  </w:abstractNum>
  <w:abstractNum w:abstractNumId="3">
    <w:nsid w:val="625558EC"/>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2019-12-09T14:29:23Z</dcterms:created>
  <dcterms:modified xsi:type="dcterms:W3CDTF">2019-12-09T14:29:23Z</dcterms:modified>
</cp:coreProperties>
</file>