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January 27,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7.01 Regulation FD Disclosure.</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On January 27, 2012, Marvell Technology Group Ltd. issued a press release in which it revised its financial outlook for the fourth fiscal quarter ending January 28, 2012.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January 27, 2012 (furnished pursuant to Item 7.01).</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4"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January 27, 2012</w:t>
      </w:r>
    </w:p>
    <w:p>
      <w:pPr>
        <w:spacing w:after="0" w:line="212"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10795</wp:posOffset>
            </wp:positionV>
            <wp:extent cx="32588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22"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Clyde R. Hosein</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ind w:left="50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January 27, 2012 (furnished pursuant to Item 7.01).</w:t>
      </w:r>
    </w:p>
    <w:p>
      <w:pPr>
        <w:sectPr>
          <w:pgSz w:w="11900" w:h="16838" w:orient="portrait"/>
          <w:cols w:equalWidth="0" w:num="2">
            <w:col w:w="700" w:space="720"/>
            <w:col w:w="8799"/>
          </w:cols>
          <w:pgMar w:left="240" w:top="274"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760" w:type="dxa"/>
            <w:vAlign w:val="bottom"/>
            <w:gridSpan w:val="2"/>
          </w:tcPr>
          <w:p>
            <w:pPr>
              <w:spacing w:after="0"/>
              <w:rPr>
                <w:sz w:val="20"/>
                <w:szCs w:val="20"/>
                <w:color w:val="auto"/>
              </w:rPr>
            </w:pPr>
            <w:r>
              <w:rPr>
                <w:rFonts w:ascii="Arial" w:cs="Arial" w:eastAsia="Arial" w:hAnsi="Arial"/>
                <w:sz w:val="18"/>
                <w:szCs w:val="18"/>
                <w:b w:val="1"/>
                <w:bCs w:val="1"/>
                <w:color w:val="auto"/>
                <w:w w:val="99"/>
              </w:rPr>
              <w:t>For further information, contact:</w:t>
            </w:r>
          </w:p>
        </w:tc>
        <w:tc>
          <w:tcPr>
            <w:tcW w:w="570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0" w:type="dxa"/>
            <w:vAlign w:val="bottom"/>
          </w:tcPr>
          <w:p>
            <w:pPr>
              <w:spacing w:after="0"/>
              <w:rPr>
                <w:sz w:val="19"/>
                <w:szCs w:val="19"/>
                <w:color w:val="auto"/>
              </w:rPr>
            </w:pP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5700" w:type="dxa"/>
            <w:vAlign w:val="bottom"/>
          </w:tcPr>
          <w:p>
            <w:pPr>
              <w:spacing w:after="0"/>
              <w:rPr>
                <w:sz w:val="18"/>
                <w:szCs w:val="18"/>
                <w:color w:val="auto"/>
              </w:rPr>
            </w:pPr>
          </w:p>
        </w:tc>
        <w:tc>
          <w:tcPr>
            <w:tcW w:w="1320" w:type="dxa"/>
            <w:vAlign w:val="bottom"/>
            <w:gridSpan w:val="2"/>
          </w:tcPr>
          <w:p>
            <w:pPr>
              <w:spacing w:after="0"/>
              <w:rPr>
                <w:sz w:val="20"/>
                <w:szCs w:val="20"/>
                <w:color w:val="auto"/>
              </w:rPr>
            </w:pPr>
            <w:r>
              <w:rPr>
                <w:rFonts w:ascii="Arial" w:cs="Arial" w:eastAsia="Arial" w:hAnsi="Arial"/>
                <w:sz w:val="18"/>
                <w:szCs w:val="18"/>
                <w:color w:val="auto"/>
              </w:rPr>
              <w:t>Daniel Yoo</w:t>
            </w:r>
          </w:p>
        </w:tc>
      </w:tr>
      <w:tr>
        <w:trPr>
          <w:trHeight w:val="216"/>
        </w:trPr>
        <w:tc>
          <w:tcPr>
            <w:tcW w:w="27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700" w:type="dxa"/>
            <w:vAlign w:val="bottom"/>
          </w:tcPr>
          <w:p>
            <w:pPr>
              <w:spacing w:after="0"/>
              <w:rPr>
                <w:sz w:val="18"/>
                <w:szCs w:val="18"/>
                <w:color w:val="auto"/>
              </w:rPr>
            </w:pPr>
          </w:p>
        </w:tc>
        <w:tc>
          <w:tcPr>
            <w:tcW w:w="132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1320" w:type="dxa"/>
            <w:vAlign w:val="bottom"/>
          </w:tcPr>
          <w:p>
            <w:pPr>
              <w:spacing w:after="0"/>
              <w:rPr>
                <w:sz w:val="18"/>
                <w:szCs w:val="18"/>
                <w:color w:val="auto"/>
              </w:rPr>
            </w:pPr>
          </w:p>
        </w:tc>
        <w:tc>
          <w:tcPr>
            <w:tcW w:w="7000" w:type="dxa"/>
            <w:vAlign w:val="bottom"/>
            <w:gridSpan w:val="2"/>
          </w:tcPr>
          <w:p>
            <w:pPr>
              <w:ind w:left="5700"/>
              <w:spacing w:after="0"/>
              <w:rPr>
                <w:sz w:val="20"/>
                <w:szCs w:val="20"/>
                <w:color w:val="auto"/>
              </w:rPr>
            </w:pPr>
            <w:r>
              <w:rPr>
                <w:rFonts w:ascii="Arial" w:cs="Arial" w:eastAsia="Arial" w:hAnsi="Arial"/>
                <w:sz w:val="18"/>
                <w:szCs w:val="18"/>
                <w:color w:val="auto"/>
              </w:rPr>
              <w:t>408-222-2187</w:t>
            </w:r>
          </w:p>
        </w:tc>
        <w:tc>
          <w:tcPr>
            <w:tcW w:w="20" w:type="dxa"/>
            <w:vAlign w:val="bottom"/>
          </w:tcPr>
          <w:p>
            <w:pPr>
              <w:spacing w:after="0"/>
              <w:rPr>
                <w:sz w:val="18"/>
                <w:szCs w:val="18"/>
                <w:color w:val="auto"/>
              </w:rPr>
            </w:pPr>
          </w:p>
        </w:tc>
      </w:tr>
      <w:tr>
        <w:trPr>
          <w:trHeight w:val="184"/>
        </w:trPr>
        <w:tc>
          <w:tcPr>
            <w:tcW w:w="1440" w:type="dxa"/>
            <w:vAlign w:val="bottom"/>
          </w:tcPr>
          <w:p>
            <w:pPr>
              <w:spacing w:after="0" w:line="184" w:lineRule="exact"/>
              <w:rPr>
                <w:sz w:val="20"/>
                <w:szCs w:val="20"/>
                <w:color w:val="auto"/>
              </w:rPr>
            </w:pPr>
            <w:r>
              <w:rPr>
                <w:rFonts w:ascii="Arial" w:cs="Arial" w:eastAsia="Arial" w:hAnsi="Arial"/>
                <w:sz w:val="18"/>
                <w:szCs w:val="18"/>
                <w:color w:val="auto"/>
                <w:w w:val="90"/>
              </w:rPr>
              <w:t>sukhi@marvell.com</w:t>
            </w:r>
          </w:p>
        </w:tc>
        <w:tc>
          <w:tcPr>
            <w:tcW w:w="1320" w:type="dxa"/>
            <w:vAlign w:val="bottom"/>
          </w:tcPr>
          <w:p>
            <w:pPr>
              <w:spacing w:after="0"/>
              <w:rPr>
                <w:sz w:val="15"/>
                <w:szCs w:val="15"/>
                <w:color w:val="auto"/>
              </w:rPr>
            </w:pPr>
          </w:p>
        </w:tc>
        <w:tc>
          <w:tcPr>
            <w:tcW w:w="5700" w:type="dxa"/>
            <w:vAlign w:val="bottom"/>
          </w:tcPr>
          <w:p>
            <w:pPr>
              <w:spacing w:after="0"/>
              <w:rPr>
                <w:sz w:val="15"/>
                <w:szCs w:val="15"/>
                <w:color w:val="auto"/>
              </w:rPr>
            </w:pPr>
          </w:p>
        </w:tc>
        <w:tc>
          <w:tcPr>
            <w:tcW w:w="1320" w:type="dxa"/>
            <w:vAlign w:val="bottom"/>
            <w:gridSpan w:val="2"/>
          </w:tcPr>
          <w:p>
            <w:pPr>
              <w:spacing w:after="0" w:line="184" w:lineRule="exact"/>
              <w:rPr>
                <w:sz w:val="20"/>
                <w:szCs w:val="20"/>
                <w:color w:val="auto"/>
              </w:rPr>
            </w:pPr>
            <w:r>
              <w:rPr>
                <w:rFonts w:ascii="Arial" w:cs="Arial" w:eastAsia="Arial" w:hAnsi="Arial"/>
                <w:sz w:val="18"/>
                <w:szCs w:val="18"/>
                <w:color w:val="auto"/>
                <w:w w:val="90"/>
              </w:rPr>
              <w:t>yoo@marvell.com</w:t>
            </w:r>
          </w:p>
        </w:tc>
      </w:tr>
      <w:tr>
        <w:trPr>
          <w:trHeight w:val="397"/>
        </w:trPr>
        <w:tc>
          <w:tcPr>
            <w:tcW w:w="1440" w:type="dxa"/>
            <w:vAlign w:val="bottom"/>
            <w:tcBorders>
              <w:top w:val="single" w:sz="8" w:color="auto"/>
            </w:tcBorders>
          </w:tcPr>
          <w:p>
            <w:pPr>
              <w:spacing w:after="0"/>
              <w:rPr>
                <w:sz w:val="24"/>
                <w:szCs w:val="24"/>
                <w:color w:val="auto"/>
              </w:rPr>
            </w:pPr>
          </w:p>
        </w:tc>
        <w:tc>
          <w:tcPr>
            <w:tcW w:w="1320" w:type="dxa"/>
            <w:vAlign w:val="bottom"/>
          </w:tcPr>
          <w:p>
            <w:pPr>
              <w:spacing w:after="0"/>
              <w:rPr>
                <w:sz w:val="24"/>
                <w:szCs w:val="24"/>
                <w:color w:val="auto"/>
              </w:rPr>
            </w:pPr>
          </w:p>
        </w:tc>
        <w:tc>
          <w:tcPr>
            <w:tcW w:w="5700" w:type="dxa"/>
            <w:vAlign w:val="bottom"/>
          </w:tcPr>
          <w:p>
            <w:pPr>
              <w:ind w:left="260"/>
              <w:spacing w:after="0"/>
              <w:rPr>
                <w:sz w:val="20"/>
                <w:szCs w:val="20"/>
                <w:color w:val="auto"/>
              </w:rPr>
            </w:pPr>
            <w:r>
              <w:rPr>
                <w:rFonts w:ascii="Arial" w:cs="Arial" w:eastAsia="Arial" w:hAnsi="Arial"/>
                <w:sz w:val="18"/>
                <w:szCs w:val="18"/>
                <w:b w:val="1"/>
                <w:bCs w:val="1"/>
                <w:color w:val="auto"/>
                <w:w w:val="90"/>
              </w:rPr>
              <w:t>Marvell Technology Group Ltd. Provides Fourth Fiscal Quarter Update</w:t>
            </w:r>
          </w:p>
        </w:tc>
        <w:tc>
          <w:tcPr>
            <w:tcW w:w="130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r>
    </w:tbl>
    <w:p>
      <w:pPr>
        <w:spacing w:after="0" w:line="150" w:lineRule="exact"/>
        <w:rPr>
          <w:sz w:val="20"/>
          <w:szCs w:val="20"/>
          <w:color w:val="auto"/>
        </w:rPr>
      </w:pPr>
    </w:p>
    <w:p>
      <w:pPr>
        <w:ind w:right="140"/>
        <w:spacing w:after="0" w:line="275" w:lineRule="auto"/>
        <w:rPr>
          <w:sz w:val="20"/>
          <w:szCs w:val="20"/>
          <w:color w:val="auto"/>
        </w:rPr>
      </w:pPr>
      <w:r>
        <w:rPr>
          <w:rFonts w:ascii="Arial" w:cs="Arial" w:eastAsia="Arial" w:hAnsi="Arial"/>
          <w:sz w:val="18"/>
          <w:szCs w:val="18"/>
          <w:b w:val="1"/>
          <w:bCs w:val="1"/>
          <w:color w:val="auto"/>
        </w:rPr>
        <w:t xml:space="preserve">Santa Clara, California (January 27, 2012) </w:t>
      </w:r>
      <w:r>
        <w:rPr>
          <w:rFonts w:ascii="Arial" w:cs="Arial" w:eastAsia="Arial" w:hAnsi="Arial"/>
          <w:sz w:val="18"/>
          <w:szCs w:val="18"/>
          <w:color w:val="auto"/>
        </w:rPr>
        <w:t>— Marvell (NASDAQ: MRVL), a global leader in integrated silicon solutions, today updated its financial outlook</w:t>
      </w:r>
      <w:r>
        <w:rPr>
          <w:rFonts w:ascii="Arial" w:cs="Arial" w:eastAsia="Arial" w:hAnsi="Arial"/>
          <w:sz w:val="18"/>
          <w:szCs w:val="18"/>
          <w:b w:val="1"/>
          <w:bCs w:val="1"/>
          <w:color w:val="auto"/>
        </w:rPr>
        <w:t xml:space="preserve"> </w:t>
      </w:r>
      <w:r>
        <w:rPr>
          <w:rFonts w:ascii="Arial" w:cs="Arial" w:eastAsia="Arial" w:hAnsi="Arial"/>
          <w:sz w:val="18"/>
          <w:szCs w:val="18"/>
          <w:color w:val="auto"/>
        </w:rPr>
        <w:t>for the fourth quarter of fiscal 2012, ending January 28, 2012.</w:t>
      </w:r>
    </w:p>
    <w:p>
      <w:pPr>
        <w:spacing w:after="0" w:line="12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Marvell now expects net revenue for the fourth quarter of fiscal 2012 to be in the range of $735 million to $745 million, compared with prior outlook of between $775 million to $825 million.</w:t>
      </w:r>
    </w:p>
    <w:p>
      <w:pPr>
        <w:spacing w:after="0" w:line="132" w:lineRule="exact"/>
        <w:rPr>
          <w:sz w:val="20"/>
          <w:szCs w:val="20"/>
          <w:color w:val="auto"/>
        </w:rPr>
      </w:pPr>
    </w:p>
    <w:p>
      <w:pPr>
        <w:ind w:right="80"/>
        <w:spacing w:after="0" w:line="256" w:lineRule="auto"/>
        <w:rPr>
          <w:sz w:val="20"/>
          <w:szCs w:val="20"/>
          <w:color w:val="auto"/>
        </w:rPr>
      </w:pPr>
      <w:r>
        <w:rPr>
          <w:rFonts w:ascii="Arial" w:cs="Arial" w:eastAsia="Arial" w:hAnsi="Arial"/>
          <w:sz w:val="18"/>
          <w:szCs w:val="18"/>
          <w:color w:val="auto"/>
        </w:rPr>
        <w:t>“The supply of disk drives started to recover in our fourth fiscal quarter, but later than we had originally anticipated. Our SSD revenues grew more than expected but not enough to offset the impact of the Thailand floods on our HDD volumes,” said Dr. Sehat Sutardja, Marvell’s Chairman and Chief Executive Officer. “In addition, we experienced year-end demand softness at our mobile and wireless customers, particularly in China. We believe these effects are near term only, and should not impact our results in the new fiscal year.”</w:t>
      </w:r>
    </w:p>
    <w:p>
      <w:pPr>
        <w:spacing w:after="0" w:line="143"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No conference call will be held in conjunction with this business update. Marvell will conduct a conference call following the release of its fourth fiscal quarter and fiscal year 2012 financial results on Thursday, February 23, 2012.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96"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This press release contains forward-looking statements, including statements concerning Marvell’s expectations with respect to net revenue for the fourth quarter ending January 28, 2012; and impact of flooding in Thailand and demand softness in mobile and wireless on its results in the new fiscal year.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the impact of the recent flooding in Thailand; uncertainty in the worldwide economic environment; seasonality in sales of consumer devices in which our products are incorporated; Marvell’s ability to compete in an intensely competitive industry; Marvell’s ability to recruit and retain skilled personnel; and other risks detailed in Marvell’s SEC filings from time to time. For other factors that could cause Marvell’s results to vary from expectations, please see the risk factors identified in the Marvell’s latest Quarterly Report on Form 10-Q for the quarter ended October 27, 2011, as filed with the SEC and other factors detailed from time to time in Marvell’s filings with the SEC. Marvell undertakes no obligation to revise or update publicly any forward-looking statements.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2019-12-09T12:55:40Z</dcterms:created>
  <dcterms:modified xsi:type="dcterms:W3CDTF">2019-12-09T12:55:40Z</dcterms:modified>
</cp:coreProperties>
</file>