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673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6736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Hu Jean X.</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380"/>
              <w:spacing w:after="0"/>
              <w:rPr>
                <w:sz w:val="20"/>
                <w:szCs w:val="20"/>
                <w:color w:val="auto"/>
              </w:rPr>
            </w:pPr>
            <w:r>
              <w:rPr>
                <w:rFonts w:ascii="Arial" w:cs="Arial" w:eastAsia="Arial" w:hAnsi="Arial"/>
                <w:sz w:val="18"/>
                <w:szCs w:val="18"/>
                <w:color w:val="0000FF"/>
              </w:rPr>
              <w:t>Chief Financial Officer</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12/26/2018</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4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3360" w:type="dxa"/>
            <w:vAlign w:val="bottom"/>
            <w:gridSpan w:val="6"/>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40" w:type="dxa"/>
            <w:vAlign w:val="bottom"/>
            <w:gridSpan w:val="2"/>
          </w:tcPr>
          <w:p>
            <w:pP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720"/>
              <w:spacing w:after="0"/>
              <w:rPr>
                <w:sz w:val="20"/>
                <w:szCs w:val="20"/>
                <w:color w:val="auto"/>
              </w:rPr>
            </w:pPr>
            <w:r>
              <w:rPr>
                <w:rFonts w:ascii="Arial" w:cs="Arial" w:eastAsia="Arial" w:hAnsi="Arial"/>
                <w:sz w:val="18"/>
                <w:szCs w:val="18"/>
                <w:color w:val="0000FF"/>
              </w:rPr>
              <w:t>12/26/2018</w:t>
            </w:r>
          </w:p>
        </w:tc>
        <w:tc>
          <w:tcPr>
            <w:tcW w:w="2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P</w:t>
            </w:r>
          </w:p>
        </w:tc>
        <w:tc>
          <w:tcPr>
            <w:tcW w:w="740" w:type="dxa"/>
            <w:vAlign w:val="bottom"/>
            <w:tcBorders>
              <w:bottom w:val="single" w:sz="8" w:color="2C2C2C"/>
            </w:tcBorders>
          </w:tcPr>
          <w:p>
            <w:pPr>
              <w:ind w:left="200"/>
              <w:spacing w:after="0"/>
              <w:rPr>
                <w:sz w:val="20"/>
                <w:szCs w:val="20"/>
                <w:color w:val="auto"/>
              </w:rPr>
            </w:pPr>
            <w:r>
              <w:rPr>
                <w:rFonts w:ascii="Arial" w:cs="Arial" w:eastAsia="Arial" w:hAnsi="Arial"/>
                <w:sz w:val="18"/>
                <w:szCs w:val="18"/>
                <w:color w:val="0000FF"/>
                <w:w w:val="94"/>
              </w:rPr>
              <w:t>15,000</w:t>
            </w:r>
          </w:p>
        </w:tc>
        <w:tc>
          <w:tcPr>
            <w:tcW w:w="500" w:type="dxa"/>
            <w:vAlign w:val="bottom"/>
            <w:tcBorders>
              <w:bottom w:val="single" w:sz="8" w:color="2C2C2C"/>
            </w:tcBorders>
          </w:tcPr>
          <w:p>
            <w:pPr>
              <w:ind w:left="300"/>
              <w:spacing w:after="0"/>
              <w:rPr>
                <w:sz w:val="20"/>
                <w:szCs w:val="20"/>
                <w:color w:val="auto"/>
              </w:rPr>
            </w:pPr>
            <w:r>
              <w:rPr>
                <w:rFonts w:ascii="Arial" w:cs="Arial" w:eastAsia="Arial" w:hAnsi="Arial"/>
                <w:sz w:val="18"/>
                <w:szCs w:val="18"/>
                <w:color w:val="0000FF"/>
              </w:rPr>
              <w:t>A</w:t>
            </w:r>
          </w:p>
        </w:tc>
        <w:tc>
          <w:tcPr>
            <w:tcW w:w="900" w:type="dxa"/>
            <w:vAlign w:val="bottom"/>
            <w:tcBorders>
              <w:bottom w:val="single" w:sz="8" w:color="2C2C2C"/>
            </w:tcBorders>
            <w:gridSpan w:val="2"/>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14.67</w:t>
            </w:r>
            <w:r>
              <w:rPr>
                <w:rFonts w:ascii="Arial" w:cs="Arial" w:eastAsia="Arial" w:hAnsi="Arial"/>
                <w:sz w:val="22"/>
                <w:szCs w:val="22"/>
                <w:color w:val="008000"/>
                <w:w w:val="93"/>
                <w:vertAlign w:val="superscript"/>
              </w:rPr>
              <w:t>(1)</w:t>
            </w:r>
          </w:p>
        </w:tc>
        <w:tc>
          <w:tcPr>
            <w:tcW w:w="34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0"/>
                <w:szCs w:val="20"/>
                <w:color w:val="auto"/>
              </w:rPr>
            </w:pPr>
            <w:r>
              <w:rPr>
                <w:rFonts w:ascii="Arial" w:cs="Arial" w:eastAsia="Arial" w:hAnsi="Arial"/>
                <w:sz w:val="18"/>
                <w:szCs w:val="18"/>
                <w:color w:val="0000FF"/>
              </w:rPr>
              <w:t>51,077</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080" w:type="dxa"/>
            <w:vAlign w:val="bottom"/>
            <w:gridSpan w:val="2"/>
          </w:tcPr>
          <w:p>
            <w:pPr>
              <w:ind w:left="40"/>
              <w:spacing w:after="0"/>
              <w:rPr>
                <w:sz w:val="20"/>
                <w:szCs w:val="20"/>
                <w:color w:val="auto"/>
              </w:rPr>
            </w:pPr>
            <w:r>
              <w:rPr>
                <w:rFonts w:ascii="Arial" w:cs="Arial" w:eastAsia="Arial" w:hAnsi="Arial"/>
                <w:sz w:val="12"/>
                <w:szCs w:val="12"/>
                <w:b w:val="1"/>
                <w:bCs w:val="1"/>
                <w:color w:val="auto"/>
              </w:rPr>
              <w:t>7. Title and</w:t>
            </w: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tcPr>
          <w:p>
            <w:pPr>
              <w:ind w:left="1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Underlying</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40" w:type="dxa"/>
            <w:vAlign w:val="bottom"/>
          </w:tcPr>
          <w:p>
            <w:pPr>
              <w:spacing w:after="0"/>
              <w:rPr>
                <w:sz w:val="4"/>
                <w:szCs w:val="4"/>
                <w:color w:val="auto"/>
              </w:rPr>
            </w:pPr>
          </w:p>
        </w:tc>
        <w:tc>
          <w:tcPr>
            <w:tcW w:w="8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purchased in multiple transactions at prices ranging from $14.66 to $14.68, inclusive. The reporting person undertakes to provide Marvell Technology Group Ltd. ("Marvell"), any security holder of Marvell, or the staff of the Securities and Exchange Commission ("SEC"), upon request, full information regarding the number of shares purchased at each separate price within the range set forth in this footnote to this Form 4.</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7"/>
              </w:rPr>
              <w:t>Jean Hu by Blair Walters as</w:t>
            </w:r>
          </w:p>
        </w:tc>
        <w:tc>
          <w:tcPr>
            <w:tcW w:w="160" w:type="dxa"/>
            <w:vAlign w:val="bottom"/>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12/28/2018</w:t>
            </w:r>
          </w:p>
        </w:tc>
        <w:tc>
          <w:tcPr>
            <w:tcW w:w="0" w:type="dxa"/>
            <w:vAlign w:val="bottom"/>
          </w:tcPr>
          <w:p>
            <w:pPr>
              <w:spacing w:after="0"/>
              <w:rPr>
                <w:sz w:val="1"/>
                <w:szCs w:val="1"/>
                <w:color w:val="auto"/>
              </w:rPr>
            </w:pPr>
          </w:p>
        </w:tc>
      </w:tr>
      <w:tr>
        <w:trPr>
          <w:trHeight w:val="88"/>
        </w:trPr>
        <w:tc>
          <w:tcPr>
            <w:tcW w:w="2120" w:type="dxa"/>
            <w:vAlign w:val="bottom"/>
            <w:gridSpan w:val="3"/>
            <w:vMerge w:val="restart"/>
          </w:tcPr>
          <w:p>
            <w:pPr>
              <w:spacing w:after="0" w:line="196" w:lineRule="exact"/>
              <w:rPr>
                <w:sz w:val="20"/>
                <w:szCs w:val="20"/>
                <w:color w:val="auto"/>
              </w:rPr>
            </w:pPr>
            <w:r>
              <w:rPr>
                <w:rFonts w:ascii="Arial" w:cs="Arial" w:eastAsia="Arial" w:hAnsi="Arial"/>
                <w:sz w:val="18"/>
                <w:szCs w:val="18"/>
                <w:color w:val="0000FF"/>
              </w:rPr>
              <w:t>Attorney-in-Fact</w:t>
            </w: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3"/>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180" w:type="dxa"/>
            <w:vAlign w:val="bottom"/>
            <w:shd w:val="clear" w:color="auto" w:fill="000000"/>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2019-12-24T04:15:50Z</dcterms:created>
  <dcterms:modified xsi:type="dcterms:W3CDTF">2019-12-24T04:15:50Z</dcterms:modified>
</cp:coreProperties>
</file>