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ind w:left="4180"/>
        <w:spacing w:after="0"/>
        <w:rPr>
          <w:sz w:val="20"/>
          <w:szCs w:val="20"/>
          <w:color w:val="auto"/>
        </w:rPr>
      </w:pPr>
      <w:r>
        <w:rPr>
          <w:rFonts w:ascii="Arial" w:cs="Arial" w:eastAsia="Arial" w:hAnsi="Arial"/>
          <w:sz w:val="22"/>
          <w:szCs w:val="22"/>
          <w:b w:val="1"/>
          <w:bCs w:val="1"/>
          <w:color w:val="auto"/>
        </w:rPr>
        <w:t>Date of Report: February 6, 2019</w:t>
      </w:r>
    </w:p>
    <w:p>
      <w:pPr>
        <w:spacing w:after="0" w:line="5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1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ectPr>
          <w:pgSz w:w="11900" w:h="16838" w:orient="portrait"/>
          <w:cols w:equalWidth="0" w:num="1">
            <w:col w:w="11420"/>
          </w:cols>
          <w:pgMar w:left="240" w:top="702" w:right="239" w:bottom="0" w:gutter="0" w:footer="0" w:header="0"/>
        </w:sectPr>
      </w:pPr>
    </w:p>
    <w:bookmarkStart w:id="1" w:name="page2"/>
    <w:bookmarkEnd w:id="1"/>
    <w:p>
      <w:pPr>
        <w:ind w:firstLine="648"/>
        <w:spacing w:after="0" w:line="274" w:lineRule="auto"/>
        <w:rPr>
          <w:sz w:val="20"/>
          <w:szCs w:val="20"/>
          <w:color w:val="auto"/>
        </w:rPr>
      </w:pPr>
      <w:r>
        <w:rPr>
          <w:rFonts w:ascii="Arial" w:cs="Arial" w:eastAsia="Arial" w:hAnsi="Arial"/>
          <w:sz w:val="17"/>
          <w:szCs w:val="17"/>
          <w:color w:val="auto"/>
        </w:rPr>
        <w:t>On February 6, 2019, Marvell Technology Group Ltd. (“Marvell”) issued a press release reporting its preliminary estimate of its fourth quarter fiscal 2019 revenue range. These preliminary financial results are based upon Marvell’s good faith estimates, are subject to completion of Marvell’s</w:t>
      </w:r>
    </w:p>
    <w:p>
      <w:pPr>
        <w:ind w:right="320"/>
        <w:spacing w:after="0" w:line="261" w:lineRule="auto"/>
        <w:rPr>
          <w:sz w:val="20"/>
          <w:szCs w:val="20"/>
          <w:color w:val="auto"/>
        </w:rPr>
      </w:pPr>
      <w:r>
        <w:rPr>
          <w:rFonts w:ascii="Arial" w:cs="Arial" w:eastAsia="Arial" w:hAnsi="Arial"/>
          <w:sz w:val="18"/>
          <w:szCs w:val="18"/>
          <w:color w:val="auto"/>
        </w:rPr>
        <w:t>financial closing procedures, and are subject to change. A copy of the press release is furnished herewith as Exhibit 99.1 and is incorporated by reference herein.</w:t>
      </w:r>
    </w:p>
    <w:p>
      <w:pPr>
        <w:spacing w:after="0" w:line="396"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8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February 6, 2019, titled “Marvell Technology Group Ltd. Announces Preliminary Estimate of Fourth Quarter</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Fiscal 2019 Revenue Range and Date of Earnings Conference Call”</w:t>
        </w:r>
      </w:hyperlink>
    </w:p>
    <w:p>
      <w:pPr>
        <w:sectPr>
          <w:pgSz w:w="11900" w:h="16838" w:orient="portrait"/>
          <w:cols w:equalWidth="0" w:num="1">
            <w:col w:w="11360"/>
          </w:cols>
          <w:pgMar w:left="240" w:top="125" w:right="29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Arial" w:cs="Arial" w:eastAsia="Arial" w:hAnsi="Arial"/>
          <w:sz w:val="18"/>
          <w:szCs w:val="18"/>
          <w:color w:val="auto"/>
        </w:rPr>
        <w:t>Date: February 6,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31750</wp:posOffset>
            </wp:positionV>
            <wp:extent cx="22980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580"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5467985</wp:posOffset>
            </wp:positionH>
            <wp:positionV relativeFrom="paragraph">
              <wp:posOffset>154940</wp:posOffset>
            </wp:positionV>
            <wp:extent cx="178371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8371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left="260" w:right="80"/>
        <w:spacing w:after="0" w:line="282" w:lineRule="auto"/>
        <w:rPr>
          <w:sz w:val="20"/>
          <w:szCs w:val="20"/>
          <w:color w:val="auto"/>
        </w:rPr>
      </w:pPr>
      <w:r>
        <w:rPr>
          <w:rFonts w:ascii="Arial" w:cs="Arial" w:eastAsia="Arial" w:hAnsi="Arial"/>
          <w:sz w:val="18"/>
          <w:szCs w:val="18"/>
          <w:b w:val="1"/>
          <w:bCs w:val="1"/>
          <w:color w:val="auto"/>
        </w:rPr>
        <w:t>Marvell Technology Group Ltd. Announces Preliminary Estimate of Fourth Quarter Fiscal 2019 Revenue Range and Date of Earnings Conference Call</w:t>
      </w:r>
    </w:p>
    <w:p>
      <w:pPr>
        <w:spacing w:after="0" w:line="206" w:lineRule="exact"/>
        <w:rPr>
          <w:sz w:val="20"/>
          <w:szCs w:val="20"/>
          <w:color w:val="auto"/>
        </w:rPr>
      </w:pPr>
    </w:p>
    <w:p>
      <w:pPr>
        <w:ind w:left="660" w:right="220" w:hanging="328"/>
        <w:spacing w:after="0" w:line="277" w:lineRule="auto"/>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expects fourth-quarter revenue to be in the range of $735 million to $745 million, below its previously announced guidance range of $790 million to $830 million.</w:t>
      </w:r>
    </w:p>
    <w:p>
      <w:pPr>
        <w:spacing w:after="0" w:line="8"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Demand for storage controllers was weaker than expected.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will report full financial results and provide additional detail on March 7.</w:t>
      </w:r>
    </w:p>
    <w:p>
      <w:pPr>
        <w:spacing w:after="0" w:line="200" w:lineRule="exact"/>
        <w:rPr>
          <w:sz w:val="20"/>
          <w:szCs w:val="20"/>
          <w:color w:val="auto"/>
        </w:rPr>
      </w:pPr>
    </w:p>
    <w:p>
      <w:pPr>
        <w:spacing w:after="0" w:line="332" w:lineRule="exact"/>
        <w:rPr>
          <w:sz w:val="20"/>
          <w:szCs w:val="20"/>
          <w:color w:val="auto"/>
        </w:rPr>
      </w:pPr>
    </w:p>
    <w:p>
      <w:pPr>
        <w:ind w:right="380"/>
        <w:spacing w:after="0" w:line="391" w:lineRule="auto"/>
        <w:rPr>
          <w:sz w:val="20"/>
          <w:szCs w:val="20"/>
          <w:color w:val="auto"/>
        </w:rPr>
      </w:pPr>
      <w:r>
        <w:rPr>
          <w:rFonts w:ascii="Arial" w:cs="Arial" w:eastAsia="Arial" w:hAnsi="Arial"/>
          <w:sz w:val="18"/>
          <w:szCs w:val="18"/>
          <w:b w:val="1"/>
          <w:bCs w:val="1"/>
          <w:color w:val="auto"/>
        </w:rPr>
        <w:t xml:space="preserve">Santa Clara, Calif. (February 6, 2019)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an estimated revenue range for its fourth quarter of fiscal 2019, which ended on February 2, 2019.</w:t>
      </w:r>
    </w:p>
    <w:p>
      <w:pPr>
        <w:spacing w:after="0" w:line="261" w:lineRule="exact"/>
        <w:rPr>
          <w:sz w:val="20"/>
          <w:szCs w:val="20"/>
          <w:color w:val="auto"/>
        </w:rPr>
      </w:pPr>
    </w:p>
    <w:p>
      <w:pPr>
        <w:ind w:right="380"/>
        <w:spacing w:after="0" w:line="387" w:lineRule="auto"/>
        <w:rPr>
          <w:sz w:val="20"/>
          <w:szCs w:val="20"/>
          <w:color w:val="auto"/>
        </w:rPr>
      </w:pPr>
      <w:r>
        <w:rPr>
          <w:rFonts w:ascii="Arial" w:cs="Arial" w:eastAsia="Arial" w:hAnsi="Arial"/>
          <w:sz w:val="18"/>
          <w:szCs w:val="18"/>
          <w:color w:val="auto"/>
        </w:rPr>
        <w:t>Marvell now expects its fourth-quarter fiscal 2019 preliminary unaudited revenue to be in the range of $735 million to $745 million, below its previously announced guidance range of $790 million to $830 million.</w:t>
      </w:r>
    </w:p>
    <w:p>
      <w:pPr>
        <w:spacing w:after="0" w:line="264" w:lineRule="exact"/>
        <w:rPr>
          <w:sz w:val="20"/>
          <w:szCs w:val="20"/>
          <w:color w:val="auto"/>
        </w:rPr>
      </w:pPr>
    </w:p>
    <w:p>
      <w:pPr>
        <w:ind w:right="40"/>
        <w:spacing w:after="0" w:line="373" w:lineRule="auto"/>
        <w:rPr>
          <w:sz w:val="20"/>
          <w:szCs w:val="20"/>
          <w:color w:val="auto"/>
        </w:rPr>
      </w:pPr>
      <w:r>
        <w:rPr>
          <w:rFonts w:ascii="Arial" w:cs="Arial" w:eastAsia="Arial" w:hAnsi="Arial"/>
          <w:sz w:val="18"/>
          <w:szCs w:val="18"/>
          <w:color w:val="auto"/>
        </w:rPr>
        <w:t>The majority of Marvell’s fourth-quarter revenue shortfall was due to a weaker than expected storage controller business. Marvell believes that demand for its products was impacted primarily by macroeconomic uncertainty, reduction in cloud capital spending and PC CPU shortages. The exception was embedded processors for networking and 4G &amp; pre-5G wireless infrastructure which met expectations.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color w:val="auto"/>
        </w:rPr>
        <w:t>The company expects the weakness in demand that it saw in the fourth quarter of fiscal 2019 to continue in the first quarter of fiscal 2020.</w:t>
      </w:r>
    </w:p>
    <w:p>
      <w:pPr>
        <w:spacing w:after="0" w:line="200" w:lineRule="exact"/>
        <w:rPr>
          <w:sz w:val="20"/>
          <w:szCs w:val="20"/>
          <w:color w:val="auto"/>
        </w:rPr>
      </w:pPr>
    </w:p>
    <w:p>
      <w:pPr>
        <w:spacing w:after="0" w:line="214" w:lineRule="exact"/>
        <w:rPr>
          <w:sz w:val="20"/>
          <w:szCs w:val="20"/>
          <w:color w:val="auto"/>
        </w:rPr>
      </w:pPr>
    </w:p>
    <w:p>
      <w:pPr>
        <w:spacing w:after="0" w:line="365" w:lineRule="auto"/>
        <w:rPr>
          <w:sz w:val="20"/>
          <w:szCs w:val="20"/>
          <w:color w:val="auto"/>
        </w:rPr>
      </w:pPr>
      <w:r>
        <w:rPr>
          <w:rFonts w:ascii="Arial" w:cs="Arial" w:eastAsia="Arial" w:hAnsi="Arial"/>
          <w:sz w:val="18"/>
          <w:szCs w:val="18"/>
          <w:color w:val="auto"/>
        </w:rPr>
        <w:t>“Although we are disappointed with our fourth quarter revenue, we continued to run the business efficiently under difficult end market conditions and are satisfied with gross margin execution and operating expense management,” said Matt Murphy, President and CEO. “We are optimistic that demand will begin to improve later this year, as inventory levels adjust in customer’s supply chains, and capital spending picks up. While we will prudently manage our operating expenses to reflect this softer demand environment, we remain committed to the key initiatives that we outlined at our Investor Day and are on track to launch our 5G base station products later this fiscal year. We have conviction in our strategy to drive long-term growth and we remain focused on execution.”</w:t>
      </w:r>
    </w:p>
    <w:p>
      <w:pPr>
        <w:spacing w:after="0" w:line="286" w:lineRule="exact"/>
        <w:rPr>
          <w:sz w:val="20"/>
          <w:szCs w:val="20"/>
          <w:color w:val="auto"/>
        </w:rPr>
      </w:pPr>
    </w:p>
    <w:p>
      <w:pPr>
        <w:ind w:right="360"/>
        <w:spacing w:after="0" w:line="435" w:lineRule="auto"/>
        <w:rPr>
          <w:sz w:val="20"/>
          <w:szCs w:val="20"/>
          <w:color w:val="auto"/>
        </w:rPr>
      </w:pPr>
      <w:r>
        <w:rPr>
          <w:rFonts w:ascii="Arial" w:cs="Arial" w:eastAsia="Arial" w:hAnsi="Arial"/>
          <w:sz w:val="16"/>
          <w:szCs w:val="16"/>
          <w:color w:val="auto"/>
        </w:rPr>
        <w:t>This update is an estimate, based on information available to management as of the date of this release, and may be subject to further changes upon completion of Marvell's standard quarter and year-end closing procedures. This update does not present all necessary information for an understanding of Marvell's financial condition as of February 2, 2019, or its results of operations for the quarter and fiscal year ended February 2, 2019.</w:t>
      </w:r>
    </w:p>
    <w:p>
      <w:pPr>
        <w:sectPr>
          <w:pgSz w:w="11900" w:h="16838" w:orient="portrait"/>
          <w:cols w:equalWidth="0" w:num="1">
            <w:col w:w="11420"/>
          </w:cols>
          <w:pgMar w:left="240" w:top="580"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 Webcast for Fourth Quarter and Fiscal Year 2019 Financial Results</w:t>
      </w:r>
    </w:p>
    <w:p>
      <w:pPr>
        <w:spacing w:after="0" w:line="200" w:lineRule="exact"/>
        <w:rPr>
          <w:sz w:val="20"/>
          <w:szCs w:val="20"/>
          <w:color w:val="auto"/>
        </w:rPr>
      </w:pPr>
    </w:p>
    <w:p>
      <w:pPr>
        <w:spacing w:after="0" w:line="218" w:lineRule="exact"/>
        <w:rPr>
          <w:sz w:val="20"/>
          <w:szCs w:val="20"/>
          <w:color w:val="auto"/>
        </w:rPr>
      </w:pPr>
    </w:p>
    <w:p>
      <w:pPr>
        <w:spacing w:after="0" w:line="387" w:lineRule="auto"/>
        <w:rPr>
          <w:sz w:val="20"/>
          <w:szCs w:val="20"/>
          <w:color w:val="auto"/>
        </w:rPr>
      </w:pPr>
      <w:r>
        <w:rPr>
          <w:rFonts w:ascii="Arial" w:cs="Arial" w:eastAsia="Arial" w:hAnsi="Arial"/>
          <w:sz w:val="18"/>
          <w:szCs w:val="18"/>
          <w:color w:val="auto"/>
        </w:rPr>
        <w:t>Marvell will release its fourth quarter and fiscal year 2019 results on Thursday, March 7, 2019 after close of market. The company will host a conference call that day at 1:45 p.m. Pacific Time.</w:t>
      </w:r>
    </w:p>
    <w:p>
      <w:pPr>
        <w:spacing w:after="0" w:line="260" w:lineRule="exact"/>
        <w:rPr>
          <w:sz w:val="20"/>
          <w:szCs w:val="20"/>
          <w:color w:val="auto"/>
        </w:rPr>
      </w:pPr>
    </w:p>
    <w:p>
      <w:pPr>
        <w:ind w:right="320"/>
        <w:spacing w:after="0" w:line="470" w:lineRule="auto"/>
        <w:rPr>
          <w:sz w:val="20"/>
          <w:szCs w:val="20"/>
          <w:color w:val="auto"/>
        </w:rPr>
      </w:pPr>
      <w:r>
        <w:rPr>
          <w:rFonts w:ascii="Arial" w:cs="Arial" w:eastAsia="Arial" w:hAnsi="Arial"/>
          <w:sz w:val="16"/>
          <w:szCs w:val="16"/>
          <w:color w:val="auto"/>
        </w:rPr>
        <w:t xml:space="preserve">Interested parties may join the conference call by dialing </w:t>
      </w:r>
      <w:r>
        <w:rPr>
          <w:rFonts w:ascii="Arial" w:cs="Arial" w:eastAsia="Arial" w:hAnsi="Arial"/>
          <w:sz w:val="16"/>
          <w:szCs w:val="16"/>
          <w:b w:val="1"/>
          <w:bCs w:val="1"/>
          <w:color w:val="auto"/>
        </w:rPr>
        <w:t>1-844-647-5488 or 1-615-247-0258, passcode 1885417</w:t>
      </w:r>
      <w:r>
        <w:rPr>
          <w:rFonts w:ascii="Arial" w:cs="Arial" w:eastAsia="Arial" w:hAnsi="Arial"/>
          <w:sz w:val="16"/>
          <w:szCs w:val="16"/>
          <w:color w:val="auto"/>
        </w:rPr>
        <w:t>. The call will be webcast and can be accessed at the Marvell Investor Relations website at http://investor.marvell.com/ with a replay available following the call until Friday, March 15, 2019.</w:t>
      </w:r>
    </w:p>
    <w:p>
      <w:pPr>
        <w:sectPr>
          <w:pgSz w:w="11900" w:h="16838" w:orient="portrait"/>
          <w:cols w:equalWidth="0" w:num="1">
            <w:col w:w="11340"/>
          </w:cols>
          <w:pgMar w:left="240" w:top="945" w:right="31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200" w:lineRule="exact"/>
        <w:rPr>
          <w:sz w:val="20"/>
          <w:szCs w:val="20"/>
          <w:color w:val="auto"/>
        </w:rPr>
      </w:pPr>
    </w:p>
    <w:p>
      <w:pPr>
        <w:spacing w:after="0" w:line="218" w:lineRule="exact"/>
        <w:rPr>
          <w:sz w:val="20"/>
          <w:szCs w:val="20"/>
          <w:color w:val="auto"/>
        </w:rPr>
      </w:pPr>
    </w:p>
    <w:p>
      <w:pPr>
        <w:spacing w:after="0" w:line="407"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regarding its fourth quarter of fiscal 2019 financial results, the factors affecting its fourth quarter results, its expectations of weakness in demand to continue in its first quarter of fiscal 2020, its expectations that demand will improve later this year, its ability to manage future operating expenses and the timing of its 5G product launch.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rate of change in customer demand for our products; the effect of the consummation of our acquisition of Cavium on the combined company's business relationships, operating results, and business generally; potential difficulties in Cavium employee retention as a result of the transaction; the ability of Marvell to successfully integrate Cavium's operations and product lines; the ability of Marvell to implement its plans, forecasts, and other expectations with respect to Cavium's business and realize the anticipated synergies and cost savings in the time frame anticipated or at all, and identify and realize additional opportunities;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to define, design and develop products for the 5G market; Marvell's ability to market its 5G products to Tier 1 infrastructure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10-Q for the fiscal quarter ended November 3, 2018 as filed with the SEC on December 10, 2018,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634"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08" w:lineRule="exact"/>
        <w:rPr>
          <w:sz w:val="20"/>
          <w:szCs w:val="20"/>
          <w:color w:val="auto"/>
        </w:rPr>
      </w:pPr>
    </w:p>
    <w:p>
      <w:pPr>
        <w:spacing w:after="0" w:line="36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348" w:lineRule="exact"/>
        <w:rPr>
          <w:sz w:val="20"/>
          <w:szCs w:val="20"/>
          <w:color w:val="auto"/>
        </w:rPr>
      </w:pPr>
    </w:p>
    <w:p>
      <w:pPr>
        <w:jc w:val="center"/>
        <w:ind w:right="-259"/>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180"/>
      </w:cols>
      <w:pgMar w:left="240" w:top="63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2019-12-28T16:47:43Z</dcterms:created>
  <dcterms:modified xsi:type="dcterms:W3CDTF">2019-12-28T16:47:43Z</dcterms:modified>
</cp:coreProperties>
</file>