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7</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spacing w:after="0" w:line="4"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3" w:lineRule="exact"/>
        <w:rPr>
          <w:sz w:val="24"/>
          <w:szCs w:val="24"/>
          <w:color w:val="auto"/>
        </w:rPr>
      </w:pPr>
    </w:p>
    <w:p>
      <w:pPr>
        <w:jc w:val="both"/>
        <w:ind w:right="8319" w:firstLine="851"/>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11,673,743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80,824,522</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80,824,522</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12.294%</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29"/>
        <w:spacing w:after="0" w:line="237" w:lineRule="auto"/>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8" w:lineRule="auto"/>
        <w:rPr>
          <w:sz w:val="20"/>
          <w:szCs w:val="20"/>
          <w:color w:val="auto"/>
        </w:rPr>
      </w:pPr>
      <w:r>
        <w:rPr>
          <w:rFonts w:ascii="Courier New" w:cs="Courier New" w:eastAsia="Courier New" w:hAnsi="Courier New"/>
          <w:sz w:val="18"/>
          <w:szCs w:val="18"/>
          <w:color w:val="auto"/>
        </w:rPr>
        <w:t>Item 4: United States of America</w:t>
      </w:r>
    </w:p>
    <w:p>
      <w:pPr>
        <w:spacing w:after="0"/>
        <w:rPr>
          <w:sz w:val="20"/>
          <w:szCs w:val="20"/>
          <w:color w:val="auto"/>
        </w:rPr>
      </w:pPr>
      <w:r>
        <w:rPr>
          <w:rFonts w:ascii="Courier New" w:cs="Courier New" w:eastAsia="Courier New" w:hAnsi="Courier New"/>
          <w:sz w:val="18"/>
          <w:szCs w:val="18"/>
          <w:color w:val="auto"/>
        </w:rPr>
        <w:t>Item 5: 0</w:t>
      </w:r>
    </w:p>
    <w:p>
      <w:pPr>
        <w:spacing w:after="0" w:line="237"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80,824,522</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80,824,522</w:t>
      </w:r>
    </w:p>
    <w:p>
      <w:pPr>
        <w:spacing w:after="0" w:line="237" w:lineRule="auto"/>
        <w:rPr>
          <w:sz w:val="20"/>
          <w:szCs w:val="20"/>
          <w:color w:val="auto"/>
        </w:rPr>
      </w:pPr>
      <w:r>
        <w:rPr>
          <w:rFonts w:ascii="Courier New" w:cs="Courier New" w:eastAsia="Courier New" w:hAnsi="Courier New"/>
          <w:sz w:val="18"/>
          <w:szCs w:val="18"/>
          <w:color w:val="auto"/>
        </w:rPr>
        <w:t>Item 11: 12.294%</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Canon's Court, 22 Victoria Street</w:t>
      </w:r>
    </w:p>
    <w:p>
      <w:pPr>
        <w:spacing w:after="0" w:line="238" w:lineRule="auto"/>
        <w:rPr>
          <w:sz w:val="20"/>
          <w:szCs w:val="20"/>
          <w:color w:val="auto"/>
        </w:rPr>
      </w:pPr>
      <w:r>
        <w:rPr>
          <w:rFonts w:ascii="Courier New" w:cs="Courier New" w:eastAsia="Courier New" w:hAnsi="Courier New"/>
          <w:sz w:val="18"/>
          <w:szCs w:val="18"/>
          <w:color w:val="auto"/>
        </w:rPr>
        <w:t>Hamilton HM 12,</w:t>
      </w:r>
    </w:p>
    <w:p>
      <w:pPr>
        <w:spacing w:after="0"/>
        <w:rPr>
          <w:sz w:val="20"/>
          <w:szCs w:val="20"/>
          <w:color w:val="auto"/>
        </w:rPr>
      </w:pPr>
      <w:r>
        <w:rPr>
          <w:rFonts w:ascii="Courier New" w:cs="Courier New" w:eastAsia="Courier New" w:hAnsi="Courier New"/>
          <w:sz w:val="18"/>
          <w:szCs w:val="18"/>
          <w:color w:val="auto"/>
        </w:rPr>
        <w:t>Bermuda</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80,824,522</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12.294%</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55" w:orient="portrait"/>
          <w:cols w:equalWidth="0" w:num="1">
            <w:col w:w="10219"/>
          </w:cols>
          <w:pgMar w:left="240" w:top="244"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11,673,743</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80,824,522</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GROUP LTD. No one other person's interest in the COMMON STOCK of MARVELL TECHNOLOGY GROUP LTD is more than five percent of the total outstanding COMMON STOCK.</w:t>
      </w:r>
    </w:p>
    <w:p>
      <w:pPr>
        <w:spacing w:after="0" w:line="209"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13, 2019</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4"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9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pacing w:after="0" w:line="202"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Entity</w:t>
      </w:r>
      <w:r>
        <w:rPr>
          <w:sz w:val="20"/>
          <w:szCs w:val="20"/>
          <w:color w:val="auto"/>
        </w:rPr>
        <w:tab/>
      </w:r>
      <w:r>
        <w:rPr>
          <w:rFonts w:ascii="Courier New" w:cs="Courier New" w:eastAsia="Courier New" w:hAnsi="Courier New"/>
          <w:sz w:val="18"/>
          <w:szCs w:val="18"/>
          <w:color w:val="auto"/>
        </w:rPr>
        <w:t>ITEM 3 Classification</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238" w:lineRule="auto"/>
        <w:tabs>
          <w:tab w:leader="none" w:pos="5780" w:val="left"/>
        </w:tabs>
        <w:rPr>
          <w:sz w:val="20"/>
          <w:szCs w:val="20"/>
          <w:color w:val="auto"/>
        </w:rPr>
      </w:pPr>
      <w:r>
        <w:rPr>
          <w:rFonts w:ascii="Courier New" w:cs="Courier New" w:eastAsia="Courier New" w:hAnsi="Courier New"/>
          <w:sz w:val="18"/>
          <w:szCs w:val="18"/>
          <w:color w:val="auto"/>
        </w:rPr>
        <w:t>Fidelity Institutional Asset Management Trust Company</w:t>
        <w:tab/>
        <w:t>BK</w:t>
      </w: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line="237" w:lineRule="auto"/>
        <w:rPr>
          <w:sz w:val="20"/>
          <w:szCs w:val="20"/>
          <w:color w:val="auto"/>
        </w:rPr>
      </w:pPr>
      <w:r>
        <w:rPr>
          <w:rFonts w:ascii="Courier New" w:cs="Courier New" w:eastAsia="Courier New" w:hAnsi="Courier New"/>
          <w:sz w:val="18"/>
          <w:szCs w:val="18"/>
          <w:color w:val="auto"/>
        </w:rPr>
        <w:t>FMR CO., INC * IA</w:t>
      </w:r>
    </w:p>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ectPr>
          <w:pgSz w:w="11900" w:h="16838" w:orient="portrait"/>
          <w:cols w:equalWidth="0" w:num="1">
            <w:col w:w="10219"/>
          </w:cols>
          <w:pgMar w:left="240" w:top="339" w:right="1440" w:bottom="0" w:gutter="0" w:footer="0" w:header="0"/>
        </w:sectPr>
      </w:pPr>
    </w:p>
    <w:bookmarkStart w:id="2" w:name="page3"/>
    <w:bookmarkEnd w:id="2"/>
    <w:p>
      <w:pPr>
        <w:ind w:right="2519" w:firstLine="8"/>
        <w:spacing w:after="0" w:line="235"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11"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15"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FMR Co carries out the voting of the shares under written guidelines established by the Fidelity Funds' Boards of Trustees.</w:t>
      </w:r>
    </w:p>
    <w:p>
      <w:pPr>
        <w:spacing w:after="0" w:line="211"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The undersigned persons, on February 13, 2019, agree and consent to the joint filing on their behalf of this Schedule 13G in connection with their beneficial ownership of the COMMON STOCK of MARVELL TECHNOLOGY GROUP LTD at December 31, 2018.</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99" w:firstLine="8"/>
        <w:spacing w:after="0" w:line="236"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219"/>
      </w:cols>
      <w:pgMar w:left="240" w:top="54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1)"/>
      <w:numFmt w:val="lowerLetter"/>
      <w:start w:val="2"/>
    </w:lvl>
  </w:abstractNum>
  <w:abstractNum w:abstractNumId="2">
    <w:nsid w:val="3D1B58BA"/>
    <w:multiLevelType w:val="hybridMultilevel"/>
    <w:lvl w:ilvl="0">
      <w:lvlJc w:val="left"/>
      <w:lvlText w:val="(%1)"/>
      <w:numFmt w:val="lowerLetter"/>
      <w:start w:val="2"/>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Roman"/>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2019-12-19T21:23:42Z</dcterms:created>
  <dcterms:modified xsi:type="dcterms:W3CDTF">2019-12-19T21:23:42Z</dcterms:modified>
</cp:coreProperties>
</file>