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5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99" w:lineRule="exact"/>
        <w:rPr>
          <w:sz w:val="24"/>
          <w:szCs w:val="24"/>
          <w:color w:val="auto"/>
        </w:rPr>
      </w:pPr>
    </w:p>
    <w:p>
      <w:pPr>
        <w:jc w:val="center"/>
        <w:ind w:right="-59"/>
        <w:spacing w:after="0"/>
        <w:rPr>
          <w:sz w:val="20"/>
          <w:szCs w:val="20"/>
          <w:color w:val="auto"/>
        </w:rPr>
      </w:pPr>
      <w:r>
        <w:rPr>
          <w:rFonts w:ascii="Arial" w:cs="Arial" w:eastAsia="Arial" w:hAnsi="Arial"/>
          <w:sz w:val="29"/>
          <w:szCs w:val="29"/>
          <w:b w:val="1"/>
          <w:bCs w:val="1"/>
          <w:color w:val="auto"/>
        </w:rPr>
        <w:t>FORM 8-K</w:t>
      </w:r>
    </w:p>
    <w:p>
      <w:pPr>
        <w:spacing w:after="0" w:line="130"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104"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66" w:lineRule="exact"/>
        <w:rPr>
          <w:sz w:val="24"/>
          <w:szCs w:val="24"/>
          <w:color w:val="auto"/>
        </w:rPr>
      </w:pPr>
    </w:p>
    <w:p>
      <w:pPr>
        <w:ind w:left="4300"/>
        <w:spacing w:after="0"/>
        <w:rPr>
          <w:sz w:val="20"/>
          <w:szCs w:val="20"/>
          <w:color w:val="auto"/>
        </w:rPr>
      </w:pPr>
      <w:r>
        <w:rPr>
          <w:rFonts w:ascii="Arial" w:cs="Arial" w:eastAsia="Arial" w:hAnsi="Arial"/>
          <w:sz w:val="22"/>
          <w:szCs w:val="22"/>
          <w:b w:val="1"/>
          <w:bCs w:val="1"/>
          <w:color w:val="auto"/>
        </w:rPr>
        <w:t>Date of Report: March 7, 2019</w:t>
      </w:r>
    </w:p>
    <w:p>
      <w:pPr>
        <w:spacing w:after="0" w:line="58" w:lineRule="exact"/>
        <w:rPr>
          <w:sz w:val="24"/>
          <w:szCs w:val="24"/>
          <w:color w:val="auto"/>
        </w:rPr>
      </w:pPr>
    </w:p>
    <w:p>
      <w:pPr>
        <w:ind w:left="4240"/>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104"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18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309"/>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bl>
    <w:p>
      <w:pPr>
        <w:spacing w:after="0" w:line="25"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104" w:lineRule="exact"/>
        <w:rPr>
          <w:sz w:val="24"/>
          <w:szCs w:val="24"/>
          <w:color w:val="auto"/>
        </w:rPr>
      </w:pPr>
    </w:p>
    <w:p>
      <w:pPr>
        <w:ind w:right="6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143"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54"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193675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107950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ind w:left="8440"/>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60"/>
          </w:cols>
          <w:pgMar w:left="240" w:top="594" w:right="29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0"/>
          <w:szCs w:val="20"/>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160" w:firstLine="648"/>
        <w:spacing w:after="0" w:line="308" w:lineRule="auto"/>
        <w:rPr>
          <w:sz w:val="20"/>
          <w:szCs w:val="20"/>
          <w:color w:val="auto"/>
        </w:rPr>
      </w:pPr>
      <w:r>
        <w:rPr>
          <w:rFonts w:ascii="Arial" w:cs="Arial" w:eastAsia="Arial" w:hAnsi="Arial"/>
          <w:sz w:val="17"/>
          <w:szCs w:val="17"/>
          <w:color w:val="auto"/>
        </w:rPr>
        <w:t>On March 7, 2019, Marvell Technology Group Ltd. (“Marvell”) issued a press release reporting its financial results for the fourth quarter and fiscal year 2019 ended February 2, 2019. A copy of the press release is furnished herewith as Exhibit 99.1 and is incorporated by reference herein.</w:t>
      </w:r>
    </w:p>
    <w:p>
      <w:pPr>
        <w:spacing w:after="0" w:line="38"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Marvell will conduct a conference call on Thursday, March 7, 2019 at 1:45 p.m. Pacific Time to discuss results for the fourth quarter and full year fiscal 2019. Interested parties may join the conference call by dialing 1-844-647-5488 or 1-615-247-0258, passcode 1885417. The call will be webcast by Thomson Reuters and can be accessed at the Marvell Investor Relations website at http://investor.marvell.com/ with a replay available following the call until Friday, March 15, 2019.</w:t>
      </w:r>
    </w:p>
    <w:p>
      <w:pPr>
        <w:spacing w:after="0" w:line="399"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60" w:hanging="647"/>
        <w:spacing w:after="0" w:line="277" w:lineRule="auto"/>
        <w:tabs>
          <w:tab w:leader="none" w:pos="1940" w:val="left"/>
        </w:tabs>
        <w:rPr>
          <w:rFonts w:ascii="Arial" w:cs="Arial" w:eastAsia="Arial" w:hAnsi="Arial"/>
          <w:sz w:val="18"/>
          <w:szCs w:val="18"/>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8"/>
            <w:szCs w:val="18"/>
            <w:u w:val="single" w:color="auto"/>
            <w:color w:val="0000FF"/>
          </w:rPr>
          <w:t>Press Release dated March 7, 2019, titled “Marvell Technology Group Ltd. Reports Fourth Quarter and Fiscal Year 2019 Financial</w:t>
        </w:r>
      </w:hyperlink>
      <w:r>
        <w:rPr>
          <w:rFonts w:ascii="Arial" w:cs="Arial" w:eastAsia="Arial" w:hAnsi="Arial"/>
          <w:sz w:val="18"/>
          <w:szCs w:val="18"/>
          <w:u w:val="single" w:color="auto"/>
          <w:color w:val="0000FF"/>
        </w:rPr>
        <w:t xml:space="preserve"> </w:t>
      </w:r>
      <w:hyperlink w:anchor="page4">
        <w:r>
          <w:rPr>
            <w:rFonts w:ascii="Arial" w:cs="Arial" w:eastAsia="Arial" w:hAnsi="Arial"/>
            <w:sz w:val="18"/>
            <w:szCs w:val="18"/>
            <w:u w:val="single" w:color="auto"/>
            <w:color w:val="0000FF"/>
          </w:rPr>
          <w:t>Results”</w:t>
        </w:r>
      </w:hyperlink>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364" w:right="239" w:bottom="1440" w:gutter="0" w:footer="0" w:header="0"/>
        </w:sectPr>
      </w:pPr>
    </w:p>
    <w:bookmarkStart w:id="2" w:name="page3"/>
    <w:bookmarkEnd w:id="2"/>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00" w:lineRule="exact"/>
        <w:rPr>
          <w:sz w:val="20"/>
          <w:szCs w:val="20"/>
          <w:color w:val="auto"/>
        </w:rPr>
      </w:pPr>
    </w:p>
    <w:p>
      <w:pPr>
        <w:spacing w:after="0" w:line="245"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333" w:lineRule="exact"/>
        <w:rPr>
          <w:sz w:val="20"/>
          <w:szCs w:val="20"/>
          <w:color w:val="auto"/>
        </w:rPr>
      </w:pPr>
    </w:p>
    <w:p>
      <w:pPr>
        <w:ind w:left="670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440"/>
        <w:spacing w:after="0"/>
        <w:tabs>
          <w:tab w:leader="none" w:pos="6680" w:val="left"/>
          <w:tab w:leader="none" w:pos="7120" w:val="left"/>
        </w:tabs>
        <w:rPr>
          <w:sz w:val="20"/>
          <w:szCs w:val="20"/>
          <w:color w:val="auto"/>
        </w:rPr>
      </w:pPr>
      <w:r>
        <w:rPr>
          <w:rFonts w:ascii="Arial" w:cs="Arial" w:eastAsia="Arial" w:hAnsi="Arial"/>
          <w:sz w:val="18"/>
          <w:szCs w:val="18"/>
          <w:color w:val="auto"/>
        </w:rPr>
        <w:t>Date: March 7,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4516120</wp:posOffset>
            </wp:positionH>
            <wp:positionV relativeFrom="paragraph">
              <wp:posOffset>31750</wp:posOffset>
            </wp:positionV>
            <wp:extent cx="24872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487295" cy="8890"/>
                    </a:xfrm>
                    <a:prstGeom prst="rect">
                      <a:avLst/>
                    </a:prstGeom>
                    <a:noFill/>
                  </pic:spPr>
                </pic:pic>
              </a:graphicData>
            </a:graphic>
          </wp:anchor>
        </w:drawing>
      </w:r>
    </w:p>
    <w:p>
      <w:pPr>
        <w:spacing w:after="0" w:line="53" w:lineRule="exact"/>
        <w:rPr>
          <w:sz w:val="20"/>
          <w:szCs w:val="20"/>
          <w:color w:val="auto"/>
        </w:rPr>
      </w:pPr>
    </w:p>
    <w:p>
      <w:pPr>
        <w:ind w:left="714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1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688" w:right="2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Fourth Quarter and Fiscal Year 2019</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238" w:lineRule="exact"/>
        <w:rPr>
          <w:sz w:val="20"/>
          <w:szCs w:val="20"/>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Revenue: $745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Gross Margin: 43.2% GAAP gross margin; 64.5% non-GAAP gross margin</w:t>
      </w:r>
    </w:p>
    <w:p>
      <w:pPr>
        <w:spacing w:after="0" w:line="9" w:lineRule="exact"/>
        <w:rPr>
          <w:rFonts w:ascii="Arial" w:cs="Arial" w:eastAsia="Arial" w:hAnsi="Arial"/>
          <w:sz w:val="18"/>
          <w:szCs w:val="18"/>
          <w:color w:val="auto"/>
        </w:rPr>
      </w:pPr>
    </w:p>
    <w:p>
      <w:pPr>
        <w:ind w:left="660" w:right="620" w:hanging="328"/>
        <w:spacing w:after="0" w:line="250" w:lineRule="auto"/>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Diluted loss per share: $(0.40) GAAP diluted loss per share from continuing operations; $0.25 non-GAAP diluted income per share from continuing operations</w:t>
      </w: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Cash and short-term investments: $582 million</w:t>
      </w:r>
    </w:p>
    <w:p>
      <w:pPr>
        <w:spacing w:after="0" w:line="328" w:lineRule="exact"/>
        <w:rPr>
          <w:sz w:val="20"/>
          <w:szCs w:val="20"/>
          <w:color w:val="auto"/>
        </w:rPr>
      </w:pPr>
    </w:p>
    <w:p>
      <w:pPr>
        <w:ind w:right="140"/>
        <w:spacing w:after="0" w:line="266" w:lineRule="auto"/>
        <w:rPr>
          <w:sz w:val="20"/>
          <w:szCs w:val="20"/>
          <w:color w:val="auto"/>
        </w:rPr>
      </w:pPr>
      <w:r>
        <w:rPr>
          <w:rFonts w:ascii="Arial" w:cs="Arial" w:eastAsia="Arial" w:hAnsi="Arial"/>
          <w:sz w:val="18"/>
          <w:szCs w:val="18"/>
          <w:b w:val="1"/>
          <w:bCs w:val="1"/>
          <w:color w:val="auto"/>
        </w:rPr>
        <w:t xml:space="preserve">Santa Clara, Calif. (March 7, 2019)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fourth fiscal quarter and the full fiscal year, ended February 2, 2019. Revenue for the fourth quarter of fiscal 2019 was $745 million.</w:t>
      </w:r>
    </w:p>
    <w:p>
      <w:pPr>
        <w:spacing w:after="0" w:line="72"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color w:val="auto"/>
        </w:rPr>
        <w:t>GAAP net loss from continuing operations for the fourth quarter of fiscal 2019 was $(261) million, or $(0.40) per diluted share. Non-GAAP net income from continuing operations for the fourth quarter of fiscal 2019 was $168 million, or $0.25 per diluted share. Cash flow from operations for the fourth quarter was $107 million.</w:t>
      </w:r>
    </w:p>
    <w:p>
      <w:pPr>
        <w:spacing w:after="0" w:line="181" w:lineRule="exact"/>
        <w:rPr>
          <w:sz w:val="20"/>
          <w:szCs w:val="20"/>
          <w:color w:val="auto"/>
        </w:rPr>
      </w:pPr>
    </w:p>
    <w:p>
      <w:pPr>
        <w:jc w:val="both"/>
        <w:ind w:right="280"/>
        <w:spacing w:after="0" w:line="264" w:lineRule="auto"/>
        <w:rPr>
          <w:sz w:val="20"/>
          <w:szCs w:val="20"/>
          <w:color w:val="auto"/>
        </w:rPr>
      </w:pPr>
      <w:r>
        <w:rPr>
          <w:rFonts w:ascii="Arial" w:cs="Arial" w:eastAsia="Arial" w:hAnsi="Arial"/>
          <w:sz w:val="18"/>
          <w:szCs w:val="18"/>
          <w:color w:val="auto"/>
        </w:rPr>
        <w:t>Revenue for fiscal 2019 was $2.9 billion. GAAP net loss from continuing operations for fiscal 2019 was $(179) million, or $(0.30) per diluted share. Non-GAAP net income from continuing operations for fiscal 2019 was $716 million, or $1.19 per diluted share. Cash flow from operations for fiscal 2019 was $597 million</w:t>
      </w:r>
    </w:p>
    <w:p>
      <w:pPr>
        <w:spacing w:after="0" w:line="289" w:lineRule="exact"/>
        <w:rPr>
          <w:sz w:val="20"/>
          <w:szCs w:val="20"/>
          <w:color w:val="auto"/>
        </w:rPr>
      </w:pPr>
    </w:p>
    <w:p>
      <w:pPr>
        <w:ind w:right="300"/>
        <w:spacing w:after="0" w:line="257" w:lineRule="auto"/>
        <w:rPr>
          <w:sz w:val="20"/>
          <w:szCs w:val="20"/>
          <w:color w:val="auto"/>
        </w:rPr>
      </w:pPr>
      <w:r>
        <w:rPr>
          <w:rFonts w:ascii="Arial" w:cs="Arial" w:eastAsia="Arial" w:hAnsi="Arial"/>
          <w:sz w:val="18"/>
          <w:szCs w:val="18"/>
          <w:color w:val="auto"/>
        </w:rPr>
        <w:t>“Marvell continued to improve its financial performance in fiscal 2019, while also increasing scale and diversifying its business through the acquisition of Cavium. While macroeconomic conditions are currently impacting our first quarter outlook, we expect growth to resume in the second quarter,” said Matt Murphy, Marvell's President and Chief Executive Officer. “Looking ahead, we are excited about our expanding position in the 5G market, including our recently announced partnership with Samsung, which includes multiple generations of baseband and control plane processors for both LTE and 5G base stations.”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Quarter of Fiscal 2020 Financial Outlook</w:t>
      </w:r>
    </w:p>
    <w:p>
      <w:pPr>
        <w:spacing w:after="0" w:line="135"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is expected to be $650 million +/- 3%.</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approximately 55%.</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64%.</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$378 million to $388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$295 million to $300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loss per share from continuing operations is expected to be $(0.09) to $(0.05)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income per share from continuing operations is expected to be $0.12 to $0.16 per share.</w:t>
      </w:r>
    </w:p>
    <w:p>
      <w:pPr>
        <w:sectPr>
          <w:pgSz w:w="11900" w:h="16838" w:orient="portrait"/>
          <w:cols w:equalWidth="0" w:num="1">
            <w:col w:w="11420"/>
          </w:cols>
          <w:pgMar w:left="240" w:top="121"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spacing w:after="0" w:line="312" w:lineRule="auto"/>
        <w:rPr>
          <w:sz w:val="20"/>
          <w:szCs w:val="20"/>
          <w:color w:val="auto"/>
        </w:rPr>
      </w:pPr>
      <w:r>
        <w:rPr>
          <w:rFonts w:ascii="Arial" w:cs="Arial" w:eastAsia="Arial" w:hAnsi="Arial"/>
          <w:sz w:val="16"/>
          <w:szCs w:val="16"/>
          <w:color w:val="auto"/>
        </w:rPr>
        <w:t>Marvell will conduct a conference call on Thursday, March 7, 2019 at 1:45 p.m. Pacific Time to discuss results for the fourth quarter and full fiscal year 2019. Interested parties may join the conference call by dialing 1-844-647-5488 or 1-615-247-0258, passcode 1885417. The call will be webcast and can be accessed at the Marvell Investor Relations website at http://investor.marvell.com/ with a replay available following the call until Friday, March 15, 2019.</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280"/>
        <w:spacing w:after="0" w:line="312" w:lineRule="auto"/>
        <w:rPr>
          <w:sz w:val="20"/>
          <w:szCs w:val="20"/>
          <w:color w:val="auto"/>
        </w:rPr>
      </w:pPr>
      <w:r>
        <w:rPr>
          <w:rFonts w:ascii="Arial" w:cs="Arial" w:eastAsia="Arial" w:hAnsi="Arial"/>
          <w:sz w:val="16"/>
          <w:szCs w:val="16"/>
          <w:color w:val="auto"/>
        </w:rPr>
        <w:t>Non-GAAP financial measures exclude the effect of share-based compensation expense, amortization of the inventory fair value step up,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business.</w:t>
      </w:r>
    </w:p>
    <w:p>
      <w:pPr>
        <w:spacing w:after="0" w:line="39"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fourth quarter of fiscal 2019, a non-GAAP tax rate of 4% has been applied to the non-GAAP financial results.</w:t>
      </w:r>
    </w:p>
    <w:p>
      <w:pPr>
        <w:spacing w:after="0" w:line="85"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47"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40" w:hanging="328"/>
        <w:spacing w:after="0" w:line="261"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364" w:right="25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66"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Marvell’s expectations regarding its first quarter of fiscal 2020 financial outlook, Marvell's expectations regarding growth in the second quarter of fiscal 2020, Marvell's position in the 5G market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effect of the consummation of our acquisition of Cavium on the combined company's business relationships, operating results, and business generally; potential difficulties in Cavium employee retention as a result of the transaction; the ability of Marvell to successfully integrate Cavium’s operations and product lines; the ability of Marvell to implement its plans, forecasts, and other expectations with respect to Cavium’s business and realize the anticipated synergies and cost savings in the time frame anticipated or at all, and identify and realize additional opportunities;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to define, design and develop products for the 5G market; Marvell's ability to market its 5G products to Tier 1 infrastructure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continued economic volatility in either domestic or foreign markets; the effects of transitioning to smaller geometry process technologies; the risks associated with manufacturing and selling a majority of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potential acquisitions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Quarterly Report on Form 10-Q for the fiscal quarter ended November 3, 2018 as filed with the SEC on December 10, 2018,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364"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240" w:top="364" w:right="47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1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4"/>
          </w:tcPr>
          <w:p>
            <w:pPr>
              <w:jc w:val="right"/>
              <w:ind w:right="851"/>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52"/>
        </w:trPr>
        <w:tc>
          <w:tcPr>
            <w:tcW w:w="44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3"/>
                <w:szCs w:val="13"/>
                <w:color w:val="auto"/>
              </w:rPr>
            </w:pPr>
          </w:p>
        </w:tc>
        <w:tc>
          <w:tcPr>
            <w:tcW w:w="126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November 3,</w:t>
            </w:r>
          </w:p>
        </w:tc>
        <w:tc>
          <w:tcPr>
            <w:tcW w:w="180" w:type="dxa"/>
            <w:vAlign w:val="bottom"/>
          </w:tcPr>
          <w:p>
            <w:pPr>
              <w:spacing w:after="0"/>
              <w:rPr>
                <w:sz w:val="13"/>
                <w:szCs w:val="13"/>
                <w:color w:val="auto"/>
              </w:rPr>
            </w:pPr>
          </w:p>
        </w:tc>
        <w:tc>
          <w:tcPr>
            <w:tcW w:w="130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February 3,</w:t>
            </w:r>
          </w:p>
        </w:tc>
        <w:tc>
          <w:tcPr>
            <w:tcW w:w="180" w:type="dxa"/>
            <w:vAlign w:val="bottom"/>
          </w:tcPr>
          <w:p>
            <w:pPr>
              <w:spacing w:after="0"/>
              <w:rPr>
                <w:sz w:val="13"/>
                <w:szCs w:val="13"/>
                <w:color w:val="auto"/>
              </w:rPr>
            </w:pPr>
          </w:p>
        </w:tc>
        <w:tc>
          <w:tcPr>
            <w:tcW w:w="118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13"/>
                <w:szCs w:val="13"/>
                <w:color w:val="auto"/>
              </w:rPr>
            </w:pPr>
          </w:p>
        </w:tc>
        <w:tc>
          <w:tcPr>
            <w:tcW w:w="1080" w:type="dxa"/>
            <w:vAlign w:val="bottom"/>
          </w:tcPr>
          <w:p>
            <w:pPr>
              <w:jc w:val="right"/>
              <w:ind w:right="191"/>
              <w:spacing w:after="0" w:line="153" w:lineRule="exact"/>
              <w:rPr>
                <w:sz w:val="20"/>
                <w:szCs w:val="20"/>
                <w:color w:val="auto"/>
              </w:rPr>
            </w:pPr>
            <w:r>
              <w:rPr>
                <w:rFonts w:ascii="Arial" w:cs="Arial" w:eastAsia="Arial" w:hAnsi="Arial"/>
                <w:sz w:val="14"/>
                <w:szCs w:val="14"/>
                <w:b w:val="1"/>
                <w:bCs w:val="1"/>
                <w:color w:val="auto"/>
              </w:rPr>
              <w:t>February 3,</w:t>
            </w:r>
          </w:p>
        </w:tc>
        <w:tc>
          <w:tcPr>
            <w:tcW w:w="0" w:type="dxa"/>
            <w:vAlign w:val="bottom"/>
          </w:tcPr>
          <w:p>
            <w:pPr>
              <w:spacing w:after="0"/>
              <w:rPr>
                <w:sz w:val="1"/>
                <w:szCs w:val="1"/>
                <w:color w:val="auto"/>
              </w:rPr>
            </w:pPr>
          </w:p>
        </w:tc>
      </w:tr>
      <w:tr>
        <w:trPr>
          <w:trHeight w:val="192"/>
        </w:trPr>
        <w:tc>
          <w:tcPr>
            <w:tcW w:w="446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2018</w:t>
            </w:r>
          </w:p>
        </w:tc>
        <w:tc>
          <w:tcPr>
            <w:tcW w:w="2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744,799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851,051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615,409</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2,865,791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2,409,170</w:t>
            </w: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20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422,797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467,464</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241,927</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2"/>
              <w:spacing w:after="0"/>
              <w:rPr>
                <w:sz w:val="20"/>
                <w:szCs w:val="20"/>
                <w:color w:val="auto"/>
              </w:rPr>
            </w:pPr>
            <w:r>
              <w:rPr>
                <w:rFonts w:ascii="Arial" w:cs="Arial" w:eastAsia="Arial" w:hAnsi="Arial"/>
                <w:sz w:val="18"/>
                <w:szCs w:val="18"/>
                <w:color w:val="auto"/>
              </w:rPr>
              <w:t>1,407,399</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947,230</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0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322,002</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383,587</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373,482</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1,458,392</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1,461,940</w:t>
            </w:r>
          </w:p>
        </w:tc>
        <w:tc>
          <w:tcPr>
            <w:tcW w:w="0" w:type="dxa"/>
            <w:vAlign w:val="bottom"/>
          </w:tcPr>
          <w:p>
            <w:pPr>
              <w:spacing w:after="0"/>
              <w:rPr>
                <w:sz w:val="1"/>
                <w:szCs w:val="1"/>
                <w:color w:val="auto"/>
              </w:rPr>
            </w:pPr>
          </w:p>
        </w:tc>
      </w:tr>
      <w:tr>
        <w:trPr>
          <w:trHeight w:val="277"/>
        </w:trPr>
        <w:tc>
          <w:tcPr>
            <w:tcW w:w="446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16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2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20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256,102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264,888</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180,000</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2"/>
              <w:spacing w:after="0"/>
              <w:rPr>
                <w:sz w:val="20"/>
                <w:szCs w:val="20"/>
                <w:color w:val="auto"/>
              </w:rPr>
            </w:pPr>
            <w:r>
              <w:rPr>
                <w:rFonts w:ascii="Arial" w:cs="Arial" w:eastAsia="Arial" w:hAnsi="Arial"/>
                <w:sz w:val="18"/>
                <w:szCs w:val="18"/>
                <w:color w:val="auto"/>
              </w:rPr>
              <w:t>914,009</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714,444</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2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106,168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112,178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68,291</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424,360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238,166</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Litigation settlement (a)</w:t>
            </w:r>
          </w:p>
        </w:tc>
        <w:tc>
          <w:tcPr>
            <w:tcW w:w="20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74,385</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74,385</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charges (gain)</w:t>
            </w:r>
          </w:p>
        </w:tc>
        <w:tc>
          <w:tcPr>
            <w:tcW w:w="20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12,740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27,031</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(3,205)</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76,753</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5,250</w:t>
            </w:r>
          </w:p>
        </w:tc>
        <w:tc>
          <w:tcPr>
            <w:tcW w:w="0" w:type="dxa"/>
            <w:vAlign w:val="bottom"/>
          </w:tcPr>
          <w:p>
            <w:pPr>
              <w:spacing w:after="0"/>
              <w:rPr>
                <w:sz w:val="1"/>
                <w:szCs w:val="1"/>
                <w:color w:val="auto"/>
              </w:rPr>
            </w:pPr>
          </w:p>
        </w:tc>
      </w:tr>
      <w:tr>
        <w:trPr>
          <w:trHeight w:val="237"/>
        </w:trPr>
        <w:tc>
          <w:tcPr>
            <w:tcW w:w="4460" w:type="dxa"/>
            <w:vAlign w:val="bottom"/>
          </w:tcPr>
          <w:p>
            <w:pPr>
              <w:ind w:left="900"/>
              <w:spacing w:after="0"/>
              <w:rPr>
                <w:sz w:val="20"/>
                <w:szCs w:val="20"/>
                <w:color w:val="auto"/>
              </w:rPr>
            </w:pPr>
            <w:r>
              <w:rPr>
                <w:rFonts w:ascii="Arial" w:cs="Arial" w:eastAsia="Arial" w:hAnsi="Arial"/>
                <w:sz w:val="18"/>
                <w:szCs w:val="18"/>
                <w:color w:val="auto"/>
              </w:rPr>
              <w:t>Total operating expenses</w:t>
            </w:r>
          </w:p>
        </w:tc>
        <w:tc>
          <w:tcPr>
            <w:tcW w:w="20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375,010</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404,097</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319,471</w:t>
            </w:r>
          </w:p>
        </w:tc>
        <w:tc>
          <w:tcPr>
            <w:tcW w:w="2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1,415,122</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1,032,245</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 from continuing operations</w:t>
            </w:r>
          </w:p>
        </w:tc>
        <w:tc>
          <w:tcPr>
            <w:tcW w:w="2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(53,008)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(20,510)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54,011</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43,270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429,695</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Interest income</w:t>
            </w:r>
          </w:p>
        </w:tc>
        <w:tc>
          <w:tcPr>
            <w:tcW w:w="20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1,236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1,046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5,738</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2"/>
              <w:spacing w:after="0"/>
              <w:rPr>
                <w:sz w:val="20"/>
                <w:szCs w:val="20"/>
                <w:color w:val="auto"/>
              </w:rPr>
            </w:pPr>
            <w:r>
              <w:rPr>
                <w:rFonts w:ascii="Arial" w:cs="Arial" w:eastAsia="Arial" w:hAnsi="Arial"/>
                <w:sz w:val="18"/>
                <w:szCs w:val="18"/>
                <w:color w:val="auto"/>
              </w:rPr>
              <w:t>11,926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17,381</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Interest expense</w:t>
            </w:r>
          </w:p>
        </w:tc>
        <w:tc>
          <w:tcPr>
            <w:tcW w:w="2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(21,953)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(22,370)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(292)</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(60,362)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(685)</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Other income (loss), net</w:t>
            </w:r>
          </w:p>
        </w:tc>
        <w:tc>
          <w:tcPr>
            <w:tcW w:w="20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4,377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(2,628)</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(658)</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2"/>
              <w:spacing w:after="0"/>
              <w:rPr>
                <w:sz w:val="20"/>
                <w:szCs w:val="20"/>
                <w:color w:val="auto"/>
              </w:rPr>
            </w:pPr>
            <w:r>
              <w:rPr>
                <w:rFonts w:ascii="Arial" w:cs="Arial" w:eastAsia="Arial" w:hAnsi="Arial"/>
                <w:sz w:val="18"/>
                <w:szCs w:val="18"/>
                <w:color w:val="auto"/>
              </w:rPr>
              <w:t>519</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4,813</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Interest and other income (loss), net</w:t>
            </w:r>
          </w:p>
        </w:tc>
        <w:tc>
          <w:tcPr>
            <w:tcW w:w="20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(16,340)</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(23,952)</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4,788</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(47,917)</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21,509</w:t>
            </w:r>
          </w:p>
        </w:tc>
        <w:tc>
          <w:tcPr>
            <w:tcW w:w="0" w:type="dxa"/>
            <w:vAlign w:val="bottom"/>
          </w:tcPr>
          <w:p>
            <w:pPr>
              <w:spacing w:after="0"/>
              <w:rPr>
                <w:sz w:val="1"/>
                <w:szCs w:val="1"/>
                <w:color w:val="auto"/>
              </w:rPr>
            </w:pPr>
          </w:p>
        </w:tc>
      </w:tr>
      <w:tr>
        <w:trPr>
          <w:trHeight w:val="209"/>
        </w:trPr>
        <w:tc>
          <w:tcPr>
            <w:tcW w:w="4460" w:type="dxa"/>
            <w:vAlign w:val="bottom"/>
          </w:tcPr>
          <w:p>
            <w:pPr>
              <w:ind w:left="40"/>
              <w:spacing w:after="0"/>
              <w:rPr>
                <w:sz w:val="20"/>
                <w:szCs w:val="20"/>
                <w:color w:val="auto"/>
              </w:rPr>
            </w:pPr>
            <w:r>
              <w:rPr>
                <w:rFonts w:ascii="Arial" w:cs="Arial" w:eastAsia="Arial" w:hAnsi="Arial"/>
                <w:sz w:val="18"/>
                <w:szCs w:val="18"/>
                <w:color w:val="auto"/>
                <w:w w:val="99"/>
              </w:rPr>
              <w:t>Income (loss) from continuing operations before income</w:t>
            </w:r>
          </w:p>
        </w:tc>
        <w:tc>
          <w:tcPr>
            <w:tcW w:w="20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460" w:type="dxa"/>
            <w:vAlign w:val="bottom"/>
          </w:tcPr>
          <w:p>
            <w:pPr>
              <w:ind w:left="260"/>
              <w:spacing w:after="0"/>
              <w:rPr>
                <w:sz w:val="20"/>
                <w:szCs w:val="20"/>
                <w:color w:val="auto"/>
              </w:rPr>
            </w:pPr>
            <w:r>
              <w:rPr>
                <w:rFonts w:ascii="Arial" w:cs="Arial" w:eastAsia="Arial" w:hAnsi="Arial"/>
                <w:sz w:val="18"/>
                <w:szCs w:val="18"/>
                <w:color w:val="auto"/>
              </w:rPr>
              <w:t>taxes</w:t>
            </w:r>
          </w:p>
        </w:tc>
        <w:tc>
          <w:tcPr>
            <w:tcW w:w="200" w:type="dxa"/>
            <w:vAlign w:val="bottom"/>
          </w:tcPr>
          <w:p>
            <w:pPr>
              <w:spacing w:after="0"/>
              <w:rPr>
                <w:sz w:val="20"/>
                <w:szCs w:val="20"/>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(69,348)</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(44,462)</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58,799</w:t>
            </w: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(4,647)</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451,204</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20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191,350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9,305</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10,036</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174,447</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18,062</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rPr>
              <w:t>Income (loss) from continuing operations, net of tax</w:t>
            </w:r>
          </w:p>
        </w:tc>
        <w:tc>
          <w:tcPr>
            <w:tcW w:w="20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(260,698)</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(53,767)</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48,763</w:t>
            </w:r>
          </w:p>
        </w:tc>
        <w:tc>
          <w:tcPr>
            <w:tcW w:w="2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(179,094)</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433,142</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discontinued operations, net of tax</w:t>
            </w:r>
          </w:p>
        </w:tc>
        <w:tc>
          <w:tcPr>
            <w:tcW w:w="20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87,689</w:t>
            </w:r>
          </w:p>
        </w:tc>
        <w:tc>
          <w:tcPr>
            <w:tcW w:w="0" w:type="dxa"/>
            <w:vAlign w:val="bottom"/>
          </w:tcPr>
          <w:p>
            <w:pPr>
              <w:spacing w:after="0"/>
              <w:rPr>
                <w:sz w:val="1"/>
                <w:szCs w:val="1"/>
                <w:color w:val="auto"/>
              </w:rPr>
            </w:pPr>
          </w:p>
        </w:tc>
      </w:tr>
      <w:tr>
        <w:trPr>
          <w:trHeight w:val="297"/>
        </w:trPr>
        <w:tc>
          <w:tcPr>
            <w:tcW w:w="44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w:t>
            </w: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(260,698)</w:t>
            </w:r>
          </w:p>
        </w:tc>
        <w:tc>
          <w:tcPr>
            <w:tcW w:w="120" w:type="dxa"/>
            <w:vAlign w:val="bottom"/>
            <w:tcBorders>
              <w:bottom w:val="single" w:sz="8" w:color="CCEEFF"/>
            </w:tcBorders>
          </w:tcPr>
          <w:p>
            <w:pPr>
              <w:spacing w:after="0"/>
              <w:rPr>
                <w:sz w:val="24"/>
                <w:szCs w:val="24"/>
                <w:color w:val="auto"/>
              </w:rPr>
            </w:pPr>
          </w:p>
        </w:tc>
        <w:tc>
          <w:tcPr>
            <w:tcW w:w="20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(53,767)</w:t>
            </w:r>
          </w:p>
        </w:tc>
        <w:tc>
          <w:tcPr>
            <w:tcW w:w="100" w:type="dxa"/>
            <w:vAlign w:val="bottom"/>
            <w:tcBorders>
              <w:bottom w:val="single" w:sz="8" w:color="CCEEFF"/>
            </w:tcBorders>
          </w:tcPr>
          <w:p>
            <w:pPr>
              <w:spacing w:after="0"/>
              <w:rPr>
                <w:sz w:val="24"/>
                <w:szCs w:val="24"/>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48,763</w:t>
            </w:r>
          </w:p>
        </w:tc>
        <w:tc>
          <w:tcPr>
            <w:tcW w:w="220" w:type="dxa"/>
            <w:vAlign w:val="bottom"/>
            <w:tcBorders>
              <w:bottom w:val="single" w:sz="8" w:color="CCEEFF"/>
            </w:tcBorders>
          </w:tcPr>
          <w:p>
            <w:pPr>
              <w:spacing w:after="0"/>
              <w:rPr>
                <w:sz w:val="24"/>
                <w:szCs w:val="24"/>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(179,094)</w:t>
            </w:r>
          </w:p>
        </w:tc>
        <w:tc>
          <w:tcPr>
            <w:tcW w:w="100" w:type="dxa"/>
            <w:vAlign w:val="bottom"/>
            <w:tcBorders>
              <w:bottom w:val="single" w:sz="8" w:color="CCEEFF"/>
            </w:tcBorders>
          </w:tcPr>
          <w:p>
            <w:pPr>
              <w:spacing w:after="0"/>
              <w:rPr>
                <w:sz w:val="24"/>
                <w:szCs w:val="24"/>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520,831</w:t>
            </w:r>
          </w:p>
        </w:tc>
        <w:tc>
          <w:tcPr>
            <w:tcW w:w="0" w:type="dxa"/>
            <w:vAlign w:val="bottom"/>
          </w:tcPr>
          <w:p>
            <w:pPr>
              <w:spacing w:after="0"/>
              <w:rPr>
                <w:sz w:val="1"/>
                <w:szCs w:val="1"/>
                <w:color w:val="auto"/>
              </w:rPr>
            </w:pPr>
          </w:p>
        </w:tc>
      </w:tr>
      <w:tr>
        <w:trPr>
          <w:trHeight w:val="284"/>
        </w:trPr>
        <w:tc>
          <w:tcPr>
            <w:tcW w:w="446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Net income (loss) per share — Basic:</w:t>
            </w:r>
          </w:p>
        </w:tc>
        <w:tc>
          <w:tcPr>
            <w:tcW w:w="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5"/>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Continuing operations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(0.40)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0.10</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0.87</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color w:val="auto"/>
              </w:rPr>
              <w:t>Discontinued operations</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60" w:type="dxa"/>
            <w:vAlign w:val="bottom"/>
            <w:vMerge w:val="continue"/>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(loss) per share - Basic</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(0.40)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0.10</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44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Diluted:</w:t>
            </w:r>
          </w:p>
        </w:tc>
        <w:tc>
          <w:tcPr>
            <w:tcW w:w="2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Continuing operations</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(0.40)</w:t>
            </w:r>
          </w:p>
        </w:tc>
        <w:tc>
          <w:tcPr>
            <w:tcW w:w="120" w:type="dxa"/>
            <w:vAlign w:val="bottom"/>
          </w:tcPr>
          <w:p>
            <w:pPr>
              <w:spacing w:after="0"/>
              <w:rPr>
                <w:sz w:val="21"/>
                <w:szCs w:val="21"/>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0.10</w:t>
            </w:r>
          </w:p>
        </w:tc>
        <w:tc>
          <w:tcPr>
            <w:tcW w:w="2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0.85</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60"/>
              <w:spacing w:after="0" w:line="196" w:lineRule="exact"/>
              <w:rPr>
                <w:sz w:val="20"/>
                <w:szCs w:val="20"/>
                <w:color w:val="auto"/>
              </w:rPr>
            </w:pPr>
            <w:r>
              <w:rPr>
                <w:rFonts w:ascii="Arial" w:cs="Arial" w:eastAsia="Arial" w:hAnsi="Arial"/>
                <w:sz w:val="18"/>
                <w:szCs w:val="18"/>
                <w:color w:val="auto"/>
              </w:rPr>
              <w:t>Discontinued operations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0.17</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(loss) per share - Diluted</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60" w:type="dxa"/>
            <w:vAlign w:val="bottom"/>
            <w:vMerge w:val="continue"/>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(0.40)</w:t>
            </w:r>
          </w:p>
        </w:tc>
        <w:tc>
          <w:tcPr>
            <w:tcW w:w="120" w:type="dxa"/>
            <w:vAlign w:val="bottom"/>
          </w:tcPr>
          <w:p>
            <w:pPr>
              <w:spacing w:after="0"/>
              <w:rPr>
                <w:sz w:val="19"/>
                <w:szCs w:val="19"/>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0.10</w:t>
            </w:r>
          </w:p>
        </w:tc>
        <w:tc>
          <w:tcPr>
            <w:tcW w:w="22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1.02</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78"/>
        </w:trPr>
        <w:tc>
          <w:tcPr>
            <w:tcW w:w="446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Basic</w:t>
            </w:r>
          </w:p>
        </w:tc>
        <w:tc>
          <w:tcPr>
            <w:tcW w:w="2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657,835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657,519</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493,663</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591,232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498,008</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Diluted</w:t>
            </w:r>
          </w:p>
        </w:tc>
        <w:tc>
          <w:tcPr>
            <w:tcW w:w="20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657,835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657,519</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506,197</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2"/>
              <w:spacing w:after="0"/>
              <w:rPr>
                <w:sz w:val="20"/>
                <w:szCs w:val="20"/>
                <w:color w:val="auto"/>
              </w:rPr>
            </w:pPr>
            <w:r>
              <w:rPr>
                <w:rFonts w:ascii="Arial" w:cs="Arial" w:eastAsia="Arial" w:hAnsi="Arial"/>
                <w:sz w:val="18"/>
                <w:szCs w:val="18"/>
                <w:color w:val="auto"/>
              </w:rPr>
              <w:t>591,232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509,667</w:t>
            </w:r>
          </w:p>
        </w:tc>
        <w:tc>
          <w:tcPr>
            <w:tcW w:w="0" w:type="dxa"/>
            <w:vAlign w:val="bottom"/>
          </w:tcPr>
          <w:p>
            <w:pPr>
              <w:spacing w:after="0"/>
              <w:rPr>
                <w:sz w:val="1"/>
                <w:szCs w:val="1"/>
                <w:color w:val="auto"/>
              </w:rPr>
            </w:pPr>
          </w:p>
        </w:tc>
      </w:tr>
    </w:tbl>
    <w:p>
      <w:pPr>
        <w:spacing w:after="0" w:line="391" w:lineRule="exact"/>
        <w:rPr>
          <w:sz w:val="20"/>
          <w:szCs w:val="20"/>
          <w:color w:val="auto"/>
        </w:rPr>
      </w:pPr>
    </w:p>
    <w:p>
      <w:pPr>
        <w:ind w:left="500" w:hanging="465"/>
        <w:spacing w:after="0"/>
        <w:tabs>
          <w:tab w:leader="none" w:pos="50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Represents legal settlement and associated costs related to Luna shareholder litigation matter.</w:t>
      </w:r>
    </w:p>
    <w:p>
      <w:pPr>
        <w:sectPr>
          <w:pgSz w:w="11900" w:h="16838" w:orient="portrait"/>
          <w:cols w:equalWidth="0" w:num="1">
            <w:col w:w="11420"/>
          </w:cols>
          <w:pgMar w:left="240" w:top="364" w:right="239" w:bottom="1440" w:gutter="0" w:footer="0" w:header="0"/>
        </w:sectPr>
      </w:pPr>
    </w:p>
    <w:bookmarkStart w:id="8" w:name="page9"/>
    <w:bookmarkEnd w:id="8"/>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4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60" w:type="dxa"/>
            <w:vAlign w:val="bottom"/>
          </w:tcPr>
          <w:p>
            <w:pPr>
              <w:spacing w:after="0"/>
              <w:rPr>
                <w:sz w:val="14"/>
                <w:szCs w:val="14"/>
                <w:color w:val="auto"/>
              </w:rPr>
            </w:pPr>
          </w:p>
        </w:tc>
        <w:tc>
          <w:tcPr>
            <w:tcW w:w="1300" w:type="dxa"/>
            <w:vAlign w:val="bottom"/>
          </w:tcPr>
          <w:p>
            <w:pPr>
              <w:jc w:val="right"/>
              <w:ind w:right="351"/>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79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2019</w:t>
            </w:r>
          </w:p>
        </w:tc>
        <w:tc>
          <w:tcPr>
            <w:tcW w:w="2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51"/>
              <w:spacing w:after="0"/>
              <w:rPr>
                <w:sz w:val="20"/>
                <w:szCs w:val="20"/>
                <w:color w:val="auto"/>
              </w:rPr>
            </w:pPr>
            <w:r>
              <w:rPr>
                <w:rFonts w:ascii="Arial" w:cs="Arial" w:eastAsia="Arial" w:hAnsi="Arial"/>
                <w:sz w:val="14"/>
                <w:szCs w:val="14"/>
                <w:b w:val="1"/>
                <w:bCs w:val="1"/>
                <w:color w:val="auto"/>
              </w:rPr>
              <w:t>2018</w:t>
            </w:r>
          </w:p>
        </w:tc>
      </w:tr>
      <w:tr>
        <w:trPr>
          <w:trHeight w:val="250"/>
        </w:trPr>
        <w:tc>
          <w:tcPr>
            <w:tcW w:w="7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Assets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r>
      <w:tr>
        <w:trPr>
          <w:trHeight w:val="243"/>
        </w:trPr>
        <w:tc>
          <w:tcPr>
            <w:tcW w:w="790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2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888,482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Short-term investments</w:t>
            </w:r>
          </w:p>
        </w:tc>
        <w:tc>
          <w:tcPr>
            <w:tcW w:w="220" w:type="dxa"/>
            <w:vAlign w:val="bottom"/>
          </w:tcPr>
          <w:p>
            <w:pPr>
              <w:spacing w:after="0"/>
              <w:rPr>
                <w:sz w:val="21"/>
                <w:szCs w:val="21"/>
                <w:color w:val="auto"/>
              </w:rPr>
            </w:pPr>
          </w:p>
        </w:tc>
        <w:tc>
          <w:tcPr>
            <w:tcW w:w="14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952,790</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493,122</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280,395</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22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276,005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170,039</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43,721</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41,482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Assets held for sale</w:t>
            </w:r>
          </w:p>
        </w:tc>
        <w:tc>
          <w:tcPr>
            <w:tcW w:w="220" w:type="dxa"/>
            <w:vAlign w:val="bottom"/>
          </w:tcPr>
          <w:p>
            <w:pPr>
              <w:spacing w:after="0"/>
              <w:rPr>
                <w:sz w:val="21"/>
                <w:szCs w:val="21"/>
                <w:color w:val="auto"/>
              </w:rPr>
            </w:pPr>
          </w:p>
        </w:tc>
        <w:tc>
          <w:tcPr>
            <w:tcW w:w="14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30,767</w:t>
            </w:r>
          </w:p>
        </w:tc>
      </w:tr>
      <w:tr>
        <w:trPr>
          <w:trHeight w:val="27"/>
        </w:trPr>
        <w:tc>
          <w:tcPr>
            <w:tcW w:w="79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r>
      <w:tr>
        <w:trPr>
          <w:trHeight w:val="244"/>
        </w:trPr>
        <w:tc>
          <w:tcPr>
            <w:tcW w:w="7900" w:type="dxa"/>
            <w:vAlign w:val="bottom"/>
            <w:tcBorders>
              <w:bottom w:val="single" w:sz="8" w:color="CCEEFF"/>
            </w:tcBorders>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1,395,258</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2,363,955</w:t>
            </w:r>
          </w:p>
        </w:tc>
      </w:tr>
      <w:tr>
        <w:trPr>
          <w:trHeight w:val="243"/>
        </w:trPr>
        <w:tc>
          <w:tcPr>
            <w:tcW w:w="790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22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318,978</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202,222</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5,494,505</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1,993,310</w:t>
            </w:r>
          </w:p>
        </w:tc>
      </w:tr>
      <w:tr>
        <w:trPr>
          <w:trHeight w:val="243"/>
        </w:trPr>
        <w:tc>
          <w:tcPr>
            <w:tcW w:w="790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22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2,560,682</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70"/>
        </w:trPr>
        <w:tc>
          <w:tcPr>
            <w:tcW w:w="7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2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247,329</w:t>
            </w:r>
          </w:p>
        </w:tc>
        <w:tc>
          <w:tcPr>
            <w:tcW w:w="2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148,800</w:t>
            </w:r>
          </w:p>
        </w:tc>
      </w:tr>
      <w:tr>
        <w:trPr>
          <w:trHeight w:val="237"/>
        </w:trPr>
        <w:tc>
          <w:tcPr>
            <w:tcW w:w="790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10,016,752</w:t>
            </w:r>
          </w:p>
        </w:tc>
        <w:tc>
          <w:tcPr>
            <w:tcW w:w="22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4,708,287</w:t>
            </w:r>
          </w:p>
        </w:tc>
      </w:tr>
      <w:tr>
        <w:trPr>
          <w:trHeight w:val="67"/>
        </w:trPr>
        <w:tc>
          <w:tcPr>
            <w:tcW w:w="790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300" w:type="dxa"/>
            <w:vAlign w:val="bottom"/>
            <w:tcBorders>
              <w:bottom w:val="single" w:sz="8" w:color="auto"/>
            </w:tcBorders>
          </w:tcPr>
          <w:p>
            <w:pPr>
              <w:spacing w:after="0"/>
              <w:rPr>
                <w:sz w:val="5"/>
                <w:szCs w:val="5"/>
                <w:color w:val="auto"/>
              </w:rPr>
            </w:pPr>
          </w:p>
        </w:tc>
      </w:tr>
      <w:tr>
        <w:trPr>
          <w:trHeight w:val="264"/>
        </w:trPr>
        <w:tc>
          <w:tcPr>
            <w:tcW w:w="790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2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260" w:type="dxa"/>
            <w:vAlign w:val="bottom"/>
            <w:shd w:val="clear" w:color="auto" w:fill="CCEEFF"/>
          </w:tcPr>
          <w:p>
            <w:pPr>
              <w:spacing w:after="0"/>
              <w:rPr>
                <w:sz w:val="22"/>
                <w:szCs w:val="22"/>
                <w:color w:val="auto"/>
              </w:rPr>
            </w:pPr>
          </w:p>
        </w:tc>
        <w:tc>
          <w:tcPr>
            <w:tcW w:w="1300" w:type="dxa"/>
            <w:vAlign w:val="bottom"/>
            <w:shd w:val="clear" w:color="auto" w:fill="CCEEFF"/>
          </w:tcPr>
          <w:p>
            <w:pPr>
              <w:spacing w:after="0"/>
              <w:rPr>
                <w:sz w:val="22"/>
                <w:szCs w:val="22"/>
                <w:color w:val="auto"/>
              </w:rPr>
            </w:pPr>
          </w:p>
        </w:tc>
      </w:tr>
      <w:tr>
        <w:trPr>
          <w:trHeight w:val="243"/>
        </w:trPr>
        <w:tc>
          <w:tcPr>
            <w:tcW w:w="7900" w:type="dxa"/>
            <w:vAlign w:val="bottom"/>
          </w:tcPr>
          <w:p>
            <w:pPr>
              <w:ind w:left="20"/>
              <w:spacing w:after="0"/>
              <w:rPr>
                <w:sz w:val="20"/>
                <w:szCs w:val="20"/>
                <w:color w:val="auto"/>
              </w:rPr>
            </w:pPr>
            <w:r>
              <w:rPr>
                <w:rFonts w:ascii="Arial" w:cs="Arial" w:eastAsia="Arial" w:hAnsi="Arial"/>
                <w:sz w:val="18"/>
                <w:szCs w:val="18"/>
                <w:b w:val="1"/>
                <w:bCs w:val="1"/>
                <w:color w:val="auto"/>
              </w:rPr>
              <w:t>Liabilities and Shareholders’ Equity</w:t>
            </w:r>
          </w:p>
        </w:tc>
        <w:tc>
          <w:tcPr>
            <w:tcW w:w="2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Current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Accounts payable</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185,362</w:t>
            </w:r>
          </w:p>
        </w:tc>
        <w:tc>
          <w:tcPr>
            <w:tcW w:w="22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145,236</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330,594</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86,958</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Accrued employee compensation</w:t>
            </w:r>
          </w:p>
        </w:tc>
        <w:tc>
          <w:tcPr>
            <w:tcW w:w="22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115,925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127,711</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7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w:t>
            </w:r>
          </w:p>
        </w:tc>
        <w:tc>
          <w:tcPr>
            <w:tcW w:w="2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4,915</w:t>
            </w:r>
          </w:p>
        </w:tc>
        <w:tc>
          <w:tcPr>
            <w:tcW w:w="2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61,237</w:t>
            </w:r>
          </w:p>
        </w:tc>
      </w:tr>
      <w:tr>
        <w:trPr>
          <w:trHeight w:val="237"/>
        </w:trPr>
        <w:tc>
          <w:tcPr>
            <w:tcW w:w="790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2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636,796</w:t>
            </w:r>
          </w:p>
        </w:tc>
        <w:tc>
          <w:tcPr>
            <w:tcW w:w="2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421,142</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Long-term debt</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1,732,699</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w:t>
            </w:r>
          </w:p>
        </w:tc>
      </w:tr>
      <w:tr>
        <w:trPr>
          <w:trHeight w:val="243"/>
        </w:trPr>
        <w:tc>
          <w:tcPr>
            <w:tcW w:w="7900" w:type="dxa"/>
            <w:vAlign w:val="bottom"/>
          </w:tcPr>
          <w:p>
            <w:pPr>
              <w:ind w:left="20"/>
              <w:spacing w:after="0"/>
              <w:rPr>
                <w:sz w:val="20"/>
                <w:szCs w:val="20"/>
                <w:color w:val="auto"/>
              </w:rPr>
            </w:pPr>
            <w:r>
              <w:rPr>
                <w:rFonts w:ascii="Arial" w:cs="Arial" w:eastAsia="Arial" w:hAnsi="Arial"/>
                <w:sz w:val="18"/>
                <w:szCs w:val="18"/>
                <w:color w:val="auto"/>
              </w:rPr>
              <w:t>Non-current income taxes payable</w:t>
            </w:r>
          </w:p>
        </w:tc>
        <w:tc>
          <w:tcPr>
            <w:tcW w:w="22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59,221</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56,976</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tax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246,252</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52,204</w:t>
            </w:r>
          </w:p>
        </w:tc>
      </w:tr>
      <w:tr>
        <w:trPr>
          <w:trHeight w:val="243"/>
        </w:trPr>
        <w:tc>
          <w:tcPr>
            <w:tcW w:w="7900" w:type="dxa"/>
            <w:vAlign w:val="bottom"/>
          </w:tcPr>
          <w:p>
            <w:pPr>
              <w:ind w:left="20"/>
              <w:spacing w:after="0"/>
              <w:rPr>
                <w:sz w:val="20"/>
                <w:szCs w:val="20"/>
                <w:color w:val="auto"/>
              </w:rPr>
            </w:pPr>
            <w:r>
              <w:rPr>
                <w:rFonts w:ascii="Arial" w:cs="Arial" w:eastAsia="Arial" w:hAnsi="Arial"/>
                <w:sz w:val="18"/>
                <w:szCs w:val="18"/>
                <w:color w:val="auto"/>
              </w:rPr>
              <w:t>Other non-current liabilities</w:t>
            </w:r>
          </w:p>
        </w:tc>
        <w:tc>
          <w:tcPr>
            <w:tcW w:w="22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35,374</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36,552</w:t>
            </w:r>
          </w:p>
        </w:tc>
      </w:tr>
      <w:tr>
        <w:trPr>
          <w:trHeight w:val="27"/>
        </w:trPr>
        <w:tc>
          <w:tcPr>
            <w:tcW w:w="79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r>
      <w:tr>
        <w:trPr>
          <w:trHeight w:val="264"/>
        </w:trPr>
        <w:tc>
          <w:tcPr>
            <w:tcW w:w="7900" w:type="dxa"/>
            <w:vAlign w:val="bottom"/>
            <w:tcBorders>
              <w:bottom w:val="single" w:sz="8" w:color="CCEEFF"/>
            </w:tcBorders>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2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2,710,342</w:t>
            </w:r>
          </w:p>
        </w:tc>
        <w:tc>
          <w:tcPr>
            <w:tcW w:w="2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566,874</w:t>
            </w:r>
          </w:p>
        </w:tc>
      </w:tr>
      <w:tr>
        <w:trPr>
          <w:trHeight w:val="277"/>
        </w:trPr>
        <w:tc>
          <w:tcPr>
            <w:tcW w:w="7900" w:type="dxa"/>
            <w:vAlign w:val="bottom"/>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122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Borders>
              <w:top w:val="single" w:sz="8" w:color="auto"/>
            </w:tcBorders>
          </w:tcPr>
          <w:p>
            <w:pPr>
              <w:spacing w:after="0"/>
              <w:rPr>
                <w:sz w:val="24"/>
                <w:szCs w:val="24"/>
                <w:color w:val="auto"/>
              </w:rPr>
            </w:pPr>
          </w:p>
        </w:tc>
        <w:tc>
          <w:tcPr>
            <w:tcW w:w="1300" w:type="dxa"/>
            <w:vAlign w:val="bottom"/>
            <w:tcBorders>
              <w:top w:val="single" w:sz="8" w:color="auto"/>
            </w:tcBorders>
          </w:tcPr>
          <w:p>
            <w:pPr>
              <w:spacing w:after="0"/>
              <w:rPr>
                <w:sz w:val="24"/>
                <w:szCs w:val="24"/>
                <w:color w:val="auto"/>
              </w:rPr>
            </w:pPr>
          </w:p>
        </w:tc>
      </w:tr>
      <w:tr>
        <w:trPr>
          <w:trHeight w:val="250"/>
        </w:trPr>
        <w:tc>
          <w:tcPr>
            <w:tcW w:w="7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Shareholders’ equity:</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Common stock</w:t>
            </w:r>
          </w:p>
        </w:tc>
        <w:tc>
          <w:tcPr>
            <w:tcW w:w="22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1,317</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00" w:type="dxa"/>
            <w:vAlign w:val="bottom"/>
          </w:tcPr>
          <w:p>
            <w:pPr>
              <w:jc w:val="right"/>
              <w:ind w:right="31"/>
              <w:spacing w:after="0"/>
              <w:rPr>
                <w:sz w:val="20"/>
                <w:szCs w:val="20"/>
                <w:color w:val="auto"/>
              </w:rPr>
            </w:pPr>
            <w:r>
              <w:rPr>
                <w:rFonts w:ascii="Arial" w:cs="Arial" w:eastAsia="Arial" w:hAnsi="Arial"/>
                <w:sz w:val="18"/>
                <w:szCs w:val="18"/>
                <w:color w:val="auto"/>
              </w:rPr>
              <w:t>991</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Additional paid-in capital</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6,188,598</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2,733,292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Accumulated other comprehensive loss</w:t>
            </w:r>
          </w:p>
        </w:tc>
        <w:tc>
          <w:tcPr>
            <w:tcW w:w="220" w:type="dxa"/>
            <w:vAlign w:val="bottom"/>
          </w:tcPr>
          <w:p>
            <w:pPr>
              <w:spacing w:after="0"/>
              <w:rPr>
                <w:sz w:val="21"/>
                <w:szCs w:val="21"/>
                <w:color w:val="auto"/>
              </w:rPr>
            </w:pPr>
          </w:p>
        </w:tc>
        <w:tc>
          <w:tcPr>
            <w:tcW w:w="14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(2,322)</w:t>
            </w:r>
          </w:p>
        </w:tc>
      </w:tr>
      <w:tr>
        <w:trPr>
          <w:trHeight w:val="27"/>
        </w:trPr>
        <w:tc>
          <w:tcPr>
            <w:tcW w:w="7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7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Retained earnings</w:t>
            </w:r>
          </w:p>
        </w:tc>
        <w:tc>
          <w:tcPr>
            <w:tcW w:w="2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1,116,495</w:t>
            </w:r>
          </w:p>
        </w:tc>
        <w:tc>
          <w:tcPr>
            <w:tcW w:w="2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1,409,452</w:t>
            </w:r>
          </w:p>
        </w:tc>
      </w:tr>
      <w:tr>
        <w:trPr>
          <w:trHeight w:val="237"/>
        </w:trPr>
        <w:tc>
          <w:tcPr>
            <w:tcW w:w="790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2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7,306,410</w:t>
            </w:r>
          </w:p>
        </w:tc>
        <w:tc>
          <w:tcPr>
            <w:tcW w:w="2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4,141,413</w:t>
            </w:r>
          </w:p>
        </w:tc>
      </w:tr>
      <w:tr>
        <w:trPr>
          <w:trHeight w:val="27"/>
        </w:trPr>
        <w:tc>
          <w:tcPr>
            <w:tcW w:w="79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r>
      <w:tr>
        <w:trPr>
          <w:trHeight w:val="269"/>
        </w:trPr>
        <w:tc>
          <w:tcPr>
            <w:tcW w:w="7900" w:type="dxa"/>
            <w:vAlign w:val="bottom"/>
            <w:tcBorders>
              <w:bottom w:val="single" w:sz="8" w:color="CCEEFF"/>
            </w:tcBorders>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10,016,752</w:t>
            </w:r>
          </w:p>
        </w:tc>
        <w:tc>
          <w:tcPr>
            <w:tcW w:w="2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4,708,287</w:t>
            </w:r>
          </w:p>
        </w:tc>
      </w:tr>
      <w:tr>
        <w:trPr>
          <w:trHeight w:val="20"/>
        </w:trPr>
        <w:tc>
          <w:tcPr>
            <w:tcW w:w="79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120"/>
          </w:cols>
          <w:pgMar w:left="400" w:top="364" w:right="379" w:bottom="1440" w:gutter="0" w:footer="0" w:header="0"/>
        </w:sectPr>
      </w:pPr>
    </w:p>
    <w:bookmarkStart w:id="9" w:name="page10"/>
    <w:bookmarkEnd w:id="9"/>
    <w:p>
      <w:pPr>
        <w:spacing w:after="0" w:line="4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6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67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620" w:type="dxa"/>
            <w:vAlign w:val="bottom"/>
            <w:tcBorders>
              <w:bottom w:val="single" w:sz="8" w:color="auto"/>
            </w:tcBorders>
            <w:gridSpan w:val="4"/>
          </w:tcPr>
          <w:p>
            <w:pPr>
              <w:jc w:val="right"/>
              <w:ind w:right="951"/>
              <w:spacing w:after="0"/>
              <w:rPr>
                <w:sz w:val="20"/>
                <w:szCs w:val="20"/>
                <w:color w:val="auto"/>
              </w:rPr>
            </w:pPr>
            <w:r>
              <w:rPr>
                <w:rFonts w:ascii="Arial" w:cs="Arial" w:eastAsia="Arial" w:hAnsi="Arial"/>
                <w:sz w:val="14"/>
                <w:szCs w:val="14"/>
                <w:b w:val="1"/>
                <w:bCs w:val="1"/>
                <w:color w:val="auto"/>
              </w:rPr>
              <w:t>Year Ended</w:t>
            </w:r>
          </w:p>
        </w:tc>
      </w:tr>
      <w:tr>
        <w:trPr>
          <w:trHeight w:val="152"/>
        </w:trPr>
        <w:tc>
          <w:tcPr>
            <w:tcW w:w="56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30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3"/>
                <w:szCs w:val="13"/>
                <w:color w:val="auto"/>
              </w:rPr>
            </w:pPr>
          </w:p>
        </w:tc>
        <w:tc>
          <w:tcPr>
            <w:tcW w:w="12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3,</w:t>
            </w:r>
          </w:p>
        </w:tc>
        <w:tc>
          <w:tcPr>
            <w:tcW w:w="220" w:type="dxa"/>
            <w:vAlign w:val="bottom"/>
          </w:tcPr>
          <w:p>
            <w:pPr>
              <w:spacing w:after="0"/>
              <w:rPr>
                <w:sz w:val="13"/>
                <w:szCs w:val="13"/>
                <w:color w:val="auto"/>
              </w:rPr>
            </w:pPr>
          </w:p>
        </w:tc>
        <w:tc>
          <w:tcPr>
            <w:tcW w:w="12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3"/>
                <w:szCs w:val="13"/>
                <w:color w:val="auto"/>
              </w:rPr>
            </w:pPr>
          </w:p>
        </w:tc>
        <w:tc>
          <w:tcPr>
            <w:tcW w:w="1160" w:type="dxa"/>
            <w:vAlign w:val="bottom"/>
          </w:tcPr>
          <w:p>
            <w:pPr>
              <w:jc w:val="right"/>
              <w:ind w:right="251"/>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56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2018</w:t>
            </w:r>
          </w:p>
        </w:tc>
      </w:tr>
      <w:tr>
        <w:trPr>
          <w:trHeight w:val="25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562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(260,698)</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48,763</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(179,094)</w:t>
            </w:r>
          </w:p>
        </w:tc>
        <w:tc>
          <w:tcPr>
            <w:tcW w:w="1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520,831</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29"/>
        </w:trPr>
        <w:tc>
          <w:tcPr>
            <w:tcW w:w="5620" w:type="dxa"/>
            <w:vAlign w:val="bottom"/>
            <w:shd w:val="clear" w:color="auto" w:fill="CCEEFF"/>
          </w:tcPr>
          <w:p>
            <w:pPr>
              <w:ind w:left="40"/>
              <w:spacing w:after="0"/>
              <w:rPr>
                <w:sz w:val="20"/>
                <w:szCs w:val="20"/>
                <w:color w:val="auto"/>
              </w:rPr>
            </w:pPr>
            <w:r>
              <w:rPr>
                <w:rFonts w:ascii="Arial" w:cs="Arial" w:eastAsia="Arial" w:hAnsi="Arial"/>
                <w:sz w:val="18"/>
                <w:szCs w:val="18"/>
                <w:color w:val="auto"/>
                <w:w w:val="95"/>
              </w:rPr>
              <w:t>Adjustments to reconcile net income (loss) to net cash provided by (used</w:t>
            </w: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37"/>
        </w:trPr>
        <w:tc>
          <w:tcPr>
            <w:tcW w:w="562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in) operating activities:</w:t>
            </w:r>
          </w:p>
        </w:tc>
        <w:tc>
          <w:tcPr>
            <w:tcW w:w="2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Depreciation and amortization</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37,627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20,918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123,983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83,487</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50,580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21,377</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184,064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86,689</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78,688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358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183,318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3,570</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29"/>
        </w:trPr>
        <w:tc>
          <w:tcPr>
            <w:tcW w:w="56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of inventory fair value adjustment associated with</w:t>
            </w: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37"/>
        </w:trPr>
        <w:tc>
          <w:tcPr>
            <w:tcW w:w="5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acquisition of Cavium</w:t>
            </w:r>
          </w:p>
        </w:tc>
        <w:tc>
          <w:tcPr>
            <w:tcW w:w="2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97,597</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223,372</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Amortization of deferred debt issuance costs and debt discounts</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2,064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11,354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impairment charges (gain)</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(12,081)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(4,159)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(4,561)</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w w:val="98"/>
              </w:rPr>
              <w:t>Amortization of premium /discount on available-for-sale securities</w:t>
            </w:r>
          </w:p>
        </w:tc>
        <w:tc>
          <w:tcPr>
            <w:tcW w:w="2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392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624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995</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 taxes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146,322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17,027</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118,647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19,825</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on sale of discontinued operations</w:t>
            </w:r>
          </w:p>
        </w:tc>
        <w:tc>
          <w:tcPr>
            <w:tcW w:w="2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(88,406)</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Loss (gain) on sale of business</w:t>
            </w:r>
          </w:p>
        </w:tc>
        <w:tc>
          <w:tcPr>
            <w:tcW w:w="2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1,592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(5,254)</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Other expense (income), net</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344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(277)</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3,530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(1,920)</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Changes in assets and liabilities: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Accounts receivable</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(39,347)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85,719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(99,044)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54,989</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Inventories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2,489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3,878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4,348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(12,160)</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Prepaid expenses and other assets</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189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(627)</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(11,685)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12,494</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payable</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(36,700)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(6,493)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(16,613)</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55,329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(21,898)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84,352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(62,360)</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employee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(25,677)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(1,324)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(46,599)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(11,936)</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Deferred income</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1,968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(13,706)</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675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(8,557)</w:t>
            </w:r>
          </w:p>
        </w:tc>
      </w:tr>
      <w:tr>
        <w:trPr>
          <w:trHeight w:val="27"/>
        </w:trPr>
        <w:tc>
          <w:tcPr>
            <w:tcW w:w="56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operating activities</w:t>
            </w:r>
          </w:p>
        </w:tc>
        <w:tc>
          <w:tcPr>
            <w:tcW w:w="2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106,641</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119,741</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596,744</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571,113</w:t>
            </w:r>
          </w:p>
        </w:tc>
      </w:tr>
      <w:tr>
        <w:trPr>
          <w:trHeight w:val="223"/>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20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r>
      <w:tr>
        <w:trPr>
          <w:trHeight w:val="41"/>
        </w:trPr>
        <w:tc>
          <w:tcPr>
            <w:tcW w:w="5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00" w:type="dxa"/>
            <w:vAlign w:val="bottom"/>
          </w:tcPr>
          <w:p>
            <w:pPr>
              <w:spacing w:after="0"/>
              <w:rPr>
                <w:sz w:val="3"/>
                <w:szCs w:val="3"/>
                <w:color w:val="auto"/>
              </w:rPr>
            </w:pPr>
          </w:p>
        </w:tc>
        <w:tc>
          <w:tcPr>
            <w:tcW w:w="2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2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(162,607)</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(14,956)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(835,494)</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Sales of available-for-sale securities</w:t>
            </w:r>
          </w:p>
        </w:tc>
        <w:tc>
          <w:tcPr>
            <w:tcW w:w="2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22,671</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623,896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306,822</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2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120,639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187,985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426,341</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time deposits</w:t>
            </w:r>
          </w:p>
        </w:tc>
        <w:tc>
          <w:tcPr>
            <w:tcW w:w="2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(75,000)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(25,000)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(300,000)</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time deposits</w:t>
            </w:r>
          </w:p>
        </w:tc>
        <w:tc>
          <w:tcPr>
            <w:tcW w:w="2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75,000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175,000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300,000</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technology licenses</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(359)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(1,331)</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(11,540)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(6,587)</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property and equipment</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(28,886)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(13,395)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(75,921)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(38,551)</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Proceeds from sales of property and equipment</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42,707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10,571</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43,525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12,559</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29"/>
        </w:trPr>
        <w:tc>
          <w:tcPr>
            <w:tcW w:w="56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Cash payment for acquisition of Cavium, net of cash and cash</w:t>
            </w: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37"/>
        </w:trPr>
        <w:tc>
          <w:tcPr>
            <w:tcW w:w="5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equivalents acquired</w:t>
            </w:r>
          </w:p>
        </w:tc>
        <w:tc>
          <w:tcPr>
            <w:tcW w:w="200" w:type="dxa"/>
            <w:vAlign w:val="bottom"/>
            <w:tcBorders>
              <w:bottom w:val="single" w:sz="8" w:color="CCEEFF"/>
            </w:tcBorders>
            <w:shd w:val="clear" w:color="auto" w:fill="CCEEFF"/>
          </w:tcPr>
          <w:p>
            <w:pPr>
              <w:spacing w:after="0"/>
              <w:rPr>
                <w:sz w:val="20"/>
                <w:szCs w:val="20"/>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(2,649,465)</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Net proceeds from sale of discontinued operations</w:t>
            </w:r>
          </w:p>
        </w:tc>
        <w:tc>
          <w:tcPr>
            <w:tcW w:w="2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165,940</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Net proceeds (payments) from sale of business</w:t>
            </w:r>
          </w:p>
        </w:tc>
        <w:tc>
          <w:tcPr>
            <w:tcW w:w="2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2,402</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Other</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2,275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(2,725)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6,089</w:t>
            </w:r>
          </w:p>
        </w:tc>
      </w:tr>
      <w:tr>
        <w:trPr>
          <w:trHeight w:val="27"/>
        </w:trPr>
        <w:tc>
          <w:tcPr>
            <w:tcW w:w="56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(used in) investing activities</w:t>
            </w:r>
          </w:p>
        </w:tc>
        <w:tc>
          <w:tcPr>
            <w:tcW w:w="2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15,737</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(23,452)</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(1,752,553)</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39,521</w:t>
            </w:r>
          </w:p>
        </w:tc>
      </w:tr>
      <w:tr>
        <w:trPr>
          <w:trHeight w:val="223"/>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20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r>
      <w:tr>
        <w:trPr>
          <w:trHeight w:val="41"/>
        </w:trPr>
        <w:tc>
          <w:tcPr>
            <w:tcW w:w="5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00" w:type="dxa"/>
            <w:vAlign w:val="bottom"/>
          </w:tcPr>
          <w:p>
            <w:pPr>
              <w:spacing w:after="0"/>
              <w:rPr>
                <w:sz w:val="3"/>
                <w:szCs w:val="3"/>
                <w:color w:val="auto"/>
              </w:rPr>
            </w:pPr>
          </w:p>
        </w:tc>
        <w:tc>
          <w:tcPr>
            <w:tcW w:w="2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Repurchases of common stock</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(50,005)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(103,974)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(527,574)</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Proceeds from employee stock plans</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40,189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42,878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100,961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180,302</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29"/>
        </w:trPr>
        <w:tc>
          <w:tcPr>
            <w:tcW w:w="56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Tax withholding paid on behalf of employees for net share</w:t>
            </w: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37"/>
        </w:trPr>
        <w:tc>
          <w:tcPr>
            <w:tcW w:w="5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settlement</w:t>
            </w:r>
          </w:p>
        </w:tc>
        <w:tc>
          <w:tcPr>
            <w:tcW w:w="2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(9,248)</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(905)</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(54,939)</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(26,840)</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Dividend payments to shareholders</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(39,489)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(29,695)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(148,081)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(119,251)</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(16,676)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(5,806)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(69,157)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(28,503)</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Proceeds from issuance of debt</w:t>
            </w:r>
          </w:p>
        </w:tc>
        <w:tc>
          <w:tcPr>
            <w:tcW w:w="2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tcPr>
          <w:p>
            <w:pPr>
              <w:jc w:val="right"/>
              <w:ind w:right="11"/>
              <w:spacing w:after="0"/>
              <w:rPr>
                <w:sz w:val="20"/>
                <w:szCs w:val="20"/>
                <w:color w:val="auto"/>
              </w:rPr>
            </w:pPr>
            <w:r>
              <w:rPr>
                <w:rFonts w:ascii="Arial" w:cs="Arial" w:eastAsia="Arial" w:hAnsi="Arial"/>
                <w:sz w:val="18"/>
                <w:szCs w:val="18"/>
                <w:color w:val="auto"/>
              </w:rPr>
              <w:t>1,892,605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Principal payments of debt</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(75,000)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(756,128)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Payment of equity and debt financing costs</w:t>
            </w:r>
          </w:p>
        </w:tc>
        <w:tc>
          <w:tcPr>
            <w:tcW w:w="2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(14,378)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(11,550)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(14,378)</w:t>
            </w:r>
          </w:p>
        </w:tc>
      </w:tr>
      <w:tr>
        <w:trPr>
          <w:trHeight w:val="27"/>
        </w:trPr>
        <w:tc>
          <w:tcPr>
            <w:tcW w:w="56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(used in) financing activities</w:t>
            </w:r>
          </w:p>
        </w:tc>
        <w:tc>
          <w:tcPr>
            <w:tcW w:w="2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(150,229)</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(7,906)</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849,737</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(536,244)</w:t>
            </w:r>
          </w:p>
        </w:tc>
      </w:tr>
      <w:tr>
        <w:trPr>
          <w:trHeight w:val="237"/>
        </w:trPr>
        <w:tc>
          <w:tcPr>
            <w:tcW w:w="5620" w:type="dxa"/>
            <w:vAlign w:val="bottom"/>
          </w:tcPr>
          <w:p>
            <w:pPr>
              <w:ind w:left="40"/>
              <w:spacing w:after="0"/>
              <w:rPr>
                <w:sz w:val="20"/>
                <w:szCs w:val="20"/>
                <w:color w:val="auto"/>
              </w:rPr>
            </w:pPr>
            <w:r>
              <w:rPr>
                <w:rFonts w:ascii="Arial" w:cs="Arial" w:eastAsia="Arial" w:hAnsi="Arial"/>
                <w:sz w:val="18"/>
                <w:szCs w:val="18"/>
                <w:color w:val="auto"/>
              </w:rPr>
              <w:t>Net increase (decrease) in cash and cash equivalents</w:t>
            </w:r>
          </w:p>
        </w:tc>
        <w:tc>
          <w:tcPr>
            <w:tcW w:w="2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(27,851)</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88,383</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(306,072)</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74,390</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610,261</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800,099</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888,482</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r>
      <w:tr>
        <w:trPr>
          <w:trHeight w:val="237"/>
        </w:trPr>
        <w:tc>
          <w:tcPr>
            <w:tcW w:w="5620" w:type="dxa"/>
            <w:vAlign w:val="bottom"/>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582,410</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888,482</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582,410</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888,482</w:t>
            </w:r>
          </w:p>
        </w:tc>
      </w:tr>
    </w:tbl>
    <w:p>
      <w:pPr>
        <w:sectPr>
          <w:pgSz w:w="11900" w:h="16884" w:orient="portrait"/>
          <w:cols w:equalWidth="0" w:num="1">
            <w:col w:w="11420"/>
          </w:cols>
          <w:pgMar w:left="240" w:top="715" w:right="239" w:bottom="0" w:gutter="0" w:footer="0" w:header="0"/>
        </w:sectPr>
      </w:pPr>
    </w:p>
    <w:bookmarkStart w:id="10" w:name="page11"/>
    <w:bookmarkEnd w:id="10"/>
    <w:p>
      <w:pPr>
        <w:jc w:val="right"/>
        <w:spacing w:after="0"/>
        <w:rPr>
          <w:sz w:val="20"/>
          <w:szCs w:val="20"/>
          <w:color w:val="auto"/>
        </w:rPr>
      </w:pPr>
      <w:r>
        <w:rPr>
          <w:sz w:val="20"/>
          <w:szCs w:val="20"/>
          <w:color w:val="auto"/>
        </w:rPr>
        <w:drawing>
          <wp:anchor simplePos="0" relativeHeight="251657728" behindDoc="1" locked="0" layoutInCell="0" allowOverlap="1">
            <wp:simplePos x="0" y="0"/>
            <wp:positionH relativeFrom="page">
              <wp:posOffset>3716655</wp:posOffset>
            </wp:positionH>
            <wp:positionV relativeFrom="page">
              <wp:posOffset>88900</wp:posOffset>
            </wp:positionV>
            <wp:extent cx="3687445"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687445" cy="2603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40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13"/>
                <w:szCs w:val="13"/>
                <w:color w:val="auto"/>
              </w:rPr>
            </w:pPr>
          </w:p>
        </w:tc>
        <w:tc>
          <w:tcPr>
            <w:tcW w:w="128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November 3,</w:t>
            </w:r>
          </w:p>
        </w:tc>
        <w:tc>
          <w:tcPr>
            <w:tcW w:w="200" w:type="dxa"/>
            <w:vAlign w:val="bottom"/>
          </w:tcPr>
          <w:p>
            <w:pPr>
              <w:spacing w:after="0"/>
              <w:rPr>
                <w:sz w:val="13"/>
                <w:szCs w:val="13"/>
                <w:color w:val="auto"/>
              </w:rPr>
            </w:pPr>
          </w:p>
        </w:tc>
        <w:tc>
          <w:tcPr>
            <w:tcW w:w="13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February 3,</w:t>
            </w:r>
          </w:p>
        </w:tc>
        <w:tc>
          <w:tcPr>
            <w:tcW w:w="220" w:type="dxa"/>
            <w:vAlign w:val="bottom"/>
          </w:tcPr>
          <w:p>
            <w:pPr>
              <w:spacing w:after="0"/>
              <w:rPr>
                <w:sz w:val="13"/>
                <w:szCs w:val="13"/>
                <w:color w:val="auto"/>
              </w:rPr>
            </w:pPr>
          </w:p>
        </w:tc>
        <w:tc>
          <w:tcPr>
            <w:tcW w:w="130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2,</w:t>
            </w:r>
          </w:p>
        </w:tc>
        <w:tc>
          <w:tcPr>
            <w:tcW w:w="320" w:type="dxa"/>
            <w:vAlign w:val="bottom"/>
          </w:tcPr>
          <w:p>
            <w:pPr>
              <w:spacing w:after="0"/>
              <w:rPr>
                <w:sz w:val="13"/>
                <w:szCs w:val="13"/>
                <w:color w:val="auto"/>
              </w:rPr>
            </w:pPr>
          </w:p>
        </w:tc>
        <w:tc>
          <w:tcPr>
            <w:tcW w:w="1080" w:type="dxa"/>
            <w:vAlign w:val="bottom"/>
          </w:tcPr>
          <w:p>
            <w:pPr>
              <w:jc w:val="right"/>
              <w:ind w:right="271"/>
              <w:spacing w:after="0" w:line="153" w:lineRule="exact"/>
              <w:rPr>
                <w:sz w:val="20"/>
                <w:szCs w:val="20"/>
                <w:color w:val="auto"/>
              </w:rPr>
            </w:pPr>
            <w:r>
              <w:rPr>
                <w:rFonts w:ascii="Arial" w:cs="Arial" w:eastAsia="Arial" w:hAnsi="Arial"/>
                <w:sz w:val="14"/>
                <w:szCs w:val="14"/>
                <w:b w:val="1"/>
                <w:bCs w:val="1"/>
                <w:color w:val="auto"/>
                <w:w w:val="92"/>
              </w:rPr>
              <w:t>February 3,</w:t>
            </w:r>
          </w:p>
        </w:tc>
        <w:tc>
          <w:tcPr>
            <w:tcW w:w="0" w:type="dxa"/>
            <w:vAlign w:val="bottom"/>
          </w:tcPr>
          <w:p>
            <w:pPr>
              <w:spacing w:after="0"/>
              <w:rPr>
                <w:sz w:val="1"/>
                <w:szCs w:val="1"/>
                <w:color w:val="auto"/>
              </w:rPr>
            </w:pPr>
          </w:p>
        </w:tc>
      </w:tr>
      <w:tr>
        <w:trPr>
          <w:trHeight w:val="192"/>
        </w:trPr>
        <w:tc>
          <w:tcPr>
            <w:tcW w:w="40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31"/>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31"/>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31"/>
              <w:spacing w:after="0"/>
              <w:rPr>
                <w:sz w:val="20"/>
                <w:szCs w:val="20"/>
                <w:color w:val="auto"/>
              </w:rPr>
            </w:pPr>
            <w:r>
              <w:rPr>
                <w:rFonts w:ascii="Arial" w:cs="Arial" w:eastAsia="Arial" w:hAnsi="Arial"/>
                <w:sz w:val="14"/>
                <w:szCs w:val="14"/>
                <w:b w:val="1"/>
                <w:bCs w:val="1"/>
                <w:color w:val="auto"/>
              </w:rPr>
              <w:t>2018</w:t>
            </w:r>
          </w:p>
        </w:tc>
        <w:tc>
          <w:tcPr>
            <w:tcW w:w="2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4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322,002</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383,587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373,482</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1,458,392</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1,461,940</w:t>
            </w:r>
          </w:p>
        </w:tc>
        <w:tc>
          <w:tcPr>
            <w:tcW w:w="0" w:type="dxa"/>
            <w:vAlign w:val="bottom"/>
          </w:tcPr>
          <w:p>
            <w:pPr>
              <w:spacing w:after="0"/>
              <w:rPr>
                <w:sz w:val="1"/>
                <w:szCs w:val="1"/>
                <w:color w:val="auto"/>
              </w:rPr>
            </w:pPr>
          </w:p>
        </w:tc>
      </w:tr>
      <w:tr>
        <w:trPr>
          <w:trHeight w:val="243"/>
        </w:trPr>
        <w:tc>
          <w:tcPr>
            <w:tcW w:w="402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2,942</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2,429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1,662</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12,024</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6,645</w:t>
            </w:r>
          </w:p>
        </w:tc>
        <w:tc>
          <w:tcPr>
            <w:tcW w:w="0" w:type="dxa"/>
            <w:vAlign w:val="bottom"/>
          </w:tcPr>
          <w:p>
            <w:pPr>
              <w:spacing w:after="0"/>
              <w:rPr>
                <w:sz w:val="1"/>
                <w:szCs w:val="1"/>
                <w:color w:val="auto"/>
              </w:rPr>
            </w:pPr>
          </w:p>
        </w:tc>
      </w:tr>
      <w:tr>
        <w:trPr>
          <w:trHeight w:val="243"/>
        </w:trPr>
        <w:tc>
          <w:tcPr>
            <w:tcW w:w="402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21"/>
                <w:szCs w:val="21"/>
                <w:color w:val="auto"/>
              </w:rPr>
            </w:pPr>
          </w:p>
        </w:tc>
        <w:tc>
          <w:tcPr>
            <w:tcW w:w="1140" w:type="dxa"/>
            <w:vAlign w:val="bottom"/>
          </w:tcPr>
          <w:p>
            <w:pPr>
              <w:jc w:val="right"/>
              <w:ind w:right="151"/>
              <w:spacing w:after="0"/>
              <w:rPr>
                <w:sz w:val="20"/>
                <w:szCs w:val="20"/>
                <w:color w:val="auto"/>
              </w:rPr>
            </w:pPr>
            <w:r>
              <w:rPr>
                <w:rFonts w:ascii="Arial" w:cs="Arial" w:eastAsia="Arial" w:hAnsi="Arial"/>
                <w:sz w:val="18"/>
                <w:szCs w:val="18"/>
                <w:color w:val="auto"/>
              </w:rPr>
              <w:t>57,591</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ind w:right="151"/>
              <w:spacing w:after="0"/>
              <w:rPr>
                <w:sz w:val="20"/>
                <w:szCs w:val="20"/>
                <w:color w:val="auto"/>
              </w:rPr>
            </w:pPr>
            <w:r>
              <w:rPr>
                <w:rFonts w:ascii="Arial" w:cs="Arial" w:eastAsia="Arial" w:hAnsi="Arial"/>
                <w:sz w:val="18"/>
                <w:szCs w:val="18"/>
                <w:color w:val="auto"/>
              </w:rPr>
              <w:t>57,594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80" w:type="dxa"/>
            <w:vAlign w:val="bottom"/>
          </w:tcPr>
          <w:p>
            <w:pPr>
              <w:jc w:val="right"/>
              <w:ind w:right="92"/>
              <w:spacing w:after="0"/>
              <w:rPr>
                <w:sz w:val="20"/>
                <w:szCs w:val="20"/>
                <w:color w:val="auto"/>
              </w:rPr>
            </w:pPr>
            <w:r>
              <w:rPr>
                <w:rFonts w:ascii="Arial" w:cs="Arial" w:eastAsia="Arial" w:hAnsi="Arial"/>
                <w:sz w:val="18"/>
                <w:szCs w:val="18"/>
                <w:color w:val="auto"/>
              </w:rPr>
              <w:t>134,169</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jc w:val="right"/>
              <w:ind w:right="9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(a)</w:t>
            </w: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97,598</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105,841</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8,000</w:t>
            </w:r>
          </w:p>
        </w:tc>
        <w:tc>
          <w:tcPr>
            <w:tcW w:w="2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226,372</w:t>
            </w: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11,000</w:t>
            </w:r>
          </w:p>
        </w:tc>
        <w:tc>
          <w:tcPr>
            <w:tcW w:w="0" w:type="dxa"/>
            <w:vAlign w:val="bottom"/>
          </w:tcPr>
          <w:p>
            <w:pPr>
              <w:spacing w:after="0"/>
              <w:rPr>
                <w:sz w:val="1"/>
                <w:szCs w:val="1"/>
                <w:color w:val="auto"/>
              </w:rPr>
            </w:pPr>
          </w:p>
        </w:tc>
      </w:tr>
      <w:tr>
        <w:trPr>
          <w:trHeight w:val="237"/>
        </w:trPr>
        <w:tc>
          <w:tcPr>
            <w:tcW w:w="402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2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158,131</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165,864</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9,662</w:t>
            </w:r>
          </w:p>
        </w:tc>
        <w:tc>
          <w:tcPr>
            <w:tcW w:w="22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372,565</w:t>
            </w:r>
          </w:p>
        </w:tc>
        <w:tc>
          <w:tcPr>
            <w:tcW w:w="1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17,645</w:t>
            </w:r>
          </w:p>
        </w:tc>
        <w:tc>
          <w:tcPr>
            <w:tcW w:w="0" w:type="dxa"/>
            <w:vAlign w:val="bottom"/>
          </w:tcPr>
          <w:p>
            <w:pPr>
              <w:spacing w:after="0"/>
              <w:rPr>
                <w:sz w:val="1"/>
                <w:szCs w:val="1"/>
                <w:color w:val="auto"/>
              </w:rPr>
            </w:pPr>
          </w:p>
        </w:tc>
      </w:tr>
      <w:tr>
        <w:trPr>
          <w:trHeight w:val="27"/>
        </w:trPr>
        <w:tc>
          <w:tcPr>
            <w:tcW w:w="40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gross profit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480,133</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549,451</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383,144</w:t>
            </w:r>
          </w:p>
        </w:tc>
        <w:tc>
          <w:tcPr>
            <w:tcW w:w="2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1,830,957</w:t>
            </w:r>
          </w:p>
        </w:tc>
        <w:tc>
          <w:tcPr>
            <w:tcW w:w="1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1,479,585</w:t>
            </w:r>
          </w:p>
        </w:tc>
        <w:tc>
          <w:tcPr>
            <w:tcW w:w="0" w:type="dxa"/>
            <w:vAlign w:val="bottom"/>
          </w:tcPr>
          <w:p>
            <w:pPr>
              <w:spacing w:after="0"/>
              <w:rPr>
                <w:sz w:val="1"/>
                <w:szCs w:val="1"/>
                <w:color w:val="auto"/>
              </w:rPr>
            </w:pPr>
          </w:p>
        </w:tc>
      </w:tr>
      <w:tr>
        <w:trPr>
          <w:trHeight w:val="20"/>
        </w:trPr>
        <w:tc>
          <w:tcPr>
            <w:tcW w:w="40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0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5"/>
        </w:trPr>
        <w:tc>
          <w:tcPr>
            <w:tcW w:w="4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margin</w:t>
            </w: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43.2 %</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45.1 %</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60.7 %</w:t>
            </w:r>
          </w:p>
        </w:tc>
        <w:tc>
          <w:tcPr>
            <w:tcW w:w="2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50.9%</w:t>
            </w: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60.7%</w:t>
            </w:r>
          </w:p>
        </w:tc>
        <w:tc>
          <w:tcPr>
            <w:tcW w:w="0" w:type="dxa"/>
            <w:vAlign w:val="bottom"/>
          </w:tcPr>
          <w:p>
            <w:pPr>
              <w:spacing w:after="0"/>
              <w:rPr>
                <w:sz w:val="1"/>
                <w:szCs w:val="1"/>
                <w:color w:val="auto"/>
              </w:rPr>
            </w:pPr>
          </w:p>
        </w:tc>
      </w:tr>
      <w:tr>
        <w:trPr>
          <w:trHeight w:val="20"/>
        </w:trPr>
        <w:tc>
          <w:tcPr>
            <w:tcW w:w="402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gross margin</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020" w:type="dxa"/>
            <w:vAlign w:val="bottom"/>
            <w:vMerge w:val="continue"/>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64.5 %</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64.6 %</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62.3 %</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63.9%</w:t>
            </w: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61.4%</w:t>
            </w:r>
          </w:p>
        </w:tc>
        <w:tc>
          <w:tcPr>
            <w:tcW w:w="0" w:type="dxa"/>
            <w:vAlign w:val="bottom"/>
          </w:tcPr>
          <w:p>
            <w:pPr>
              <w:spacing w:after="0"/>
              <w:rPr>
                <w:sz w:val="1"/>
                <w:szCs w:val="1"/>
                <w:color w:val="auto"/>
              </w:rPr>
            </w:pPr>
          </w:p>
        </w:tc>
      </w:tr>
      <w:tr>
        <w:trPr>
          <w:trHeight w:val="67"/>
        </w:trPr>
        <w:tc>
          <w:tcPr>
            <w:tcW w:w="40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5"/>
        </w:trPr>
        <w:tc>
          <w:tcPr>
            <w:tcW w:w="40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0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402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4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16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4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18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320" w:type="dxa"/>
            <w:vAlign w:val="bottom"/>
            <w:shd w:val="clear" w:color="auto" w:fill="CCEEFF"/>
          </w:tcPr>
          <w:p>
            <w:pPr>
              <w:spacing w:after="0"/>
              <w:rPr>
                <w:sz w:val="23"/>
                <w:szCs w:val="23"/>
                <w:color w:val="auto"/>
              </w:rPr>
            </w:pPr>
          </w:p>
        </w:tc>
        <w:tc>
          <w:tcPr>
            <w:tcW w:w="108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4020" w:type="dxa"/>
            <w:vAlign w:val="bottom"/>
          </w:tcPr>
          <w:p>
            <w:pPr>
              <w:ind w:left="40"/>
              <w:spacing w:after="0"/>
              <w:rPr>
                <w:sz w:val="20"/>
                <w:szCs w:val="20"/>
                <w:color w:val="auto"/>
              </w:rPr>
            </w:pPr>
            <w:r>
              <w:rPr>
                <w:rFonts w:ascii="Arial" w:cs="Arial" w:eastAsia="Arial" w:hAnsi="Arial"/>
                <w:sz w:val="18"/>
                <w:szCs w:val="18"/>
                <w:color w:val="auto"/>
              </w:rPr>
              <w:t>Total GAAP operating expenses</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51"/>
              <w:spacing w:after="0"/>
              <w:rPr>
                <w:sz w:val="20"/>
                <w:szCs w:val="20"/>
                <w:color w:val="auto"/>
              </w:rPr>
            </w:pPr>
            <w:r>
              <w:rPr>
                <w:rFonts w:ascii="Arial" w:cs="Arial" w:eastAsia="Arial" w:hAnsi="Arial"/>
                <w:sz w:val="18"/>
                <w:szCs w:val="18"/>
                <w:color w:val="auto"/>
              </w:rPr>
              <w:t>375,010</w:t>
            </w:r>
          </w:p>
        </w:tc>
        <w:tc>
          <w:tcPr>
            <w:tcW w:w="120" w:type="dxa"/>
            <w:vAlign w:val="bottom"/>
          </w:tcPr>
          <w:p>
            <w:pPr>
              <w:spacing w:after="0"/>
              <w:rPr>
                <w:sz w:val="21"/>
                <w:szCs w:val="21"/>
                <w:color w:val="auto"/>
              </w:rPr>
            </w:pP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1160" w:type="dxa"/>
            <w:vAlign w:val="bottom"/>
          </w:tcPr>
          <w:p>
            <w:pPr>
              <w:jc w:val="right"/>
              <w:ind w:right="151"/>
              <w:spacing w:after="0"/>
              <w:rPr>
                <w:sz w:val="20"/>
                <w:szCs w:val="20"/>
                <w:color w:val="auto"/>
              </w:rPr>
            </w:pPr>
            <w:r>
              <w:rPr>
                <w:rFonts w:ascii="Arial" w:cs="Arial" w:eastAsia="Arial" w:hAnsi="Arial"/>
                <w:sz w:val="18"/>
                <w:szCs w:val="18"/>
                <w:color w:val="auto"/>
              </w:rPr>
              <w:t>404,097</w:t>
            </w:r>
          </w:p>
        </w:tc>
        <w:tc>
          <w:tcPr>
            <w:tcW w:w="1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51"/>
              <w:spacing w:after="0"/>
              <w:rPr>
                <w:sz w:val="20"/>
                <w:szCs w:val="20"/>
                <w:color w:val="auto"/>
              </w:rPr>
            </w:pPr>
            <w:r>
              <w:rPr>
                <w:rFonts w:ascii="Arial" w:cs="Arial" w:eastAsia="Arial" w:hAnsi="Arial"/>
                <w:sz w:val="18"/>
                <w:szCs w:val="18"/>
                <w:color w:val="auto"/>
              </w:rPr>
              <w:t>319,471</w:t>
            </w:r>
          </w:p>
        </w:tc>
        <w:tc>
          <w:tcPr>
            <w:tcW w:w="22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92"/>
              <w:spacing w:after="0"/>
              <w:rPr>
                <w:sz w:val="20"/>
                <w:szCs w:val="20"/>
                <w:color w:val="auto"/>
              </w:rPr>
            </w:pPr>
            <w:r>
              <w:rPr>
                <w:rFonts w:ascii="Arial" w:cs="Arial" w:eastAsia="Arial" w:hAnsi="Arial"/>
                <w:sz w:val="18"/>
                <w:szCs w:val="18"/>
                <w:color w:val="auto"/>
              </w:rPr>
              <w:t>1,415,122</w:t>
            </w:r>
          </w:p>
        </w:tc>
        <w:tc>
          <w:tcPr>
            <w:tcW w:w="12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91"/>
              <w:spacing w:after="0"/>
              <w:rPr>
                <w:sz w:val="20"/>
                <w:szCs w:val="20"/>
                <w:color w:val="auto"/>
              </w:rPr>
            </w:pPr>
            <w:r>
              <w:rPr>
                <w:rFonts w:ascii="Arial" w:cs="Arial" w:eastAsia="Arial" w:hAnsi="Arial"/>
                <w:sz w:val="18"/>
                <w:szCs w:val="18"/>
                <w:color w:val="auto"/>
              </w:rPr>
              <w:t>1,032,245</w:t>
            </w:r>
          </w:p>
        </w:tc>
        <w:tc>
          <w:tcPr>
            <w:tcW w:w="0" w:type="dxa"/>
            <w:vAlign w:val="bottom"/>
          </w:tcPr>
          <w:p>
            <w:pPr>
              <w:spacing w:after="0"/>
              <w:rPr>
                <w:sz w:val="1"/>
                <w:szCs w:val="1"/>
                <w:color w:val="auto"/>
              </w:rPr>
            </w:pPr>
          </w:p>
        </w:tc>
      </w:tr>
      <w:tr>
        <w:trPr>
          <w:trHeight w:val="27"/>
        </w:trPr>
        <w:tc>
          <w:tcPr>
            <w:tcW w:w="4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2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21"/>
                <w:szCs w:val="21"/>
                <w:color w:val="auto"/>
              </w:rPr>
            </w:pPr>
          </w:p>
        </w:tc>
        <w:tc>
          <w:tcPr>
            <w:tcW w:w="1140" w:type="dxa"/>
            <w:vAlign w:val="bottom"/>
          </w:tcPr>
          <w:p>
            <w:pPr>
              <w:jc w:val="right"/>
              <w:ind w:right="91"/>
              <w:spacing w:after="0"/>
              <w:rPr>
                <w:sz w:val="20"/>
                <w:szCs w:val="20"/>
                <w:color w:val="auto"/>
              </w:rPr>
            </w:pPr>
            <w:r>
              <w:rPr>
                <w:rFonts w:ascii="Arial" w:cs="Arial" w:eastAsia="Arial" w:hAnsi="Arial"/>
                <w:sz w:val="18"/>
                <w:szCs w:val="18"/>
                <w:color w:val="auto"/>
              </w:rPr>
              <w:t>(47,638)</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ind w:right="91"/>
              <w:spacing w:after="0"/>
              <w:rPr>
                <w:sz w:val="20"/>
                <w:szCs w:val="20"/>
                <w:color w:val="auto"/>
              </w:rPr>
            </w:pPr>
            <w:r>
              <w:rPr>
                <w:rFonts w:ascii="Arial" w:cs="Arial" w:eastAsia="Arial" w:hAnsi="Arial"/>
                <w:sz w:val="18"/>
                <w:szCs w:val="18"/>
                <w:color w:val="auto"/>
              </w:rPr>
              <w:t>(47,811)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jc w:val="right"/>
              <w:ind w:right="91"/>
              <w:spacing w:after="0"/>
              <w:rPr>
                <w:sz w:val="20"/>
                <w:szCs w:val="20"/>
                <w:color w:val="auto"/>
              </w:rPr>
            </w:pPr>
            <w:r>
              <w:rPr>
                <w:rFonts w:ascii="Arial" w:cs="Arial" w:eastAsia="Arial" w:hAnsi="Arial"/>
                <w:sz w:val="18"/>
                <w:szCs w:val="18"/>
                <w:color w:val="auto"/>
              </w:rPr>
              <w:t>(19,715)</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jc w:val="right"/>
              <w:ind w:right="32"/>
              <w:spacing w:after="0"/>
              <w:rPr>
                <w:sz w:val="20"/>
                <w:szCs w:val="20"/>
                <w:color w:val="auto"/>
              </w:rPr>
            </w:pPr>
            <w:r>
              <w:rPr>
                <w:rFonts w:ascii="Arial" w:cs="Arial" w:eastAsia="Arial" w:hAnsi="Arial"/>
                <w:sz w:val="18"/>
                <w:szCs w:val="18"/>
                <w:color w:val="auto"/>
              </w:rPr>
              <w:t>(186,071)</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(78,477)</w:t>
            </w:r>
          </w:p>
        </w:tc>
        <w:tc>
          <w:tcPr>
            <w:tcW w:w="0" w:type="dxa"/>
            <w:vAlign w:val="bottom"/>
          </w:tcPr>
          <w:p>
            <w:pPr>
              <w:spacing w:after="0"/>
              <w:rPr>
                <w:sz w:val="1"/>
                <w:szCs w:val="1"/>
                <w:color w:val="auto"/>
              </w:rPr>
            </w:pPr>
          </w:p>
        </w:tc>
      </w:tr>
      <w:tr>
        <w:trPr>
          <w:trHeight w:val="27"/>
        </w:trPr>
        <w:tc>
          <w:tcPr>
            <w:tcW w:w="4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charges (gain) (b)</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(12,740)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(27,031)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3,205</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(76,753)</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(5,250)</w:t>
            </w:r>
          </w:p>
        </w:tc>
        <w:tc>
          <w:tcPr>
            <w:tcW w:w="0" w:type="dxa"/>
            <w:vAlign w:val="bottom"/>
          </w:tcPr>
          <w:p>
            <w:pPr>
              <w:spacing w:after="0"/>
              <w:rPr>
                <w:sz w:val="1"/>
                <w:szCs w:val="1"/>
                <w:color w:val="auto"/>
              </w:rPr>
            </w:pPr>
          </w:p>
        </w:tc>
      </w:tr>
      <w:tr>
        <w:trPr>
          <w:trHeight w:val="243"/>
        </w:trPr>
        <w:tc>
          <w:tcPr>
            <w:tcW w:w="402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21"/>
                <w:szCs w:val="21"/>
                <w:color w:val="auto"/>
              </w:rPr>
            </w:pPr>
          </w:p>
        </w:tc>
        <w:tc>
          <w:tcPr>
            <w:tcW w:w="1140" w:type="dxa"/>
            <w:vAlign w:val="bottom"/>
          </w:tcPr>
          <w:p>
            <w:pPr>
              <w:jc w:val="right"/>
              <w:ind w:right="91"/>
              <w:spacing w:after="0"/>
              <w:rPr>
                <w:sz w:val="20"/>
                <w:szCs w:val="20"/>
                <w:color w:val="auto"/>
              </w:rPr>
            </w:pPr>
            <w:r>
              <w:rPr>
                <w:rFonts w:ascii="Arial" w:cs="Arial" w:eastAsia="Arial" w:hAnsi="Arial"/>
                <w:sz w:val="18"/>
                <w:szCs w:val="18"/>
                <w:color w:val="auto"/>
              </w:rPr>
              <w:t>(21,097)</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ind w:right="91"/>
              <w:spacing w:after="0"/>
              <w:rPr>
                <w:sz w:val="20"/>
                <w:szCs w:val="20"/>
                <w:color w:val="auto"/>
              </w:rPr>
            </w:pPr>
            <w:r>
              <w:rPr>
                <w:rFonts w:ascii="Arial" w:cs="Arial" w:eastAsia="Arial" w:hAnsi="Arial"/>
                <w:sz w:val="18"/>
                <w:szCs w:val="18"/>
                <w:color w:val="auto"/>
              </w:rPr>
              <w:t>(21,098)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jc w:val="right"/>
              <w:ind w:right="91"/>
              <w:spacing w:after="0"/>
              <w:rPr>
                <w:sz w:val="20"/>
                <w:szCs w:val="20"/>
                <w:color w:val="auto"/>
              </w:rPr>
            </w:pPr>
            <w:r>
              <w:rPr>
                <w:rFonts w:ascii="Arial" w:cs="Arial" w:eastAsia="Arial" w:hAnsi="Arial"/>
                <w:sz w:val="18"/>
                <w:szCs w:val="18"/>
                <w:color w:val="auto"/>
              </w:rPr>
              <w:t>(358)</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jc w:val="right"/>
              <w:ind w:right="32"/>
              <w:spacing w:after="0"/>
              <w:rPr>
                <w:sz w:val="20"/>
                <w:szCs w:val="20"/>
                <w:color w:val="auto"/>
              </w:rPr>
            </w:pPr>
            <w:r>
              <w:rPr>
                <w:rFonts w:ascii="Arial" w:cs="Arial" w:eastAsia="Arial" w:hAnsi="Arial"/>
                <w:sz w:val="18"/>
                <w:szCs w:val="18"/>
                <w:color w:val="auto"/>
              </w:rPr>
              <w:t>(49,150)</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(3,570)</w:t>
            </w:r>
          </w:p>
        </w:tc>
        <w:tc>
          <w:tcPr>
            <w:tcW w:w="0" w:type="dxa"/>
            <w:vAlign w:val="bottom"/>
          </w:tcPr>
          <w:p>
            <w:pPr>
              <w:spacing w:after="0"/>
              <w:rPr>
                <w:sz w:val="1"/>
                <w:szCs w:val="1"/>
                <w:color w:val="auto"/>
              </w:rPr>
            </w:pPr>
          </w:p>
        </w:tc>
      </w:tr>
      <w:tr>
        <w:trPr>
          <w:trHeight w:val="27"/>
        </w:trPr>
        <w:tc>
          <w:tcPr>
            <w:tcW w:w="4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Litigation settlement (c)</w:t>
            </w: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(74,385)</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(74,385)</w:t>
            </w:r>
          </w:p>
        </w:tc>
        <w:tc>
          <w:tcPr>
            <w:tcW w:w="0" w:type="dxa"/>
            <w:vAlign w:val="bottom"/>
          </w:tcPr>
          <w:p>
            <w:pPr>
              <w:spacing w:after="0"/>
              <w:rPr>
                <w:sz w:val="1"/>
                <w:szCs w:val="1"/>
                <w:color w:val="auto"/>
              </w:rPr>
            </w:pPr>
          </w:p>
        </w:tc>
      </w:tr>
      <w:tr>
        <w:trPr>
          <w:trHeight w:val="243"/>
        </w:trPr>
        <w:tc>
          <w:tcPr>
            <w:tcW w:w="4020" w:type="dxa"/>
            <w:vAlign w:val="bottom"/>
          </w:tcPr>
          <w:p>
            <w:pPr>
              <w:ind w:left="460"/>
              <w:spacing w:after="0"/>
              <w:rPr>
                <w:sz w:val="20"/>
                <w:szCs w:val="20"/>
                <w:color w:val="auto"/>
              </w:rPr>
            </w:pPr>
            <w:r>
              <w:rPr>
                <w:rFonts w:ascii="Arial" w:cs="Arial" w:eastAsia="Arial" w:hAnsi="Arial"/>
                <w:sz w:val="18"/>
                <w:szCs w:val="18"/>
                <w:color w:val="auto"/>
              </w:rPr>
              <w:t>Other operating expenses (d)</w:t>
            </w:r>
          </w:p>
        </w:tc>
        <w:tc>
          <w:tcPr>
            <w:tcW w:w="200" w:type="dxa"/>
            <w:vAlign w:val="bottom"/>
          </w:tcPr>
          <w:p>
            <w:pPr>
              <w:spacing w:after="0"/>
              <w:rPr>
                <w:sz w:val="21"/>
                <w:szCs w:val="21"/>
                <w:color w:val="auto"/>
              </w:rPr>
            </w:pPr>
          </w:p>
        </w:tc>
        <w:tc>
          <w:tcPr>
            <w:tcW w:w="1140" w:type="dxa"/>
            <w:vAlign w:val="bottom"/>
          </w:tcPr>
          <w:p>
            <w:pPr>
              <w:jc w:val="right"/>
              <w:ind w:right="91"/>
              <w:spacing w:after="0"/>
              <w:rPr>
                <w:sz w:val="20"/>
                <w:szCs w:val="20"/>
                <w:color w:val="auto"/>
              </w:rPr>
            </w:pPr>
            <w:r>
              <w:rPr>
                <w:rFonts w:ascii="Arial" w:cs="Arial" w:eastAsia="Arial" w:hAnsi="Arial"/>
                <w:sz w:val="18"/>
                <w:szCs w:val="18"/>
                <w:color w:val="auto"/>
              </w:rPr>
              <w:t>(7,392)</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ind w:right="91"/>
              <w:spacing w:after="0"/>
              <w:rPr>
                <w:sz w:val="20"/>
                <w:szCs w:val="20"/>
                <w:color w:val="auto"/>
              </w:rPr>
            </w:pPr>
            <w:r>
              <w:rPr>
                <w:rFonts w:ascii="Arial" w:cs="Arial" w:eastAsia="Arial" w:hAnsi="Arial"/>
                <w:sz w:val="18"/>
                <w:szCs w:val="18"/>
                <w:color w:val="auto"/>
              </w:rPr>
              <w:t>(11,222)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jc w:val="right"/>
              <w:ind w:right="91"/>
              <w:spacing w:after="0"/>
              <w:rPr>
                <w:sz w:val="20"/>
                <w:szCs w:val="20"/>
                <w:color w:val="auto"/>
              </w:rPr>
            </w:pPr>
            <w:r>
              <w:rPr>
                <w:rFonts w:ascii="Arial" w:cs="Arial" w:eastAsia="Arial" w:hAnsi="Arial"/>
                <w:sz w:val="18"/>
                <w:szCs w:val="18"/>
                <w:color w:val="auto"/>
              </w:rPr>
              <w:t>(10,579)</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jc w:val="right"/>
              <w:ind w:right="32"/>
              <w:spacing w:after="0"/>
              <w:rPr>
                <w:sz w:val="20"/>
                <w:szCs w:val="20"/>
                <w:color w:val="auto"/>
              </w:rPr>
            </w:pPr>
            <w:r>
              <w:rPr>
                <w:rFonts w:ascii="Arial" w:cs="Arial" w:eastAsia="Arial" w:hAnsi="Arial"/>
                <w:sz w:val="18"/>
                <w:szCs w:val="18"/>
                <w:color w:val="auto"/>
              </w:rPr>
              <w:t>(62,095)</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(14,689)</w:t>
            </w:r>
          </w:p>
        </w:tc>
        <w:tc>
          <w:tcPr>
            <w:tcW w:w="0" w:type="dxa"/>
            <w:vAlign w:val="bottom"/>
          </w:tcPr>
          <w:p>
            <w:pPr>
              <w:spacing w:after="0"/>
              <w:rPr>
                <w:sz w:val="1"/>
                <w:szCs w:val="1"/>
                <w:color w:val="auto"/>
              </w:rPr>
            </w:pPr>
          </w:p>
        </w:tc>
      </w:tr>
      <w:tr>
        <w:trPr>
          <w:trHeight w:val="27"/>
        </w:trPr>
        <w:tc>
          <w:tcPr>
            <w:tcW w:w="40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2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(88,867)</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(107,162)</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(101,832)</w:t>
            </w:r>
          </w:p>
        </w:tc>
        <w:tc>
          <w:tcPr>
            <w:tcW w:w="2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(374,069)</w:t>
            </w:r>
          </w:p>
        </w:tc>
        <w:tc>
          <w:tcPr>
            <w:tcW w:w="1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(176,371)</w:t>
            </w:r>
          </w:p>
        </w:tc>
        <w:tc>
          <w:tcPr>
            <w:tcW w:w="0" w:type="dxa"/>
            <w:vAlign w:val="bottom"/>
          </w:tcPr>
          <w:p>
            <w:pPr>
              <w:spacing w:after="0"/>
              <w:rPr>
                <w:sz w:val="1"/>
                <w:szCs w:val="1"/>
                <w:color w:val="auto"/>
              </w:rPr>
            </w:pPr>
          </w:p>
        </w:tc>
      </w:tr>
      <w:tr>
        <w:trPr>
          <w:trHeight w:val="237"/>
        </w:trPr>
        <w:tc>
          <w:tcPr>
            <w:tcW w:w="4020" w:type="dxa"/>
            <w:vAlign w:val="bottom"/>
          </w:tcPr>
          <w:p>
            <w:pPr>
              <w:ind w:left="40"/>
              <w:spacing w:after="0"/>
              <w:rPr>
                <w:sz w:val="20"/>
                <w:szCs w:val="20"/>
                <w:color w:val="auto"/>
              </w:rPr>
            </w:pPr>
            <w:r>
              <w:rPr>
                <w:rFonts w:ascii="Arial" w:cs="Arial" w:eastAsia="Arial" w:hAnsi="Arial"/>
                <w:sz w:val="18"/>
                <w:szCs w:val="18"/>
                <w:color w:val="auto"/>
              </w:rPr>
              <w:t>Total non-GAAP operating expenses</w:t>
            </w: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286,143</w:t>
            </w:r>
          </w:p>
        </w:tc>
        <w:tc>
          <w:tcPr>
            <w:tcW w:w="120" w:type="dxa"/>
            <w:vAlign w:val="bottom"/>
          </w:tcPr>
          <w:p>
            <w:pPr>
              <w:spacing w:after="0"/>
              <w:rPr>
                <w:sz w:val="20"/>
                <w:szCs w:val="20"/>
                <w:color w:val="auto"/>
              </w:rPr>
            </w:pPr>
          </w:p>
        </w:tc>
        <w:tc>
          <w:tcPr>
            <w:tcW w:w="18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296,935</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217,639</w:t>
            </w:r>
          </w:p>
        </w:tc>
        <w:tc>
          <w:tcPr>
            <w:tcW w:w="22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1,041,053</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855,874</w:t>
            </w:r>
          </w:p>
        </w:tc>
        <w:tc>
          <w:tcPr>
            <w:tcW w:w="0" w:type="dxa"/>
            <w:vAlign w:val="bottom"/>
          </w:tcPr>
          <w:p>
            <w:pPr>
              <w:spacing w:after="0"/>
              <w:rPr>
                <w:sz w:val="1"/>
                <w:szCs w:val="1"/>
                <w:color w:val="auto"/>
              </w:rPr>
            </w:pPr>
          </w:p>
        </w:tc>
      </w:tr>
      <w:tr>
        <w:trPr>
          <w:trHeight w:val="67"/>
        </w:trPr>
        <w:tc>
          <w:tcPr>
            <w:tcW w:w="40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0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4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16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18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320" w:type="dxa"/>
            <w:vAlign w:val="bottom"/>
            <w:shd w:val="clear" w:color="auto" w:fill="CCEEFF"/>
          </w:tcPr>
          <w:p>
            <w:pPr>
              <w:spacing w:after="0"/>
              <w:rPr>
                <w:sz w:val="21"/>
                <w:szCs w:val="21"/>
                <w:color w:val="auto"/>
              </w:rPr>
            </w:pPr>
          </w:p>
        </w:tc>
        <w:tc>
          <w:tcPr>
            <w:tcW w:w="108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97"/>
        </w:trPr>
        <w:tc>
          <w:tcPr>
            <w:tcW w:w="40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40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020" w:type="dxa"/>
            <w:vAlign w:val="bottom"/>
          </w:tcPr>
          <w:p>
            <w:pPr>
              <w:ind w:left="40"/>
              <w:spacing w:after="0"/>
              <w:rPr>
                <w:sz w:val="20"/>
                <w:szCs w:val="20"/>
                <w:color w:val="auto"/>
              </w:rPr>
            </w:pPr>
            <w:r>
              <w:rPr>
                <w:rFonts w:ascii="Arial" w:cs="Arial" w:eastAsia="Arial" w:hAnsi="Arial"/>
                <w:sz w:val="18"/>
                <w:szCs w:val="18"/>
                <w:color w:val="auto"/>
              </w:rPr>
              <w:t>GAAP operating margin</w:t>
            </w:r>
          </w:p>
        </w:tc>
        <w:tc>
          <w:tcPr>
            <w:tcW w:w="2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(7.1)%</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8.8 %</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17.8%</w:t>
            </w:r>
          </w:p>
        </w:tc>
        <w:tc>
          <w:tcPr>
            <w:tcW w:w="0" w:type="dxa"/>
            <w:vAlign w:val="bottom"/>
          </w:tcPr>
          <w:p>
            <w:pPr>
              <w:spacing w:after="0"/>
              <w:rPr>
                <w:sz w:val="1"/>
                <w:szCs w:val="1"/>
                <w:color w:val="auto"/>
              </w:rPr>
            </w:pPr>
          </w:p>
        </w:tc>
      </w:tr>
      <w:tr>
        <w:trPr>
          <w:trHeight w:val="27"/>
        </w:trPr>
        <w:tc>
          <w:tcPr>
            <w:tcW w:w="4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(a)</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13.1 %</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12.4 %</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1.3 %</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43"/>
        </w:trPr>
        <w:tc>
          <w:tcPr>
            <w:tcW w:w="402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6.8 %</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5.9 %</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3.5 %</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6.9%</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7"/>
        </w:trPr>
        <w:tc>
          <w:tcPr>
            <w:tcW w:w="4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charges (gain) (b)</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1.7 %</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3.2 %</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43"/>
        </w:trPr>
        <w:tc>
          <w:tcPr>
            <w:tcW w:w="402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10.6 %</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9.2 %</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0.1 %</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6.4%</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7"/>
        </w:trPr>
        <w:tc>
          <w:tcPr>
            <w:tcW w:w="40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Litigation settlement (c)</w:t>
            </w: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720"/>
              <w:spacing w:after="0"/>
              <w:rPr>
                <w:sz w:val="20"/>
                <w:szCs w:val="20"/>
                <w:color w:val="auto"/>
              </w:rPr>
            </w:pPr>
            <w:r>
              <w:rPr>
                <w:rFonts w:ascii="Arial" w:cs="Arial" w:eastAsia="Arial" w:hAnsi="Arial"/>
                <w:sz w:val="18"/>
                <w:szCs w:val="18"/>
                <w:color w:val="auto"/>
              </w:rPr>
              <w:t>— %</w:t>
            </w:r>
          </w:p>
        </w:tc>
        <w:tc>
          <w:tcPr>
            <w:tcW w:w="18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ind w:left="740"/>
              <w:spacing w:after="0"/>
              <w:rPr>
                <w:sz w:val="20"/>
                <w:szCs w:val="20"/>
                <w:color w:val="auto"/>
              </w:rPr>
            </w:pPr>
            <w:r>
              <w:rPr>
                <w:rFonts w:ascii="Arial" w:cs="Arial" w:eastAsia="Arial" w:hAnsi="Arial"/>
                <w:sz w:val="18"/>
                <w:szCs w:val="18"/>
                <w:color w:val="auto"/>
              </w:rPr>
              <w:t>— %</w:t>
            </w:r>
          </w:p>
        </w:tc>
        <w:tc>
          <w:tcPr>
            <w:tcW w:w="2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12.1 %</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43"/>
        </w:trPr>
        <w:tc>
          <w:tcPr>
            <w:tcW w:w="4020" w:type="dxa"/>
            <w:vAlign w:val="bottom"/>
          </w:tcPr>
          <w:p>
            <w:pPr>
              <w:ind w:left="460"/>
              <w:spacing w:after="0"/>
              <w:rPr>
                <w:sz w:val="20"/>
                <w:szCs w:val="20"/>
                <w:color w:val="auto"/>
              </w:rPr>
            </w:pPr>
            <w:r>
              <w:rPr>
                <w:rFonts w:ascii="Arial" w:cs="Arial" w:eastAsia="Arial" w:hAnsi="Arial"/>
                <w:sz w:val="18"/>
                <w:szCs w:val="18"/>
                <w:color w:val="auto"/>
              </w:rPr>
              <w:t>Other operating expenses (d)</w:t>
            </w:r>
          </w:p>
        </w:tc>
        <w:tc>
          <w:tcPr>
            <w:tcW w:w="2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0.9 %</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1.4 %</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1.6 %</w:t>
            </w: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2.2%</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7"/>
        </w:trPr>
        <w:tc>
          <w:tcPr>
            <w:tcW w:w="40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4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operating margin</w:t>
            </w:r>
          </w:p>
        </w:tc>
        <w:tc>
          <w:tcPr>
            <w:tcW w:w="200" w:type="dxa"/>
            <w:vAlign w:val="bottom"/>
            <w:tcBorders>
              <w:bottom w:val="single" w:sz="8" w:color="auto"/>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26.0 %</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auto"/>
            </w:tcBorders>
            <w:shd w:val="clear" w:color="auto" w:fill="CCEEFF"/>
          </w:tcPr>
          <w:p>
            <w:pPr>
              <w:spacing w:after="0"/>
              <w:rPr>
                <w:sz w:val="22"/>
                <w:szCs w:val="22"/>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29.7 %</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auto"/>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26.9 %</w:t>
            </w:r>
          </w:p>
        </w:tc>
        <w:tc>
          <w:tcPr>
            <w:tcW w:w="2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auto"/>
            </w:tcBorders>
            <w:shd w:val="clear" w:color="auto" w:fill="CCEEFF"/>
          </w:tcPr>
          <w:p>
            <w:pPr>
              <w:spacing w:after="0"/>
              <w:rPr>
                <w:sz w:val="22"/>
                <w:szCs w:val="22"/>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27.6%</w:t>
            </w:r>
          </w:p>
        </w:tc>
        <w:tc>
          <w:tcPr>
            <w:tcW w:w="1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auto"/>
            </w:tcBorders>
            <w:shd w:val="clear" w:color="auto" w:fill="CCEEFF"/>
          </w:tcPr>
          <w:p>
            <w:pPr>
              <w:spacing w:after="0"/>
              <w:rPr>
                <w:sz w:val="22"/>
                <w:szCs w:val="22"/>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25.9%</w:t>
            </w:r>
          </w:p>
        </w:tc>
        <w:tc>
          <w:tcPr>
            <w:tcW w:w="0" w:type="dxa"/>
            <w:vAlign w:val="bottom"/>
          </w:tcPr>
          <w:p>
            <w:pPr>
              <w:spacing w:after="0"/>
              <w:rPr>
                <w:sz w:val="1"/>
                <w:szCs w:val="1"/>
                <w:color w:val="auto"/>
              </w:rPr>
            </w:pPr>
          </w:p>
        </w:tc>
      </w:tr>
      <w:tr>
        <w:trPr>
          <w:trHeight w:val="20"/>
        </w:trPr>
        <w:tc>
          <w:tcPr>
            <w:tcW w:w="40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553"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3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5"/>
              </w:rPr>
              <w:t>Three Months Ended</w:t>
            </w: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620" w:type="dxa"/>
            <w:vAlign w:val="bottom"/>
            <w:tcBorders>
              <w:bottom w:val="single" w:sz="8" w:color="auto"/>
            </w:tcBorders>
            <w:gridSpan w:val="4"/>
          </w:tcPr>
          <w:p>
            <w:pPr>
              <w:jc w:val="right"/>
              <w:ind w:right="954"/>
              <w:spacing w:after="0"/>
              <w:rPr>
                <w:sz w:val="20"/>
                <w:szCs w:val="20"/>
                <w:color w:val="auto"/>
              </w:rPr>
            </w:pPr>
            <w:r>
              <w:rPr>
                <w:rFonts w:ascii="Arial" w:cs="Arial" w:eastAsia="Arial" w:hAnsi="Arial"/>
                <w:sz w:val="14"/>
                <w:szCs w:val="14"/>
                <w:b w:val="1"/>
                <w:bCs w:val="1"/>
                <w:color w:val="auto"/>
              </w:rPr>
              <w:t>Year Ended</w:t>
            </w:r>
          </w:p>
        </w:tc>
      </w:tr>
      <w:tr>
        <w:trPr>
          <w:trHeight w:val="152"/>
        </w:trPr>
        <w:tc>
          <w:tcPr>
            <w:tcW w:w="43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00" w:type="dxa"/>
            <w:vAlign w:val="bottom"/>
          </w:tcPr>
          <w:p>
            <w:pPr>
              <w:jc w:val="right"/>
              <w:ind w:right="214"/>
              <w:spacing w:after="0" w:line="153" w:lineRule="exact"/>
              <w:rPr>
                <w:sz w:val="20"/>
                <w:szCs w:val="20"/>
                <w:color w:val="auto"/>
              </w:rPr>
            </w:pPr>
            <w:r>
              <w:rPr>
                <w:rFonts w:ascii="Arial" w:cs="Arial" w:eastAsia="Arial" w:hAnsi="Arial"/>
                <w:sz w:val="14"/>
                <w:szCs w:val="14"/>
                <w:b w:val="1"/>
                <w:bCs w:val="1"/>
                <w:color w:val="auto"/>
              </w:rPr>
              <w:t>February 2,</w:t>
            </w: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2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2"/>
              </w:rPr>
              <w:t>November 3,</w:t>
            </w:r>
          </w:p>
        </w:tc>
        <w:tc>
          <w:tcPr>
            <w:tcW w:w="180" w:type="dxa"/>
            <w:vAlign w:val="bottom"/>
          </w:tcPr>
          <w:p>
            <w:pPr>
              <w:spacing w:after="0"/>
              <w:rPr>
                <w:sz w:val="13"/>
                <w:szCs w:val="13"/>
                <w:color w:val="auto"/>
              </w:rPr>
            </w:pPr>
          </w:p>
        </w:tc>
        <w:tc>
          <w:tcPr>
            <w:tcW w:w="128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February 3,</w:t>
            </w:r>
          </w:p>
        </w:tc>
        <w:tc>
          <w:tcPr>
            <w:tcW w:w="220" w:type="dxa"/>
            <w:vAlign w:val="bottom"/>
          </w:tcPr>
          <w:p>
            <w:pPr>
              <w:spacing w:after="0"/>
              <w:rPr>
                <w:sz w:val="13"/>
                <w:szCs w:val="13"/>
                <w:color w:val="auto"/>
              </w:rPr>
            </w:pPr>
          </w:p>
        </w:tc>
        <w:tc>
          <w:tcPr>
            <w:tcW w:w="12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3"/>
                <w:szCs w:val="13"/>
                <w:color w:val="auto"/>
              </w:rPr>
            </w:pPr>
          </w:p>
        </w:tc>
        <w:tc>
          <w:tcPr>
            <w:tcW w:w="1160" w:type="dxa"/>
            <w:vAlign w:val="bottom"/>
          </w:tcPr>
          <w:p>
            <w:pPr>
              <w:jc w:val="right"/>
              <w:ind w:right="254"/>
              <w:spacing w:after="0" w:line="153" w:lineRule="exact"/>
              <w:rPr>
                <w:sz w:val="20"/>
                <w:szCs w:val="20"/>
                <w:color w:val="auto"/>
              </w:rPr>
            </w:pPr>
            <w:r>
              <w:rPr>
                <w:rFonts w:ascii="Arial" w:cs="Arial" w:eastAsia="Arial" w:hAnsi="Arial"/>
                <w:sz w:val="14"/>
                <w:szCs w:val="14"/>
                <w:b w:val="1"/>
                <w:bCs w:val="1"/>
                <w:color w:val="auto"/>
              </w:rPr>
              <w:t>February 3,</w:t>
            </w:r>
          </w:p>
        </w:tc>
      </w:tr>
      <w:tr>
        <w:trPr>
          <w:trHeight w:val="192"/>
        </w:trPr>
        <w:tc>
          <w:tcPr>
            <w:tcW w:w="43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4"/>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center"/>
              <w:ind w:right="74"/>
              <w:spacing w:after="0"/>
              <w:rPr>
                <w:sz w:val="20"/>
                <w:szCs w:val="20"/>
                <w:color w:val="auto"/>
              </w:rPr>
            </w:pPr>
            <w:r>
              <w:rPr>
                <w:rFonts w:ascii="Arial" w:cs="Arial" w:eastAsia="Arial" w:hAnsi="Arial"/>
                <w:sz w:val="14"/>
                <w:szCs w:val="14"/>
                <w:b w:val="1"/>
                <w:bCs w:val="1"/>
                <w:color w:val="auto"/>
                <w:w w:val="89"/>
              </w:rPr>
              <w:t>2018</w:t>
            </w:r>
          </w:p>
        </w:tc>
        <w:tc>
          <w:tcPr>
            <w:tcW w:w="1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2018</w:t>
            </w:r>
          </w:p>
        </w:tc>
        <w:tc>
          <w:tcPr>
            <w:tcW w:w="2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2018</w:t>
            </w:r>
          </w:p>
        </w:tc>
      </w:tr>
      <w:tr>
        <w:trPr>
          <w:trHeight w:val="243"/>
        </w:trPr>
        <w:tc>
          <w:tcPr>
            <w:tcW w:w="4360" w:type="dxa"/>
            <w:vAlign w:val="bottom"/>
          </w:tcPr>
          <w:p>
            <w:pPr>
              <w:ind w:left="40"/>
              <w:spacing w:after="0"/>
              <w:rPr>
                <w:sz w:val="20"/>
                <w:szCs w:val="20"/>
                <w:color w:val="auto"/>
              </w:rPr>
            </w:pPr>
            <w:r>
              <w:rPr>
                <w:rFonts w:ascii="Arial" w:cs="Arial" w:eastAsia="Arial" w:hAnsi="Arial"/>
                <w:sz w:val="18"/>
                <w:szCs w:val="18"/>
                <w:color w:val="auto"/>
              </w:rPr>
              <w:t>GAAP interest and other income (loss), net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(16,340)</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(23,952)</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ind w:right="14"/>
              <w:spacing w:after="0"/>
              <w:rPr>
                <w:sz w:val="20"/>
                <w:szCs w:val="20"/>
                <w:color w:val="auto"/>
              </w:rPr>
            </w:pPr>
            <w:r>
              <w:rPr>
                <w:rFonts w:ascii="Arial" w:cs="Arial" w:eastAsia="Arial" w:hAnsi="Arial"/>
                <w:sz w:val="18"/>
                <w:szCs w:val="18"/>
                <w:color w:val="auto"/>
              </w:rPr>
              <w:t>4,788</w:t>
            </w:r>
          </w:p>
        </w:tc>
        <w:tc>
          <w:tcPr>
            <w:tcW w:w="22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(47,917)</w:t>
            </w:r>
          </w:p>
        </w:tc>
        <w:tc>
          <w:tcPr>
            <w:tcW w:w="1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4"/>
              <w:spacing w:after="0"/>
              <w:rPr>
                <w:sz w:val="20"/>
                <w:szCs w:val="20"/>
                <w:color w:val="auto"/>
              </w:rPr>
            </w:pPr>
            <w:r>
              <w:rPr>
                <w:rFonts w:ascii="Arial" w:cs="Arial" w:eastAsia="Arial" w:hAnsi="Arial"/>
                <w:sz w:val="18"/>
                <w:szCs w:val="18"/>
                <w:color w:val="auto"/>
              </w:rPr>
              <w:t>21,509</w:t>
            </w:r>
          </w:p>
        </w:tc>
      </w:tr>
      <w:tr>
        <w:trPr>
          <w:trHeight w:val="27"/>
        </w:trPr>
        <w:tc>
          <w:tcPr>
            <w:tcW w:w="4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4360" w:type="dxa"/>
            <w:vAlign w:val="bottom"/>
          </w:tcPr>
          <w:p>
            <w:pPr>
              <w:ind w:left="300"/>
              <w:spacing w:after="0"/>
              <w:rPr>
                <w:sz w:val="20"/>
                <w:szCs w:val="20"/>
                <w:color w:val="auto"/>
              </w:rPr>
            </w:pPr>
            <w:r>
              <w:rPr>
                <w:rFonts w:ascii="Arial" w:cs="Arial" w:eastAsia="Arial" w:hAnsi="Arial"/>
                <w:sz w:val="18"/>
                <w:szCs w:val="18"/>
                <w:color w:val="auto"/>
              </w:rPr>
              <w:t>Gain on sale of intellectual property</w:t>
            </w:r>
          </w:p>
        </w:tc>
        <w:tc>
          <w:tcPr>
            <w:tcW w:w="1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(3,500)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2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(3,500)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4"/>
              <w:spacing w:after="0"/>
              <w:rPr>
                <w:sz w:val="20"/>
                <w:szCs w:val="20"/>
                <w:color w:val="auto"/>
              </w:rPr>
            </w:pPr>
            <w:r>
              <w:rPr>
                <w:rFonts w:ascii="Arial" w:cs="Arial" w:eastAsia="Arial" w:hAnsi="Arial"/>
                <w:sz w:val="18"/>
                <w:szCs w:val="18"/>
                <w:color w:val="auto"/>
              </w:rPr>
              <w:t>—</w:t>
            </w:r>
          </w:p>
        </w:tc>
      </w:tr>
      <w:tr>
        <w:trPr>
          <w:trHeight w:val="27"/>
        </w:trPr>
        <w:tc>
          <w:tcPr>
            <w:tcW w:w="4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43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Restructuring related items (e)</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157</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1,491</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1,355</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(4,016)</w:t>
            </w:r>
          </w:p>
        </w:tc>
      </w:tr>
      <w:tr>
        <w:trPr>
          <w:trHeight w:val="243"/>
        </w:trPr>
        <w:tc>
          <w:tcPr>
            <w:tcW w:w="4360" w:type="dxa"/>
            <w:vAlign w:val="bottom"/>
          </w:tcPr>
          <w:p>
            <w:pPr>
              <w:ind w:left="340"/>
              <w:spacing w:after="0"/>
              <w:rPr>
                <w:sz w:val="20"/>
                <w:szCs w:val="20"/>
                <w:color w:val="auto"/>
              </w:rPr>
            </w:pPr>
            <w:r>
              <w:rPr>
                <w:rFonts w:ascii="Arial" w:cs="Arial" w:eastAsia="Arial" w:hAnsi="Arial"/>
                <w:sz w:val="18"/>
                <w:szCs w:val="18"/>
                <w:color w:val="auto"/>
              </w:rPr>
              <w:t>Write-off of debt issuance costs (f)</w:t>
            </w:r>
          </w:p>
        </w:tc>
        <w:tc>
          <w:tcPr>
            <w:tcW w:w="180" w:type="dxa"/>
            <w:vAlign w:val="bottom"/>
          </w:tcPr>
          <w:p>
            <w:pPr>
              <w:spacing w:after="0"/>
              <w:rPr>
                <w:sz w:val="21"/>
                <w:szCs w:val="21"/>
                <w:color w:val="auto"/>
              </w:rPr>
            </w:pPr>
          </w:p>
        </w:tc>
        <w:tc>
          <w:tcPr>
            <w:tcW w:w="1100" w:type="dxa"/>
            <w:vAlign w:val="bottom"/>
          </w:tcPr>
          <w:p>
            <w:pPr>
              <w:jc w:val="right"/>
              <w:ind w:right="14"/>
              <w:spacing w:after="0"/>
              <w:rPr>
                <w:sz w:val="20"/>
                <w:szCs w:val="20"/>
                <w:color w:val="auto"/>
              </w:rPr>
            </w:pPr>
            <w:r>
              <w:rPr>
                <w:rFonts w:ascii="Arial" w:cs="Arial" w:eastAsia="Arial" w:hAnsi="Arial"/>
                <w:sz w:val="18"/>
                <w:szCs w:val="18"/>
                <w:color w:val="auto"/>
              </w:rPr>
              <w:t>782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4"/>
              <w:spacing w:after="0"/>
              <w:rPr>
                <w:sz w:val="20"/>
                <w:szCs w:val="20"/>
                <w:color w:val="auto"/>
              </w:rPr>
            </w:pPr>
            <w:r>
              <w:rPr>
                <w:rFonts w:ascii="Arial" w:cs="Arial" w:eastAsia="Arial" w:hAnsi="Arial"/>
                <w:sz w:val="18"/>
                <w:szCs w:val="18"/>
                <w:color w:val="auto"/>
              </w:rPr>
              <w:t>850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tcPr>
          <w:p>
            <w:pPr>
              <w:jc w:val="right"/>
              <w:ind w:right="16"/>
              <w:spacing w:after="0"/>
              <w:rPr>
                <w:sz w:val="20"/>
                <w:szCs w:val="20"/>
                <w:color w:val="auto"/>
              </w:rPr>
            </w:pPr>
            <w:r>
              <w:rPr>
                <w:rFonts w:ascii="Arial" w:cs="Arial" w:eastAsia="Arial" w:hAnsi="Arial"/>
                <w:sz w:val="18"/>
                <w:szCs w:val="18"/>
                <w:color w:val="auto"/>
              </w:rPr>
              <w:t>7,736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4"/>
              <w:spacing w:after="0"/>
              <w:rPr>
                <w:sz w:val="20"/>
                <w:szCs w:val="20"/>
                <w:color w:val="auto"/>
              </w:rPr>
            </w:pPr>
            <w:r>
              <w:rPr>
                <w:rFonts w:ascii="Arial" w:cs="Arial" w:eastAsia="Arial" w:hAnsi="Arial"/>
                <w:sz w:val="18"/>
                <w:szCs w:val="18"/>
                <w:color w:val="auto"/>
              </w:rPr>
              <w:t>—</w:t>
            </w:r>
          </w:p>
        </w:tc>
      </w:tr>
      <w:tr>
        <w:trPr>
          <w:trHeight w:val="27"/>
        </w:trPr>
        <w:tc>
          <w:tcPr>
            <w:tcW w:w="436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1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(2,561)</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2,341</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1,355</w:t>
            </w:r>
          </w:p>
        </w:tc>
        <w:tc>
          <w:tcPr>
            <w:tcW w:w="2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4,251</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(4,016)</w:t>
            </w:r>
          </w:p>
        </w:tc>
      </w:tr>
      <w:tr>
        <w:trPr>
          <w:trHeight w:val="237"/>
        </w:trPr>
        <w:tc>
          <w:tcPr>
            <w:tcW w:w="4360" w:type="dxa"/>
            <w:vAlign w:val="bottom"/>
          </w:tcPr>
          <w:p>
            <w:pPr>
              <w:ind w:left="40"/>
              <w:spacing w:after="0"/>
              <w:rPr>
                <w:sz w:val="20"/>
                <w:szCs w:val="20"/>
                <w:color w:val="auto"/>
              </w:rPr>
            </w:pPr>
            <w:r>
              <w:rPr>
                <w:rFonts w:ascii="Arial" w:cs="Arial" w:eastAsia="Arial" w:hAnsi="Arial"/>
                <w:sz w:val="18"/>
                <w:szCs w:val="18"/>
                <w:color w:val="auto"/>
              </w:rPr>
              <w:t>Total non-GAAP interest and other income (loss), net</w:t>
            </w: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(18,901)</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(21,611)</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6,143</w:t>
            </w:r>
          </w:p>
        </w:tc>
        <w:tc>
          <w:tcPr>
            <w:tcW w:w="22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(43,666)</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17,493</w:t>
            </w:r>
          </w:p>
        </w:tc>
      </w:tr>
      <w:tr>
        <w:trPr>
          <w:trHeight w:val="67"/>
        </w:trPr>
        <w:tc>
          <w:tcPr>
            <w:tcW w:w="436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r>
      <w:tr>
        <w:trPr>
          <w:trHeight w:val="305"/>
        </w:trPr>
        <w:tc>
          <w:tcPr>
            <w:tcW w:w="436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r>
      <w:tr>
        <w:trPr>
          <w:trHeight w:val="324"/>
        </w:trPr>
        <w:tc>
          <w:tcPr>
            <w:tcW w:w="4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324"/>
        </w:trPr>
        <w:tc>
          <w:tcPr>
            <w:tcW w:w="436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r>
    </w:tbl>
    <w:p>
      <w:pPr>
        <w:spacing w:after="0" w:line="1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360" w:type="dxa"/>
            <w:vAlign w:val="bottom"/>
          </w:tcPr>
          <w:p>
            <w:pPr>
              <w:ind w:left="40"/>
              <w:spacing w:after="0"/>
              <w:rPr>
                <w:sz w:val="20"/>
                <w:szCs w:val="20"/>
                <w:color w:val="auto"/>
              </w:rPr>
            </w:pPr>
            <w:r>
              <w:rPr>
                <w:rFonts w:ascii="Arial" w:cs="Arial" w:eastAsia="Arial" w:hAnsi="Arial"/>
                <w:sz w:val="18"/>
                <w:szCs w:val="18"/>
                <w:color w:val="auto"/>
              </w:rPr>
              <w:t>GAAP net income (loss)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(260,698)</w:t>
            </w:r>
          </w:p>
        </w:tc>
        <w:tc>
          <w:tcPr>
            <w:tcW w:w="100" w:type="dxa"/>
            <w:vAlign w:val="bottom"/>
          </w:tcPr>
          <w:p>
            <w:pPr>
              <w:spacing w:after="0"/>
              <w:rPr>
                <w:sz w:val="20"/>
                <w:szCs w:val="20"/>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(53,767)</w:t>
            </w:r>
          </w:p>
        </w:tc>
        <w:tc>
          <w:tcPr>
            <w:tcW w:w="120" w:type="dxa"/>
            <w:vAlign w:val="bottom"/>
          </w:tcPr>
          <w:p>
            <w:pPr>
              <w:spacing w:after="0"/>
              <w:rPr>
                <w:sz w:val="20"/>
                <w:szCs w:val="20"/>
                <w:color w:val="auto"/>
              </w:rPr>
            </w:pPr>
          </w:p>
        </w:tc>
        <w:tc>
          <w:tcPr>
            <w:tcW w:w="340" w:type="dxa"/>
            <w:vAlign w:val="bottom"/>
          </w:tcPr>
          <w:p>
            <w:pPr>
              <w:jc w:val="right"/>
              <w:ind w:right="15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48,763</w:t>
            </w:r>
          </w:p>
        </w:tc>
        <w:tc>
          <w:tcPr>
            <w:tcW w:w="220" w:type="dxa"/>
            <w:vAlign w:val="bottom"/>
          </w:tcPr>
          <w:p>
            <w:pPr>
              <w:spacing w:after="0"/>
              <w:rPr>
                <w:sz w:val="20"/>
                <w:szCs w:val="20"/>
                <w:color w:val="auto"/>
              </w:rPr>
            </w:pP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(179,094)</w:t>
            </w:r>
          </w:p>
        </w:tc>
        <w:tc>
          <w:tcPr>
            <w:tcW w:w="120" w:type="dxa"/>
            <w:vAlign w:val="bottom"/>
          </w:tcPr>
          <w:p>
            <w:pPr>
              <w:spacing w:after="0"/>
              <w:rPr>
                <w:sz w:val="20"/>
                <w:szCs w:val="20"/>
                <w:color w:val="auto"/>
              </w:rPr>
            </w:pP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520,831</w:t>
            </w:r>
          </w:p>
        </w:tc>
      </w:tr>
      <w:tr>
        <w:trPr>
          <w:trHeight w:val="27"/>
        </w:trPr>
        <w:tc>
          <w:tcPr>
            <w:tcW w:w="43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29"/>
        </w:trPr>
        <w:tc>
          <w:tcPr>
            <w:tcW w:w="4360" w:type="dxa"/>
            <w:vAlign w:val="bottom"/>
            <w:shd w:val="clear" w:color="auto" w:fill="CCEEFF"/>
          </w:tcPr>
          <w:p>
            <w:pPr>
              <w:ind w:left="40"/>
              <w:spacing w:after="0"/>
              <w:rPr>
                <w:sz w:val="20"/>
                <w:szCs w:val="20"/>
                <w:color w:val="auto"/>
              </w:rPr>
            </w:pPr>
            <w:r>
              <w:rPr>
                <w:rFonts w:ascii="Arial" w:cs="Arial" w:eastAsia="Arial" w:hAnsi="Arial"/>
                <w:sz w:val="18"/>
                <w:szCs w:val="18"/>
                <w:color w:val="auto"/>
              </w:rPr>
              <w:t>Less: Income (loss) from discontinued operations, net</w:t>
            </w:r>
          </w:p>
        </w:tc>
        <w:tc>
          <w:tcPr>
            <w:tcW w:w="32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r>
      <w:tr>
        <w:trPr>
          <w:trHeight w:val="257"/>
        </w:trPr>
        <w:tc>
          <w:tcPr>
            <w:tcW w:w="436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of tax</w:t>
            </w:r>
          </w:p>
        </w:tc>
        <w:tc>
          <w:tcPr>
            <w:tcW w:w="32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87,689</w:t>
            </w:r>
          </w:p>
        </w:tc>
      </w:tr>
      <w:tr>
        <w:trPr>
          <w:trHeight w:val="237"/>
        </w:trPr>
        <w:tc>
          <w:tcPr>
            <w:tcW w:w="4360" w:type="dxa"/>
            <w:vAlign w:val="bottom"/>
          </w:tcPr>
          <w:p>
            <w:pPr>
              <w:ind w:left="40"/>
              <w:spacing w:after="0"/>
              <w:rPr>
                <w:sz w:val="20"/>
                <w:szCs w:val="20"/>
                <w:color w:val="auto"/>
              </w:rPr>
            </w:pPr>
            <w:r>
              <w:rPr>
                <w:rFonts w:ascii="Arial" w:cs="Arial" w:eastAsia="Arial" w:hAnsi="Arial"/>
                <w:sz w:val="18"/>
                <w:szCs w:val="18"/>
                <w:color w:val="auto"/>
              </w:rPr>
              <w:t>GAAP net income (loss) from continuing operations</w:t>
            </w:r>
          </w:p>
        </w:tc>
        <w:tc>
          <w:tcPr>
            <w:tcW w:w="32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(260,698)</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(53,767)</w:t>
            </w:r>
          </w:p>
        </w:tc>
        <w:tc>
          <w:tcPr>
            <w:tcW w:w="1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48,763</w:t>
            </w:r>
          </w:p>
        </w:tc>
        <w:tc>
          <w:tcPr>
            <w:tcW w:w="22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(179,094)</w:t>
            </w:r>
          </w:p>
        </w:tc>
        <w:tc>
          <w:tcPr>
            <w:tcW w:w="1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433,142</w:t>
            </w:r>
          </w:p>
        </w:tc>
      </w:tr>
      <w:tr>
        <w:trPr>
          <w:trHeight w:val="27"/>
        </w:trPr>
        <w:tc>
          <w:tcPr>
            <w:tcW w:w="43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44"/>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32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spacing w:after="0"/>
              <w:rPr>
                <w:sz w:val="21"/>
                <w:szCs w:val="21"/>
                <w:color w:val="auto"/>
              </w:rPr>
            </w:pPr>
          </w:p>
        </w:tc>
      </w:tr>
      <w:tr>
        <w:trPr>
          <w:trHeight w:val="243"/>
        </w:trPr>
        <w:tc>
          <w:tcPr>
            <w:tcW w:w="4360" w:type="dxa"/>
            <w:vAlign w:val="bottom"/>
          </w:tcPr>
          <w:p>
            <w:pPr>
              <w:ind w:left="460"/>
              <w:spacing w:after="0"/>
              <w:rPr>
                <w:sz w:val="20"/>
                <w:szCs w:val="20"/>
                <w:color w:val="auto"/>
              </w:rPr>
            </w:pPr>
            <w:r>
              <w:rPr>
                <w:rFonts w:ascii="Arial" w:cs="Arial" w:eastAsia="Arial" w:hAnsi="Arial"/>
                <w:sz w:val="18"/>
                <w:szCs w:val="18"/>
                <w:color w:val="auto"/>
              </w:rPr>
              <w:t>Other cost of goods sold (a)</w:t>
            </w:r>
          </w:p>
        </w:tc>
        <w:tc>
          <w:tcPr>
            <w:tcW w:w="32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97,598</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105,841</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8,000</w:t>
            </w: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226,372</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11,000</w:t>
            </w:r>
          </w:p>
        </w:tc>
      </w:tr>
      <w:tr>
        <w:trPr>
          <w:trHeight w:val="27"/>
        </w:trPr>
        <w:tc>
          <w:tcPr>
            <w:tcW w:w="43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3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32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50,580</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50,240</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21,377</w:t>
            </w:r>
          </w:p>
        </w:tc>
        <w:tc>
          <w:tcPr>
            <w:tcW w:w="2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198,095</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85,122</w:t>
            </w:r>
          </w:p>
        </w:tc>
      </w:tr>
      <w:tr>
        <w:trPr>
          <w:trHeight w:val="229"/>
        </w:trPr>
        <w:tc>
          <w:tcPr>
            <w:tcW w:w="4360" w:type="dxa"/>
            <w:vAlign w:val="bottom"/>
          </w:tcPr>
          <w:p>
            <w:pPr>
              <w:ind w:left="460"/>
              <w:spacing w:after="0"/>
              <w:rPr>
                <w:sz w:val="20"/>
                <w:szCs w:val="20"/>
                <w:color w:val="auto"/>
              </w:rPr>
            </w:pPr>
            <w:r>
              <w:rPr>
                <w:rFonts w:ascii="Arial" w:cs="Arial" w:eastAsia="Arial" w:hAnsi="Arial"/>
                <w:sz w:val="18"/>
                <w:szCs w:val="18"/>
                <w:color w:val="auto"/>
              </w:rPr>
              <w:t>Restructuring related charges (gain) in operating</w:t>
            </w:r>
          </w:p>
        </w:tc>
        <w:tc>
          <w:tcPr>
            <w:tcW w:w="3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tcPr>
          <w:p>
            <w:pPr>
              <w:spacing w:after="0"/>
              <w:rPr>
                <w:sz w:val="19"/>
                <w:szCs w:val="19"/>
                <w:color w:val="auto"/>
              </w:rPr>
            </w:pPr>
          </w:p>
        </w:tc>
      </w:tr>
      <w:tr>
        <w:trPr>
          <w:trHeight w:val="230"/>
        </w:trPr>
        <w:tc>
          <w:tcPr>
            <w:tcW w:w="4360" w:type="dxa"/>
            <w:vAlign w:val="bottom"/>
          </w:tcPr>
          <w:p>
            <w:pPr>
              <w:ind w:left="680"/>
              <w:spacing w:after="0"/>
              <w:rPr>
                <w:sz w:val="20"/>
                <w:szCs w:val="20"/>
                <w:color w:val="auto"/>
              </w:rPr>
            </w:pPr>
            <w:r>
              <w:rPr>
                <w:rFonts w:ascii="Arial" w:cs="Arial" w:eastAsia="Arial" w:hAnsi="Arial"/>
                <w:sz w:val="18"/>
                <w:szCs w:val="18"/>
                <w:color w:val="auto"/>
              </w:rPr>
              <w:t>expenses (b)</w:t>
            </w:r>
          </w:p>
        </w:tc>
        <w:tc>
          <w:tcPr>
            <w:tcW w:w="32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12,740</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27,031</w:t>
            </w: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(3,205)</w:t>
            </w:r>
          </w:p>
        </w:tc>
        <w:tc>
          <w:tcPr>
            <w:tcW w:w="2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76,753</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5,250</w:t>
            </w:r>
          </w:p>
        </w:tc>
      </w:tr>
      <w:tr>
        <w:trPr>
          <w:trHeight w:val="27"/>
        </w:trPr>
        <w:tc>
          <w:tcPr>
            <w:tcW w:w="43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29"/>
        </w:trPr>
        <w:tc>
          <w:tcPr>
            <w:tcW w:w="4360" w:type="dxa"/>
            <w:vAlign w:val="bottom"/>
            <w:shd w:val="clear" w:color="auto" w:fill="CCEEFF"/>
          </w:tcPr>
          <w:p>
            <w:pPr>
              <w:ind w:left="460"/>
              <w:spacing w:after="0"/>
              <w:rPr>
                <w:sz w:val="20"/>
                <w:szCs w:val="20"/>
                <w:color w:val="auto"/>
              </w:rPr>
            </w:pPr>
            <w:r>
              <w:rPr>
                <w:rFonts w:ascii="Arial" w:cs="Arial" w:eastAsia="Arial" w:hAnsi="Arial"/>
                <w:sz w:val="18"/>
                <w:szCs w:val="18"/>
                <w:color w:val="auto"/>
              </w:rPr>
              <w:t>Restructuring related items in interest and other</w:t>
            </w:r>
          </w:p>
        </w:tc>
        <w:tc>
          <w:tcPr>
            <w:tcW w:w="32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r>
      <w:tr>
        <w:trPr>
          <w:trHeight w:val="237"/>
        </w:trPr>
        <w:tc>
          <w:tcPr>
            <w:tcW w:w="436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income (loss), net (d)</w:t>
            </w:r>
          </w:p>
        </w:tc>
        <w:tc>
          <w:tcPr>
            <w:tcW w:w="32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157</w:t>
            </w:r>
          </w:p>
        </w:tc>
        <w:tc>
          <w:tcPr>
            <w:tcW w:w="10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1,491</w:t>
            </w:r>
          </w:p>
        </w:tc>
        <w:tc>
          <w:tcPr>
            <w:tcW w:w="12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1,355</w:t>
            </w:r>
          </w:p>
        </w:tc>
        <w:tc>
          <w:tcPr>
            <w:tcW w:w="220" w:type="dxa"/>
            <w:vAlign w:val="bottom"/>
            <w:tcBorders>
              <w:bottom w:val="single" w:sz="8" w:color="CCEEFF"/>
            </w:tcBorders>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15</w:t>
            </w:r>
          </w:p>
        </w:tc>
        <w:tc>
          <w:tcPr>
            <w:tcW w:w="12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(4,016)</w:t>
            </w:r>
          </w:p>
        </w:tc>
      </w:tr>
      <w:tr>
        <w:trPr>
          <w:trHeight w:val="243"/>
        </w:trPr>
        <w:tc>
          <w:tcPr>
            <w:tcW w:w="436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32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78,688</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78,692</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358</w:t>
            </w: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183,319</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3,570</w:t>
            </w:r>
          </w:p>
        </w:tc>
      </w:tr>
      <w:tr>
        <w:trPr>
          <w:trHeight w:val="27"/>
        </w:trPr>
        <w:tc>
          <w:tcPr>
            <w:tcW w:w="43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3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Litigation settlement (c)</w:t>
            </w:r>
          </w:p>
        </w:tc>
        <w:tc>
          <w:tcPr>
            <w:tcW w:w="3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74,385</w:t>
            </w:r>
          </w:p>
        </w:tc>
        <w:tc>
          <w:tcPr>
            <w:tcW w:w="2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74,385</w:t>
            </w:r>
          </w:p>
        </w:tc>
      </w:tr>
      <w:tr>
        <w:trPr>
          <w:trHeight w:val="243"/>
        </w:trPr>
        <w:tc>
          <w:tcPr>
            <w:tcW w:w="4360" w:type="dxa"/>
            <w:vAlign w:val="bottom"/>
          </w:tcPr>
          <w:p>
            <w:pPr>
              <w:ind w:left="460"/>
              <w:spacing w:after="0"/>
              <w:rPr>
                <w:sz w:val="20"/>
                <w:szCs w:val="20"/>
                <w:color w:val="auto"/>
              </w:rPr>
            </w:pPr>
            <w:r>
              <w:rPr>
                <w:rFonts w:ascii="Arial" w:cs="Arial" w:eastAsia="Arial" w:hAnsi="Arial"/>
                <w:sz w:val="18"/>
                <w:szCs w:val="18"/>
                <w:color w:val="auto"/>
              </w:rPr>
              <w:t>Gain on sale of intellectual property</w:t>
            </w:r>
          </w:p>
        </w:tc>
        <w:tc>
          <w:tcPr>
            <w:tcW w:w="32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(3,500)</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(3,500)</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43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3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Write-off of debt issuance costs (f)</w:t>
            </w:r>
          </w:p>
        </w:tc>
        <w:tc>
          <w:tcPr>
            <w:tcW w:w="32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782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850</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7,736</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4360" w:type="dxa"/>
            <w:vAlign w:val="bottom"/>
          </w:tcPr>
          <w:p>
            <w:pPr>
              <w:ind w:left="460"/>
              <w:spacing w:after="0"/>
              <w:rPr>
                <w:sz w:val="20"/>
                <w:szCs w:val="20"/>
                <w:color w:val="auto"/>
              </w:rPr>
            </w:pPr>
            <w:r>
              <w:rPr>
                <w:rFonts w:ascii="Arial" w:cs="Arial" w:eastAsia="Arial" w:hAnsi="Arial"/>
                <w:sz w:val="18"/>
                <w:szCs w:val="18"/>
                <w:color w:val="auto"/>
              </w:rPr>
              <w:t>Other operating expenses (d)</w:t>
            </w:r>
          </w:p>
        </w:tc>
        <w:tc>
          <w:tcPr>
            <w:tcW w:w="32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7,392</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11,222</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10,579</w:t>
            </w: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62,095</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14,689</w:t>
            </w:r>
          </w:p>
        </w:tc>
      </w:tr>
      <w:tr>
        <w:trPr>
          <w:trHeight w:val="27"/>
        </w:trPr>
        <w:tc>
          <w:tcPr>
            <w:tcW w:w="43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4"/>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Pre-tax total special items</w:t>
            </w:r>
          </w:p>
        </w:tc>
        <w:tc>
          <w:tcPr>
            <w:tcW w:w="32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244,437</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275,367</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112,849</w:t>
            </w:r>
          </w:p>
        </w:tc>
        <w:tc>
          <w:tcPr>
            <w:tcW w:w="2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750,885</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190,000</w:t>
            </w:r>
          </w:p>
        </w:tc>
      </w:tr>
      <w:tr>
        <w:trPr>
          <w:trHeight w:val="237"/>
        </w:trPr>
        <w:tc>
          <w:tcPr>
            <w:tcW w:w="4360" w:type="dxa"/>
            <w:vAlign w:val="bottom"/>
          </w:tcPr>
          <w:p>
            <w:pPr>
              <w:ind w:left="40"/>
              <w:spacing w:after="0"/>
              <w:rPr>
                <w:sz w:val="20"/>
                <w:szCs w:val="20"/>
                <w:color w:val="auto"/>
              </w:rPr>
            </w:pPr>
            <w:r>
              <w:rPr>
                <w:rFonts w:ascii="Arial" w:cs="Arial" w:eastAsia="Arial" w:hAnsi="Arial"/>
                <w:sz w:val="18"/>
                <w:szCs w:val="18"/>
                <w:color w:val="auto"/>
              </w:rPr>
              <w:t>Other income tax effects and adjustments (g)</w:t>
            </w:r>
          </w:p>
        </w:tc>
        <w:tc>
          <w:tcPr>
            <w:tcW w:w="32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184,348</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55</w:t>
            </w:r>
          </w:p>
        </w:tc>
        <w:tc>
          <w:tcPr>
            <w:tcW w:w="1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3,170</w:t>
            </w:r>
          </w:p>
        </w:tc>
        <w:tc>
          <w:tcPr>
            <w:tcW w:w="22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144,585</w:t>
            </w:r>
          </w:p>
        </w:tc>
        <w:tc>
          <w:tcPr>
            <w:tcW w:w="1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(7,590)</w:t>
            </w:r>
          </w:p>
        </w:tc>
      </w:tr>
      <w:tr>
        <w:trPr>
          <w:trHeight w:val="27"/>
        </w:trPr>
        <w:tc>
          <w:tcPr>
            <w:tcW w:w="43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9"/>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net income from continuing operations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168,087</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221,655</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164,782</w:t>
            </w:r>
          </w:p>
        </w:tc>
        <w:tc>
          <w:tcPr>
            <w:tcW w:w="2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716,376</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615,552</w:t>
            </w:r>
          </w:p>
        </w:tc>
      </w:tr>
      <w:tr>
        <w:trPr>
          <w:trHeight w:val="20"/>
        </w:trPr>
        <w:tc>
          <w:tcPr>
            <w:tcW w:w="43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3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spacing w:after="0"/>
              <w:rPr>
                <w:sz w:val="21"/>
                <w:szCs w:val="21"/>
                <w:color w:val="auto"/>
              </w:rPr>
            </w:pPr>
          </w:p>
        </w:tc>
      </w:tr>
      <w:tr>
        <w:trPr>
          <w:trHeight w:val="324"/>
        </w:trPr>
        <w:tc>
          <w:tcPr>
            <w:tcW w:w="436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40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r>
    </w:tbl>
    <w:p>
      <w:pPr>
        <w:sectPr>
          <w:pgSz w:w="11900" w:h="16838" w:orient="portrait"/>
          <w:cols w:equalWidth="0" w:num="1">
            <w:col w:w="11420"/>
          </w:cols>
          <w:pgMar w:left="240" w:top="553"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3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5"/>
              </w:rPr>
              <w:t>Three Months Ended</w:t>
            </w: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620" w:type="dxa"/>
            <w:vAlign w:val="bottom"/>
            <w:tcBorders>
              <w:bottom w:val="single" w:sz="8" w:color="auto"/>
            </w:tcBorders>
            <w:gridSpan w:val="4"/>
          </w:tcPr>
          <w:p>
            <w:pPr>
              <w:jc w:val="right"/>
              <w:ind w:right="956"/>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52"/>
        </w:trPr>
        <w:tc>
          <w:tcPr>
            <w:tcW w:w="43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00" w:type="dxa"/>
            <w:vAlign w:val="bottom"/>
          </w:tcPr>
          <w:p>
            <w:pPr>
              <w:jc w:val="right"/>
              <w:ind w:right="216"/>
              <w:spacing w:after="0" w:line="153" w:lineRule="exact"/>
              <w:rPr>
                <w:sz w:val="20"/>
                <w:szCs w:val="20"/>
                <w:color w:val="auto"/>
              </w:rPr>
            </w:pPr>
            <w:r>
              <w:rPr>
                <w:rFonts w:ascii="Arial" w:cs="Arial" w:eastAsia="Arial" w:hAnsi="Arial"/>
                <w:sz w:val="14"/>
                <w:szCs w:val="14"/>
                <w:b w:val="1"/>
                <w:bCs w:val="1"/>
                <w:color w:val="auto"/>
              </w:rPr>
              <w:t>February 2,</w:t>
            </w: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200" w:type="dxa"/>
            <w:vAlign w:val="bottom"/>
            <w:gridSpan w:val="2"/>
          </w:tcPr>
          <w:p>
            <w:pPr>
              <w:jc w:val="center"/>
              <w:ind w:right="340"/>
              <w:spacing w:after="0" w:line="153" w:lineRule="exact"/>
              <w:rPr>
                <w:sz w:val="20"/>
                <w:szCs w:val="20"/>
                <w:color w:val="auto"/>
              </w:rPr>
            </w:pPr>
            <w:r>
              <w:rPr>
                <w:rFonts w:ascii="Arial" w:cs="Arial" w:eastAsia="Arial" w:hAnsi="Arial"/>
                <w:sz w:val="14"/>
                <w:szCs w:val="14"/>
                <w:b w:val="1"/>
                <w:bCs w:val="1"/>
                <w:color w:val="auto"/>
                <w:w w:val="92"/>
              </w:rPr>
              <w:t>November 3,</w:t>
            </w:r>
          </w:p>
        </w:tc>
        <w:tc>
          <w:tcPr>
            <w:tcW w:w="180" w:type="dxa"/>
            <w:vAlign w:val="bottom"/>
          </w:tcPr>
          <w:p>
            <w:pPr>
              <w:spacing w:after="0"/>
              <w:rPr>
                <w:sz w:val="13"/>
                <w:szCs w:val="13"/>
                <w:color w:val="auto"/>
              </w:rPr>
            </w:pPr>
          </w:p>
        </w:tc>
        <w:tc>
          <w:tcPr>
            <w:tcW w:w="128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February 3,</w:t>
            </w:r>
          </w:p>
        </w:tc>
        <w:tc>
          <w:tcPr>
            <w:tcW w:w="220" w:type="dxa"/>
            <w:vAlign w:val="bottom"/>
          </w:tcPr>
          <w:p>
            <w:pPr>
              <w:spacing w:after="0"/>
              <w:rPr>
                <w:sz w:val="13"/>
                <w:szCs w:val="13"/>
                <w:color w:val="auto"/>
              </w:rPr>
            </w:pPr>
          </w:p>
        </w:tc>
        <w:tc>
          <w:tcPr>
            <w:tcW w:w="12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3"/>
                <w:szCs w:val="13"/>
                <w:color w:val="auto"/>
              </w:rPr>
            </w:pPr>
          </w:p>
        </w:tc>
        <w:tc>
          <w:tcPr>
            <w:tcW w:w="1160" w:type="dxa"/>
            <w:vAlign w:val="bottom"/>
          </w:tcPr>
          <w:p>
            <w:pPr>
              <w:jc w:val="right"/>
              <w:ind w:right="256"/>
              <w:spacing w:after="0" w:line="153" w:lineRule="exact"/>
              <w:rPr>
                <w:sz w:val="20"/>
                <w:szCs w:val="20"/>
                <w:color w:val="auto"/>
              </w:rPr>
            </w:pPr>
            <w:r>
              <w:rPr>
                <w:rFonts w:ascii="Arial" w:cs="Arial" w:eastAsia="Arial" w:hAnsi="Arial"/>
                <w:sz w:val="14"/>
                <w:szCs w:val="14"/>
                <w:b w:val="1"/>
                <w:bCs w:val="1"/>
                <w:color w:val="auto"/>
              </w:rPr>
              <w:t>February 3,</w:t>
            </w:r>
          </w:p>
        </w:tc>
        <w:tc>
          <w:tcPr>
            <w:tcW w:w="0" w:type="dxa"/>
            <w:vAlign w:val="bottom"/>
          </w:tcPr>
          <w:p>
            <w:pPr>
              <w:spacing w:after="0"/>
              <w:rPr>
                <w:sz w:val="1"/>
                <w:szCs w:val="1"/>
                <w:color w:val="auto"/>
              </w:rPr>
            </w:pPr>
          </w:p>
        </w:tc>
      </w:tr>
      <w:tr>
        <w:trPr>
          <w:trHeight w:val="192"/>
        </w:trPr>
        <w:tc>
          <w:tcPr>
            <w:tcW w:w="43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89"/>
              </w:rPr>
              <w:t>2018</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6"/>
              <w:spacing w:after="0"/>
              <w:rPr>
                <w:sz w:val="20"/>
                <w:szCs w:val="20"/>
                <w:color w:val="auto"/>
              </w:rPr>
            </w:pPr>
            <w:r>
              <w:rPr>
                <w:rFonts w:ascii="Arial" w:cs="Arial" w:eastAsia="Arial" w:hAnsi="Arial"/>
                <w:sz w:val="14"/>
                <w:szCs w:val="14"/>
                <w:b w:val="1"/>
                <w:bCs w:val="1"/>
                <w:color w:val="auto"/>
              </w:rPr>
              <w:t>2018</w:t>
            </w:r>
          </w:p>
        </w:tc>
        <w:tc>
          <w:tcPr>
            <w:tcW w:w="2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8"/>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75"/>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 basic</w:t>
            </w:r>
          </w:p>
        </w:tc>
        <w:tc>
          <w:tcPr>
            <w:tcW w:w="1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657,835</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657,519</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493,663</w:t>
            </w:r>
          </w:p>
        </w:tc>
        <w:tc>
          <w:tcPr>
            <w:tcW w:w="22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591,232</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498,008</w:t>
            </w:r>
          </w:p>
        </w:tc>
        <w:tc>
          <w:tcPr>
            <w:tcW w:w="0" w:type="dxa"/>
            <w:vAlign w:val="bottom"/>
          </w:tcPr>
          <w:p>
            <w:pPr>
              <w:spacing w:after="0"/>
              <w:rPr>
                <w:sz w:val="1"/>
                <w:szCs w:val="1"/>
                <w:color w:val="auto"/>
              </w:rPr>
            </w:pPr>
          </w:p>
        </w:tc>
      </w:tr>
      <w:tr>
        <w:trPr>
          <w:trHeight w:val="20"/>
        </w:trPr>
        <w:tc>
          <w:tcPr>
            <w:tcW w:w="43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Weighted average shares — diluted</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36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ind w:right="16"/>
              <w:spacing w:after="0"/>
              <w:rPr>
                <w:sz w:val="20"/>
                <w:szCs w:val="20"/>
                <w:color w:val="auto"/>
              </w:rPr>
            </w:pPr>
            <w:r>
              <w:rPr>
                <w:rFonts w:ascii="Arial" w:cs="Arial" w:eastAsia="Arial" w:hAnsi="Arial"/>
                <w:sz w:val="18"/>
                <w:szCs w:val="18"/>
                <w:color w:val="auto"/>
              </w:rPr>
              <w:t>657,835</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80" w:type="dxa"/>
            <w:vAlign w:val="bottom"/>
          </w:tcPr>
          <w:p>
            <w:pPr>
              <w:jc w:val="right"/>
              <w:ind w:right="16"/>
              <w:spacing w:after="0"/>
              <w:rPr>
                <w:sz w:val="20"/>
                <w:szCs w:val="20"/>
                <w:color w:val="auto"/>
              </w:rPr>
            </w:pPr>
            <w:r>
              <w:rPr>
                <w:rFonts w:ascii="Arial" w:cs="Arial" w:eastAsia="Arial" w:hAnsi="Arial"/>
                <w:sz w:val="18"/>
                <w:szCs w:val="18"/>
                <w:color w:val="auto"/>
              </w:rPr>
              <w:t>657,519</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ind w:right="16"/>
              <w:spacing w:after="0"/>
              <w:rPr>
                <w:sz w:val="20"/>
                <w:szCs w:val="20"/>
                <w:color w:val="auto"/>
              </w:rPr>
            </w:pPr>
            <w:r>
              <w:rPr>
                <w:rFonts w:ascii="Arial" w:cs="Arial" w:eastAsia="Arial" w:hAnsi="Arial"/>
                <w:sz w:val="18"/>
                <w:szCs w:val="18"/>
                <w:color w:val="auto"/>
              </w:rPr>
              <w:t>506,197</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ind w:right="18"/>
              <w:spacing w:after="0"/>
              <w:rPr>
                <w:sz w:val="20"/>
                <w:szCs w:val="20"/>
                <w:color w:val="auto"/>
              </w:rPr>
            </w:pPr>
            <w:r>
              <w:rPr>
                <w:rFonts w:ascii="Arial" w:cs="Arial" w:eastAsia="Arial" w:hAnsi="Arial"/>
                <w:sz w:val="18"/>
                <w:szCs w:val="18"/>
                <w:color w:val="auto"/>
              </w:rPr>
              <w:t>591,232</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ind w:right="16"/>
              <w:spacing w:after="0"/>
              <w:rPr>
                <w:sz w:val="20"/>
                <w:szCs w:val="20"/>
                <w:color w:val="auto"/>
              </w:rPr>
            </w:pPr>
            <w:r>
              <w:rPr>
                <w:rFonts w:ascii="Arial" w:cs="Arial" w:eastAsia="Arial" w:hAnsi="Arial"/>
                <w:sz w:val="18"/>
                <w:szCs w:val="18"/>
                <w:color w:val="auto"/>
              </w:rPr>
              <w:t>509,667</w:t>
            </w:r>
          </w:p>
        </w:tc>
        <w:tc>
          <w:tcPr>
            <w:tcW w:w="0" w:type="dxa"/>
            <w:vAlign w:val="bottom"/>
          </w:tcPr>
          <w:p>
            <w:pPr>
              <w:spacing w:after="0"/>
              <w:rPr>
                <w:sz w:val="1"/>
                <w:szCs w:val="1"/>
                <w:color w:val="auto"/>
              </w:rPr>
            </w:pPr>
          </w:p>
        </w:tc>
      </w:tr>
      <w:tr>
        <w:trPr>
          <w:trHeight w:val="67"/>
        </w:trPr>
        <w:tc>
          <w:tcPr>
            <w:tcW w:w="436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36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10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8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6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14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6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4360" w:type="dxa"/>
            <w:vAlign w:val="bottom"/>
          </w:tcPr>
          <w:p>
            <w:pPr>
              <w:ind w:left="40"/>
              <w:spacing w:after="0"/>
              <w:rPr>
                <w:sz w:val="20"/>
                <w:szCs w:val="20"/>
                <w:color w:val="auto"/>
              </w:rPr>
            </w:pPr>
            <w:r>
              <w:rPr>
                <w:rFonts w:ascii="Arial" w:cs="Arial" w:eastAsia="Arial" w:hAnsi="Arial"/>
                <w:sz w:val="18"/>
                <w:szCs w:val="18"/>
                <w:color w:val="auto"/>
              </w:rPr>
              <w:t>GAAP diluted net income (loss) per share from</w:t>
            </w: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(0.40)</w:t>
            </w:r>
          </w:p>
        </w:tc>
        <w:tc>
          <w:tcPr>
            <w:tcW w:w="100" w:type="dxa"/>
            <w:vAlign w:val="bottom"/>
            <w:vMerge w:val="restart"/>
          </w:tcPr>
          <w:p>
            <w:pPr>
              <w:spacing w:after="0"/>
              <w:rPr>
                <w:sz w:val="19"/>
                <w:szCs w:val="19"/>
                <w:color w:val="auto"/>
              </w:rPr>
            </w:pP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vMerge w:val="restart"/>
          </w:tcPr>
          <w:p>
            <w:pPr>
              <w:jc w:val="right"/>
              <w:spacing w:after="0"/>
              <w:rPr>
                <w:sz w:val="20"/>
                <w:szCs w:val="20"/>
                <w:color w:val="auto"/>
              </w:rPr>
            </w:pPr>
            <w:r>
              <w:rPr>
                <w:rFonts w:ascii="Arial" w:cs="Arial" w:eastAsia="Arial" w:hAnsi="Arial"/>
                <w:sz w:val="18"/>
                <w:szCs w:val="18"/>
                <w:color w:val="auto"/>
              </w:rPr>
              <w:t>(0.08)</w:t>
            </w:r>
          </w:p>
        </w:tc>
        <w:tc>
          <w:tcPr>
            <w:tcW w:w="120" w:type="dxa"/>
            <w:vAlign w:val="bottom"/>
          </w:tcPr>
          <w:p>
            <w:pPr>
              <w:spacing w:after="0"/>
              <w:rPr>
                <w:sz w:val="19"/>
                <w:szCs w:val="19"/>
                <w:color w:val="auto"/>
              </w:rPr>
            </w:pP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vMerge w:val="restart"/>
          </w:tcPr>
          <w:p>
            <w:pPr>
              <w:jc w:val="right"/>
              <w:ind w:right="16"/>
              <w:spacing w:after="0"/>
              <w:rPr>
                <w:sz w:val="20"/>
                <w:szCs w:val="20"/>
                <w:color w:val="auto"/>
              </w:rPr>
            </w:pPr>
            <w:r>
              <w:rPr>
                <w:rFonts w:ascii="Arial" w:cs="Arial" w:eastAsia="Arial" w:hAnsi="Arial"/>
                <w:sz w:val="18"/>
                <w:szCs w:val="18"/>
                <w:color w:val="auto"/>
              </w:rPr>
              <w:t>0.10</w:t>
            </w:r>
          </w:p>
        </w:tc>
        <w:tc>
          <w:tcPr>
            <w:tcW w:w="220" w:type="dxa"/>
            <w:vAlign w:val="bottom"/>
          </w:tcPr>
          <w:p>
            <w:pPr>
              <w:spacing w:after="0"/>
              <w:rPr>
                <w:sz w:val="19"/>
                <w:szCs w:val="19"/>
                <w:color w:val="auto"/>
              </w:rPr>
            </w:pPr>
          </w:p>
        </w:tc>
        <w:tc>
          <w:tcPr>
            <w:tcW w:w="220" w:type="dxa"/>
            <w:vAlign w:val="bottom"/>
            <w:vMerge w:val="restart"/>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vMerge w:val="restart"/>
          </w:tcPr>
          <w:p>
            <w:pPr>
              <w:jc w:val="right"/>
              <w:spacing w:after="0"/>
              <w:rPr>
                <w:sz w:val="20"/>
                <w:szCs w:val="20"/>
                <w:color w:val="auto"/>
              </w:rPr>
            </w:pPr>
            <w:r>
              <w:rPr>
                <w:rFonts w:ascii="Arial" w:cs="Arial" w:eastAsia="Arial" w:hAnsi="Arial"/>
                <w:sz w:val="18"/>
                <w:szCs w:val="18"/>
                <w:color w:val="auto"/>
              </w:rPr>
              <w:t>(0.30)</w:t>
            </w:r>
          </w:p>
        </w:tc>
        <w:tc>
          <w:tcPr>
            <w:tcW w:w="120" w:type="dxa"/>
            <w:vAlign w:val="bottom"/>
          </w:tcPr>
          <w:p>
            <w:pPr>
              <w:spacing w:after="0"/>
              <w:rPr>
                <w:sz w:val="19"/>
                <w:szCs w:val="19"/>
                <w:color w:val="auto"/>
              </w:rPr>
            </w:pPr>
          </w:p>
        </w:tc>
        <w:tc>
          <w:tcPr>
            <w:tcW w:w="20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vMerge w:val="restart"/>
          </w:tcPr>
          <w:p>
            <w:pPr>
              <w:jc w:val="right"/>
              <w:ind w:right="16"/>
              <w:spacing w:after="0"/>
              <w:rPr>
                <w:sz w:val="20"/>
                <w:szCs w:val="20"/>
                <w:color w:val="auto"/>
              </w:rPr>
            </w:pPr>
            <w:r>
              <w:rPr>
                <w:rFonts w:ascii="Arial" w:cs="Arial" w:eastAsia="Arial" w:hAnsi="Arial"/>
                <w:sz w:val="18"/>
                <w:szCs w:val="18"/>
                <w:color w:val="auto"/>
              </w:rPr>
              <w:t>0.85</w:t>
            </w:r>
          </w:p>
        </w:tc>
        <w:tc>
          <w:tcPr>
            <w:tcW w:w="0" w:type="dxa"/>
            <w:vAlign w:val="bottom"/>
          </w:tcPr>
          <w:p>
            <w:pPr>
              <w:spacing w:after="0"/>
              <w:rPr>
                <w:sz w:val="1"/>
                <w:szCs w:val="1"/>
                <w:color w:val="auto"/>
              </w:rPr>
            </w:pPr>
          </w:p>
        </w:tc>
      </w:tr>
      <w:tr>
        <w:trPr>
          <w:trHeight w:val="277"/>
        </w:trPr>
        <w:tc>
          <w:tcPr>
            <w:tcW w:w="4360" w:type="dxa"/>
            <w:vAlign w:val="bottom"/>
            <w:tcBorders>
              <w:bottom w:val="single" w:sz="8" w:color="CCEEFF"/>
            </w:tcBorders>
          </w:tcPr>
          <w:p>
            <w:pPr>
              <w:ind w:left="260"/>
              <w:spacing w:after="0"/>
              <w:rPr>
                <w:sz w:val="20"/>
                <w:szCs w:val="20"/>
                <w:color w:val="auto"/>
              </w:rPr>
            </w:pPr>
            <w:r>
              <w:rPr>
                <w:rFonts w:ascii="Arial" w:cs="Arial" w:eastAsia="Arial" w:hAnsi="Arial"/>
                <w:sz w:val="18"/>
                <w:szCs w:val="18"/>
                <w:color w:val="auto"/>
              </w:rPr>
              <w:t>continuing operations</w:t>
            </w:r>
          </w:p>
        </w:tc>
        <w:tc>
          <w:tcPr>
            <w:tcW w:w="180" w:type="dxa"/>
            <w:vAlign w:val="bottom"/>
            <w:tcBorders>
              <w:bottom w:val="single" w:sz="8" w:color="auto"/>
            </w:tcBorders>
            <w:vMerge w:val="continue"/>
          </w:tcPr>
          <w:p>
            <w:pPr>
              <w:spacing w:after="0"/>
              <w:rPr>
                <w:sz w:val="24"/>
                <w:szCs w:val="24"/>
                <w:color w:val="auto"/>
              </w:rPr>
            </w:pPr>
          </w:p>
        </w:tc>
        <w:tc>
          <w:tcPr>
            <w:tcW w:w="1100" w:type="dxa"/>
            <w:vAlign w:val="bottom"/>
            <w:tcBorders>
              <w:bottom w:val="single" w:sz="8" w:color="auto"/>
            </w:tcBorders>
            <w:vMerge w:val="continue"/>
          </w:tcPr>
          <w:p>
            <w:pPr>
              <w:spacing w:after="0"/>
              <w:rPr>
                <w:sz w:val="24"/>
                <w:szCs w:val="24"/>
                <w:color w:val="auto"/>
              </w:rPr>
            </w:pPr>
          </w:p>
        </w:tc>
        <w:tc>
          <w:tcPr>
            <w:tcW w:w="100" w:type="dxa"/>
            <w:vAlign w:val="bottom"/>
            <w:tcBorders>
              <w:bottom w:val="single" w:sz="8" w:color="CCEEFF"/>
            </w:tcBorders>
            <w:vMerge w:val="continue"/>
          </w:tcPr>
          <w:p>
            <w:pPr>
              <w:spacing w:after="0"/>
              <w:rPr>
                <w:sz w:val="24"/>
                <w:szCs w:val="24"/>
                <w:color w:val="auto"/>
              </w:rPr>
            </w:pPr>
          </w:p>
        </w:tc>
        <w:tc>
          <w:tcPr>
            <w:tcW w:w="180" w:type="dxa"/>
            <w:vAlign w:val="bottom"/>
            <w:tcBorders>
              <w:bottom w:val="single" w:sz="8" w:color="auto"/>
            </w:tcBorders>
            <w:vMerge w:val="continue"/>
          </w:tcPr>
          <w:p>
            <w:pPr>
              <w:spacing w:after="0"/>
              <w:rPr>
                <w:sz w:val="24"/>
                <w:szCs w:val="24"/>
                <w:color w:val="auto"/>
              </w:rPr>
            </w:pPr>
          </w:p>
        </w:tc>
        <w:tc>
          <w:tcPr>
            <w:tcW w:w="1080" w:type="dxa"/>
            <w:vAlign w:val="bottom"/>
            <w:tcBorders>
              <w:bottom w:val="single" w:sz="8" w:color="auto"/>
            </w:tcBorders>
            <w:vMerge w:val="continue"/>
          </w:tcPr>
          <w:p>
            <w:pPr>
              <w:spacing w:after="0"/>
              <w:rPr>
                <w:sz w:val="24"/>
                <w:szCs w:val="24"/>
                <w:color w:val="auto"/>
              </w:rPr>
            </w:pPr>
          </w:p>
        </w:tc>
        <w:tc>
          <w:tcPr>
            <w:tcW w:w="120" w:type="dxa"/>
            <w:vAlign w:val="bottom"/>
            <w:tcBorders>
              <w:bottom w:val="single" w:sz="8" w:color="CCEEFF"/>
            </w:tcBorders>
          </w:tcPr>
          <w:p>
            <w:pPr>
              <w:spacing w:after="0"/>
              <w:rPr>
                <w:sz w:val="24"/>
                <w:szCs w:val="24"/>
                <w:color w:val="auto"/>
              </w:rPr>
            </w:pPr>
          </w:p>
        </w:tc>
        <w:tc>
          <w:tcPr>
            <w:tcW w:w="180" w:type="dxa"/>
            <w:vAlign w:val="bottom"/>
            <w:tcBorders>
              <w:bottom w:val="single" w:sz="8" w:color="auto"/>
            </w:tcBorders>
            <w:vMerge w:val="continue"/>
          </w:tcPr>
          <w:p>
            <w:pPr>
              <w:spacing w:after="0"/>
              <w:rPr>
                <w:sz w:val="24"/>
                <w:szCs w:val="24"/>
                <w:color w:val="auto"/>
              </w:rPr>
            </w:pPr>
          </w:p>
        </w:tc>
        <w:tc>
          <w:tcPr>
            <w:tcW w:w="1060" w:type="dxa"/>
            <w:vAlign w:val="bottom"/>
            <w:tcBorders>
              <w:bottom w:val="single" w:sz="8" w:color="auto"/>
            </w:tcBorders>
            <w:vMerge w:val="continue"/>
          </w:tcPr>
          <w:p>
            <w:pPr>
              <w:spacing w:after="0"/>
              <w:rPr>
                <w:sz w:val="24"/>
                <w:szCs w:val="24"/>
                <w:color w:val="auto"/>
              </w:rPr>
            </w:pPr>
          </w:p>
        </w:tc>
        <w:tc>
          <w:tcPr>
            <w:tcW w:w="220" w:type="dxa"/>
            <w:vAlign w:val="bottom"/>
            <w:tcBorders>
              <w:bottom w:val="single" w:sz="8" w:color="CCEEFF"/>
            </w:tcBorders>
          </w:tcPr>
          <w:p>
            <w:pPr>
              <w:spacing w:after="0"/>
              <w:rPr>
                <w:sz w:val="24"/>
                <w:szCs w:val="24"/>
                <w:color w:val="auto"/>
              </w:rPr>
            </w:pPr>
          </w:p>
        </w:tc>
        <w:tc>
          <w:tcPr>
            <w:tcW w:w="220" w:type="dxa"/>
            <w:vAlign w:val="bottom"/>
            <w:tcBorders>
              <w:bottom w:val="single" w:sz="8" w:color="auto"/>
            </w:tcBorders>
            <w:vMerge w:val="continue"/>
          </w:tcPr>
          <w:p>
            <w:pPr>
              <w:spacing w:after="0"/>
              <w:rPr>
                <w:sz w:val="24"/>
                <w:szCs w:val="24"/>
                <w:color w:val="auto"/>
              </w:rPr>
            </w:pPr>
          </w:p>
        </w:tc>
        <w:tc>
          <w:tcPr>
            <w:tcW w:w="1140" w:type="dxa"/>
            <w:vAlign w:val="bottom"/>
            <w:tcBorders>
              <w:bottom w:val="single" w:sz="8" w:color="auto"/>
            </w:tcBorders>
            <w:vMerge w:val="continue"/>
          </w:tcPr>
          <w:p>
            <w:pPr>
              <w:spacing w:after="0"/>
              <w:rPr>
                <w:sz w:val="24"/>
                <w:szCs w:val="24"/>
                <w:color w:val="auto"/>
              </w:rPr>
            </w:pPr>
          </w:p>
        </w:tc>
        <w:tc>
          <w:tcPr>
            <w:tcW w:w="120" w:type="dxa"/>
            <w:vAlign w:val="bottom"/>
            <w:tcBorders>
              <w:bottom w:val="single" w:sz="8" w:color="CCEEFF"/>
            </w:tcBorders>
          </w:tcPr>
          <w:p>
            <w:pPr>
              <w:spacing w:after="0"/>
              <w:rPr>
                <w:sz w:val="24"/>
                <w:szCs w:val="24"/>
                <w:color w:val="auto"/>
              </w:rPr>
            </w:pPr>
          </w:p>
        </w:tc>
        <w:tc>
          <w:tcPr>
            <w:tcW w:w="200" w:type="dxa"/>
            <w:vAlign w:val="bottom"/>
            <w:tcBorders>
              <w:bottom w:val="single" w:sz="8" w:color="auto"/>
            </w:tcBorders>
            <w:vMerge w:val="continue"/>
          </w:tcPr>
          <w:p>
            <w:pPr>
              <w:spacing w:after="0"/>
              <w:rPr>
                <w:sz w:val="24"/>
                <w:szCs w:val="24"/>
                <w:color w:val="auto"/>
              </w:rPr>
            </w:pPr>
          </w:p>
        </w:tc>
        <w:tc>
          <w:tcPr>
            <w:tcW w:w="1160" w:type="dxa"/>
            <w:vAlign w:val="bottom"/>
            <w:tcBorders>
              <w:bottom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89"/>
        </w:trPr>
        <w:tc>
          <w:tcPr>
            <w:tcW w:w="4360" w:type="dxa"/>
            <w:vAlign w:val="bottom"/>
            <w:shd w:val="clear" w:color="auto" w:fill="CCEEFF"/>
          </w:tcPr>
          <w:p>
            <w:pPr>
              <w:ind w:left="40"/>
              <w:spacing w:after="0" w:line="189" w:lineRule="exact"/>
              <w:rPr>
                <w:sz w:val="20"/>
                <w:szCs w:val="20"/>
                <w:color w:val="auto"/>
              </w:rPr>
            </w:pPr>
            <w:r>
              <w:rPr>
                <w:rFonts w:ascii="Arial" w:cs="Arial" w:eastAsia="Arial" w:hAnsi="Arial"/>
                <w:sz w:val="18"/>
                <w:szCs w:val="18"/>
                <w:color w:val="auto"/>
              </w:rPr>
              <w:t>Non-GAAP diluted net income per share from</w:t>
            </w: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vMerge w:val="restart"/>
            <w:shd w:val="clear" w:color="auto" w:fill="CCEEFF"/>
          </w:tcPr>
          <w:p>
            <w:pPr>
              <w:jc w:val="right"/>
              <w:ind w:right="16"/>
              <w:spacing w:after="0"/>
              <w:rPr>
                <w:sz w:val="20"/>
                <w:szCs w:val="20"/>
                <w:color w:val="auto"/>
              </w:rPr>
            </w:pPr>
            <w:r>
              <w:rPr>
                <w:rFonts w:ascii="Arial" w:cs="Arial" w:eastAsia="Arial" w:hAnsi="Arial"/>
                <w:sz w:val="18"/>
                <w:szCs w:val="18"/>
                <w:color w:val="auto"/>
              </w:rPr>
              <w:t>0.25</w:t>
            </w:r>
          </w:p>
        </w:tc>
        <w:tc>
          <w:tcPr>
            <w:tcW w:w="28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vMerge w:val="restart"/>
            <w:shd w:val="clear" w:color="auto" w:fill="CCEEFF"/>
          </w:tcPr>
          <w:p>
            <w:pPr>
              <w:jc w:val="right"/>
              <w:ind w:right="16"/>
              <w:spacing w:after="0"/>
              <w:rPr>
                <w:sz w:val="20"/>
                <w:szCs w:val="20"/>
                <w:color w:val="auto"/>
              </w:rPr>
            </w:pPr>
            <w:r>
              <w:rPr>
                <w:rFonts w:ascii="Arial" w:cs="Arial" w:eastAsia="Arial" w:hAnsi="Arial"/>
                <w:sz w:val="18"/>
                <w:szCs w:val="18"/>
                <w:color w:val="auto"/>
              </w:rPr>
              <w:t>0.33</w:t>
            </w:r>
          </w:p>
        </w:tc>
        <w:tc>
          <w:tcPr>
            <w:tcW w:w="120" w:type="dxa"/>
            <w:vAlign w:val="bottom"/>
            <w:shd w:val="clear" w:color="auto" w:fill="CCEEFF"/>
          </w:tcPr>
          <w:p>
            <w:pPr>
              <w:spacing w:after="0"/>
              <w:rPr>
                <w:sz w:val="16"/>
                <w:szCs w:val="16"/>
                <w:color w:val="auto"/>
              </w:rPr>
            </w:pP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vMerge w:val="restart"/>
            <w:shd w:val="clear" w:color="auto" w:fill="CCEEFF"/>
          </w:tcPr>
          <w:p>
            <w:pPr>
              <w:jc w:val="right"/>
              <w:ind w:right="16"/>
              <w:spacing w:after="0"/>
              <w:rPr>
                <w:sz w:val="20"/>
                <w:szCs w:val="20"/>
                <w:color w:val="auto"/>
              </w:rPr>
            </w:pPr>
            <w:r>
              <w:rPr>
                <w:rFonts w:ascii="Arial" w:cs="Arial" w:eastAsia="Arial" w:hAnsi="Arial"/>
                <w:sz w:val="18"/>
                <w:szCs w:val="18"/>
                <w:color w:val="auto"/>
              </w:rPr>
              <w:t>0.32</w:t>
            </w:r>
          </w:p>
        </w:tc>
        <w:tc>
          <w:tcPr>
            <w:tcW w:w="220" w:type="dxa"/>
            <w:vAlign w:val="bottom"/>
            <w:shd w:val="clear" w:color="auto" w:fill="CCEEFF"/>
          </w:tcPr>
          <w:p>
            <w:pPr>
              <w:spacing w:after="0"/>
              <w:rPr>
                <w:sz w:val="16"/>
                <w:szCs w:val="16"/>
                <w:color w:val="auto"/>
              </w:rPr>
            </w:pPr>
          </w:p>
        </w:tc>
        <w:tc>
          <w:tcPr>
            <w:tcW w:w="22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vMerge w:val="restart"/>
            <w:shd w:val="clear" w:color="auto" w:fill="CCEEFF"/>
          </w:tcPr>
          <w:p>
            <w:pPr>
              <w:jc w:val="right"/>
              <w:ind w:right="18"/>
              <w:spacing w:after="0"/>
              <w:rPr>
                <w:sz w:val="20"/>
                <w:szCs w:val="20"/>
                <w:color w:val="auto"/>
              </w:rPr>
            </w:pPr>
            <w:r>
              <w:rPr>
                <w:rFonts w:ascii="Arial" w:cs="Arial" w:eastAsia="Arial" w:hAnsi="Arial"/>
                <w:sz w:val="18"/>
                <w:szCs w:val="18"/>
                <w:color w:val="auto"/>
              </w:rPr>
              <w:t>1.19</w:t>
            </w:r>
          </w:p>
        </w:tc>
        <w:tc>
          <w:tcPr>
            <w:tcW w:w="120" w:type="dxa"/>
            <w:vAlign w:val="bottom"/>
            <w:shd w:val="clear" w:color="auto" w:fill="CCEEFF"/>
          </w:tcPr>
          <w:p>
            <w:pPr>
              <w:spacing w:after="0"/>
              <w:rPr>
                <w:sz w:val="16"/>
                <w:szCs w:val="16"/>
                <w:color w:val="auto"/>
              </w:rPr>
            </w:pPr>
          </w:p>
        </w:tc>
        <w:tc>
          <w:tcPr>
            <w:tcW w:w="2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vMerge w:val="restart"/>
            <w:shd w:val="clear" w:color="auto" w:fill="CCEEFF"/>
          </w:tcPr>
          <w:p>
            <w:pPr>
              <w:jc w:val="right"/>
              <w:ind w:right="16"/>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237"/>
        </w:trPr>
        <w:tc>
          <w:tcPr>
            <w:tcW w:w="43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continuing operations (h)</w:t>
            </w:r>
          </w:p>
        </w:tc>
        <w:tc>
          <w:tcPr>
            <w:tcW w:w="180" w:type="dxa"/>
            <w:vAlign w:val="bottom"/>
            <w:vMerge w:val="continue"/>
            <w:shd w:val="clear" w:color="auto" w:fill="CCEEFF"/>
          </w:tcPr>
          <w:p>
            <w:pPr>
              <w:spacing w:after="0"/>
              <w:rPr>
                <w:sz w:val="20"/>
                <w:szCs w:val="20"/>
                <w:color w:val="auto"/>
              </w:rPr>
            </w:pPr>
          </w:p>
        </w:tc>
        <w:tc>
          <w:tcPr>
            <w:tcW w:w="1100" w:type="dxa"/>
            <w:vAlign w:val="bottom"/>
            <w:vMerge w:val="continue"/>
            <w:shd w:val="clear" w:color="auto" w:fill="CCEEFF"/>
          </w:tcPr>
          <w:p>
            <w:pPr>
              <w:spacing w:after="0"/>
              <w:rPr>
                <w:sz w:val="20"/>
                <w:szCs w:val="20"/>
                <w:color w:val="auto"/>
              </w:rPr>
            </w:pPr>
          </w:p>
        </w:tc>
        <w:tc>
          <w:tcPr>
            <w:tcW w:w="280" w:type="dxa"/>
            <w:vAlign w:val="bottom"/>
            <w:gridSpan w:val="2"/>
            <w:vMerge w:val="continue"/>
            <w:shd w:val="clear" w:color="auto" w:fill="CCEEFF"/>
          </w:tcPr>
          <w:p>
            <w:pPr>
              <w:spacing w:after="0"/>
              <w:rPr>
                <w:sz w:val="20"/>
                <w:szCs w:val="20"/>
                <w:color w:val="auto"/>
              </w:rPr>
            </w:pPr>
          </w:p>
        </w:tc>
        <w:tc>
          <w:tcPr>
            <w:tcW w:w="1080" w:type="dxa"/>
            <w:vAlign w:val="bottom"/>
            <w:vMerge w:val="continue"/>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80" w:type="dxa"/>
            <w:vAlign w:val="bottom"/>
            <w:vMerge w:val="continue"/>
            <w:shd w:val="clear" w:color="auto" w:fill="CCEEFF"/>
          </w:tcPr>
          <w:p>
            <w:pPr>
              <w:spacing w:after="0"/>
              <w:rPr>
                <w:sz w:val="20"/>
                <w:szCs w:val="20"/>
                <w:color w:val="auto"/>
              </w:rPr>
            </w:pPr>
          </w:p>
        </w:tc>
        <w:tc>
          <w:tcPr>
            <w:tcW w:w="106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220" w:type="dxa"/>
            <w:vAlign w:val="bottom"/>
            <w:vMerge w:val="continue"/>
            <w:shd w:val="clear" w:color="auto" w:fill="CCEEFF"/>
          </w:tcPr>
          <w:p>
            <w:pPr>
              <w:spacing w:after="0"/>
              <w:rPr>
                <w:sz w:val="20"/>
                <w:szCs w:val="20"/>
                <w:color w:val="auto"/>
              </w:rPr>
            </w:pPr>
          </w:p>
        </w:tc>
        <w:tc>
          <w:tcPr>
            <w:tcW w:w="1140" w:type="dxa"/>
            <w:vAlign w:val="bottom"/>
            <w:vMerge w:val="continue"/>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00" w:type="dxa"/>
            <w:vAlign w:val="bottom"/>
            <w:vMerge w:val="continue"/>
            <w:shd w:val="clear" w:color="auto" w:fill="CCEEFF"/>
          </w:tcPr>
          <w:p>
            <w:pPr>
              <w:spacing w:after="0"/>
              <w:rPr>
                <w:sz w:val="20"/>
                <w:szCs w:val="20"/>
                <w:color w:val="auto"/>
              </w:rPr>
            </w:pPr>
          </w:p>
        </w:tc>
        <w:tc>
          <w:tcPr>
            <w:tcW w:w="1160" w:type="dxa"/>
            <w:vAlign w:val="bottom"/>
            <w:vMerge w:val="continue"/>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3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ind w:left="500" w:hanging="465"/>
        <w:spacing w:after="0"/>
        <w:tabs>
          <w:tab w:leader="none" w:pos="500"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Other costs of goods sold includes amortization of the Cavium inventory fair value step up and charges for past intellectual property licensing matters.</w:t>
      </w:r>
    </w:p>
    <w:p>
      <w:pPr>
        <w:spacing w:after="0" w:line="221" w:lineRule="exact"/>
        <w:rPr>
          <w:rFonts w:ascii="Arial" w:cs="Arial" w:eastAsia="Arial" w:hAnsi="Arial"/>
          <w:sz w:val="16"/>
          <w:szCs w:val="16"/>
          <w:i w:val="1"/>
          <w:iCs w:val="1"/>
          <w:color w:val="auto"/>
        </w:rPr>
      </w:pPr>
    </w:p>
    <w:p>
      <w:pPr>
        <w:ind w:left="500" w:right="80" w:hanging="465"/>
        <w:spacing w:after="0" w:line="264" w:lineRule="auto"/>
        <w:tabs>
          <w:tab w:leader="none" w:pos="50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employee severance, facilities related costs, and impairment of equipment and other assets. Restructuring related charges in the three months ended February 2, 2019 and February 3, 2018 and the year ended February 2, 2019 and February 3, 2018 include gain on sale of a building that was a direct result of restructuring.</w:t>
      </w:r>
    </w:p>
    <w:p>
      <w:pPr>
        <w:spacing w:after="0" w:line="154" w:lineRule="exact"/>
        <w:rPr>
          <w:rFonts w:ascii="Arial" w:cs="Arial" w:eastAsia="Arial" w:hAnsi="Arial"/>
          <w:sz w:val="18"/>
          <w:szCs w:val="18"/>
          <w:i w:val="1"/>
          <w:iCs w:val="1"/>
          <w:color w:val="auto"/>
        </w:rPr>
      </w:pPr>
    </w:p>
    <w:p>
      <w:pPr>
        <w:ind w:left="500" w:hanging="465"/>
        <w:spacing w:after="0"/>
        <w:tabs>
          <w:tab w:leader="none" w:pos="50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Represents legal settlement and associated costs related to shareholder litigation matter.</w:t>
      </w:r>
    </w:p>
    <w:p>
      <w:pPr>
        <w:spacing w:after="0" w:line="198" w:lineRule="exact"/>
        <w:rPr>
          <w:rFonts w:ascii="Arial" w:cs="Arial" w:eastAsia="Arial" w:hAnsi="Arial"/>
          <w:sz w:val="18"/>
          <w:szCs w:val="18"/>
          <w:i w:val="1"/>
          <w:iCs w:val="1"/>
          <w:color w:val="auto"/>
        </w:rPr>
      </w:pPr>
    </w:p>
    <w:p>
      <w:pPr>
        <w:ind w:left="500" w:right="120" w:hanging="465"/>
        <w:spacing w:after="0" w:line="277" w:lineRule="auto"/>
        <w:tabs>
          <w:tab w:leader="none" w:pos="50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operating expenses primarily include Cavium merger costs, costs related to royalty matters, and costs of retention bonuses offered to employees who remained through the ramp down of certain operations due to restructuring actions.</w:t>
      </w:r>
    </w:p>
    <w:p>
      <w:pPr>
        <w:spacing w:after="0" w:line="143" w:lineRule="exact"/>
        <w:rPr>
          <w:rFonts w:ascii="Arial" w:cs="Arial" w:eastAsia="Arial" w:hAnsi="Arial"/>
          <w:sz w:val="18"/>
          <w:szCs w:val="18"/>
          <w:i w:val="1"/>
          <w:iCs w:val="1"/>
          <w:color w:val="auto"/>
        </w:rPr>
      </w:pPr>
    </w:p>
    <w:p>
      <w:pPr>
        <w:ind w:left="500" w:right="620" w:hanging="465"/>
        <w:spacing w:after="0" w:line="277" w:lineRule="auto"/>
        <w:tabs>
          <w:tab w:leader="none" w:pos="50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Interest and other income (loss), net includes restructuring related items such as gain on sale of a business and foreign currency remeasurement associated with restructuring related accruals.</w:t>
      </w:r>
    </w:p>
    <w:p>
      <w:pPr>
        <w:spacing w:after="0" w:line="143" w:lineRule="exact"/>
        <w:rPr>
          <w:rFonts w:ascii="Arial" w:cs="Arial" w:eastAsia="Arial" w:hAnsi="Arial"/>
          <w:sz w:val="18"/>
          <w:szCs w:val="18"/>
          <w:i w:val="1"/>
          <w:iCs w:val="1"/>
          <w:color w:val="auto"/>
        </w:rPr>
      </w:pPr>
    </w:p>
    <w:p>
      <w:pPr>
        <w:ind w:left="500" w:hanging="465"/>
        <w:spacing w:after="0"/>
        <w:tabs>
          <w:tab w:leader="none" w:pos="50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Write-off of debt issuance costs is associated with the partial term loan repayment and the terminated bridge loan commitment.</w:t>
      </w:r>
    </w:p>
    <w:p>
      <w:pPr>
        <w:spacing w:after="0" w:line="198" w:lineRule="exact"/>
        <w:rPr>
          <w:rFonts w:ascii="Arial" w:cs="Arial" w:eastAsia="Arial" w:hAnsi="Arial"/>
          <w:sz w:val="18"/>
          <w:szCs w:val="18"/>
          <w:i w:val="1"/>
          <w:iCs w:val="1"/>
          <w:color w:val="auto"/>
        </w:rPr>
      </w:pPr>
    </w:p>
    <w:p>
      <w:pPr>
        <w:ind w:left="500" w:hanging="465"/>
        <w:spacing w:after="0"/>
        <w:tabs>
          <w:tab w:leader="none" w:pos="50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4%.</w:t>
      </w:r>
    </w:p>
    <w:p>
      <w:pPr>
        <w:spacing w:after="0" w:line="198" w:lineRule="exact"/>
        <w:rPr>
          <w:rFonts w:ascii="Arial" w:cs="Arial" w:eastAsia="Arial" w:hAnsi="Arial"/>
          <w:sz w:val="18"/>
          <w:szCs w:val="18"/>
          <w:i w:val="1"/>
          <w:iCs w:val="1"/>
          <w:color w:val="auto"/>
        </w:rPr>
      </w:pPr>
    </w:p>
    <w:p>
      <w:pPr>
        <w:ind w:left="500" w:right="120" w:hanging="465"/>
        <w:spacing w:after="0" w:line="276" w:lineRule="auto"/>
        <w:tabs>
          <w:tab w:leader="none" w:pos="500" w:val="left"/>
        </w:tabs>
        <w:numPr>
          <w:ilvl w:val="0"/>
          <w:numId w:val="6"/>
        </w:numPr>
        <w:rPr>
          <w:rFonts w:ascii="Arial" w:cs="Arial" w:eastAsia="Arial" w:hAnsi="Arial"/>
          <w:sz w:val="17"/>
          <w:szCs w:val="17"/>
          <w:i w:val="1"/>
          <w:iCs w:val="1"/>
          <w:color w:val="auto"/>
        </w:rPr>
      </w:pPr>
      <w:r>
        <w:rPr>
          <w:rFonts w:ascii="Arial" w:cs="Arial" w:eastAsia="Arial" w:hAnsi="Arial"/>
          <w:sz w:val="17"/>
          <w:szCs w:val="17"/>
          <w:color w:val="auto"/>
        </w:rPr>
        <w:t>Non-GAAP diluted net income per share from continuing operations for the three months ended February 2, 2019 and November 3, 2018 was calculated by dividing non-GAAP net income from continuing operations by weighted average shares outstanding (diluted) of 663,580 shares and 665,752 shares, respectively, due to the non-GAAP net income reported in the respective period. Non-GAAP diluted net income per share from continuing operations for the year ended February 2, 2019 was calculated by dividing non-GAAP net income from continuing operations by weighted average shares outstanding (diluted) of 600,049, due to the non-GAAP net income reported in the period.</w:t>
      </w:r>
    </w:p>
    <w:p>
      <w:pPr>
        <w:sectPr>
          <w:pgSz w:w="11900" w:h="16838" w:orient="portrait"/>
          <w:cols w:equalWidth="0" w:num="1">
            <w:col w:w="11420"/>
          </w:cols>
          <w:pgMar w:left="240" w:top="553" w:right="239" w:bottom="1440" w:gutter="0" w:footer="0" w:header="0"/>
        </w:sectPr>
      </w:pPr>
    </w:p>
    <w:bookmarkStart w:id="14" w:name="page15"/>
    <w:bookmarkEnd w:id="14"/>
    <w:tbl>
      <w:tblPr>
        <w:tblLayout w:type="fixed"/>
        <w:tblInd w:w="0" w:type="dxa"/>
        <w:tblCellMar>
          <w:top w:w="0" w:type="dxa"/>
          <w:left w:w="0" w:type="dxa"/>
          <w:bottom w:w="0" w:type="dxa"/>
          <w:right w:w="0" w:type="dxa"/>
        </w:tblCellMar>
      </w:tblPr>
      <w:tr>
        <w:trPr>
          <w:trHeight w:val="234"/>
        </w:trPr>
        <w:tc>
          <w:tcPr>
            <w:tcW w:w="8200" w:type="dxa"/>
            <w:vAlign w:val="bottom"/>
            <w:gridSpan w:val="2"/>
          </w:tcPr>
          <w:p>
            <w:pPr>
              <w:jc w:val="center"/>
              <w:ind w:left="3190"/>
              <w:spacing w:after="0"/>
              <w:rPr>
                <w:sz w:val="20"/>
                <w:szCs w:val="20"/>
                <w:color w:val="auto"/>
              </w:rPr>
            </w:pPr>
            <w:r>
              <w:rPr>
                <w:rFonts w:ascii="Arial" w:cs="Arial" w:eastAsia="Arial" w:hAnsi="Arial"/>
                <w:sz w:val="18"/>
                <w:szCs w:val="18"/>
                <w:b w:val="1"/>
                <w:bCs w:val="1"/>
                <w:color w:val="auto"/>
                <w:w w:val="92"/>
              </w:rPr>
              <w:t>Marvell Technology Group Ltd.</w:t>
            </w:r>
          </w:p>
        </w:tc>
        <w:tc>
          <w:tcPr>
            <w:tcW w:w="3220" w:type="dxa"/>
            <w:vAlign w:val="bottom"/>
          </w:tcPr>
          <w:p>
            <w:pPr>
              <w:spacing w:after="0"/>
              <w:rPr>
                <w:sz w:val="20"/>
                <w:szCs w:val="20"/>
                <w:color w:val="auto"/>
              </w:rPr>
            </w:pPr>
          </w:p>
        </w:tc>
      </w:tr>
      <w:tr>
        <w:trPr>
          <w:trHeight w:val="270"/>
        </w:trPr>
        <w:tc>
          <w:tcPr>
            <w:tcW w:w="8200" w:type="dxa"/>
            <w:vAlign w:val="bottom"/>
            <w:gridSpan w:val="2"/>
          </w:tcPr>
          <w:p>
            <w:pPr>
              <w:jc w:val="center"/>
              <w:ind w:left="3170"/>
              <w:spacing w:after="0"/>
              <w:rPr>
                <w:sz w:val="20"/>
                <w:szCs w:val="20"/>
                <w:color w:val="auto"/>
              </w:rPr>
            </w:pPr>
            <w:r>
              <w:rPr>
                <w:rFonts w:ascii="Arial" w:cs="Arial" w:eastAsia="Arial" w:hAnsi="Arial"/>
                <w:sz w:val="18"/>
                <w:szCs w:val="18"/>
                <w:b w:val="1"/>
                <w:bCs w:val="1"/>
                <w:color w:val="auto"/>
                <w:w w:val="92"/>
              </w:rPr>
              <w:t>Outlook for the First Quarter of Fiscal Year 2020</w:t>
            </w:r>
          </w:p>
        </w:tc>
        <w:tc>
          <w:tcPr>
            <w:tcW w:w="3220" w:type="dxa"/>
            <w:vAlign w:val="bottom"/>
          </w:tcPr>
          <w:p>
            <w:pPr>
              <w:spacing w:after="0"/>
              <w:rPr>
                <w:sz w:val="23"/>
                <w:szCs w:val="23"/>
                <w:color w:val="auto"/>
              </w:rPr>
            </w:pPr>
          </w:p>
        </w:tc>
      </w:tr>
      <w:tr>
        <w:trPr>
          <w:trHeight w:val="270"/>
        </w:trPr>
        <w:tc>
          <w:tcPr>
            <w:tcW w:w="8200" w:type="dxa"/>
            <w:vAlign w:val="bottom"/>
            <w:gridSpan w:val="2"/>
          </w:tcPr>
          <w:p>
            <w:pPr>
              <w:jc w:val="center"/>
              <w:ind w:left="3130"/>
              <w:spacing w:after="0"/>
              <w:rPr>
                <w:sz w:val="20"/>
                <w:szCs w:val="20"/>
                <w:color w:val="auto"/>
              </w:rPr>
            </w:pPr>
            <w:r>
              <w:rPr>
                <w:rFonts w:ascii="Arial" w:cs="Arial" w:eastAsia="Arial" w:hAnsi="Arial"/>
                <w:sz w:val="18"/>
                <w:szCs w:val="18"/>
                <w:b w:val="1"/>
                <w:bCs w:val="1"/>
                <w:color w:val="auto"/>
                <w:w w:val="92"/>
              </w:rPr>
              <w:t>Reconciliations from GAAP to Non-GAAP (Unaudited)</w:t>
            </w:r>
          </w:p>
        </w:tc>
        <w:tc>
          <w:tcPr>
            <w:tcW w:w="3220" w:type="dxa"/>
            <w:vAlign w:val="bottom"/>
          </w:tcPr>
          <w:p>
            <w:pPr>
              <w:spacing w:after="0"/>
              <w:rPr>
                <w:sz w:val="23"/>
                <w:szCs w:val="23"/>
                <w:color w:val="auto"/>
              </w:rPr>
            </w:pPr>
          </w:p>
        </w:tc>
      </w:tr>
      <w:tr>
        <w:trPr>
          <w:trHeight w:val="270"/>
        </w:trPr>
        <w:tc>
          <w:tcPr>
            <w:tcW w:w="8200" w:type="dxa"/>
            <w:vAlign w:val="bottom"/>
            <w:gridSpan w:val="2"/>
          </w:tcPr>
          <w:p>
            <w:pPr>
              <w:jc w:val="center"/>
              <w:ind w:left="3190"/>
              <w:spacing w:after="0"/>
              <w:rPr>
                <w:sz w:val="20"/>
                <w:szCs w:val="20"/>
                <w:color w:val="auto"/>
              </w:rPr>
            </w:pPr>
            <w:r>
              <w:rPr>
                <w:rFonts w:ascii="Arial" w:cs="Arial" w:eastAsia="Arial" w:hAnsi="Arial"/>
                <w:sz w:val="18"/>
                <w:szCs w:val="18"/>
                <w:b w:val="1"/>
                <w:bCs w:val="1"/>
                <w:color w:val="auto"/>
                <w:w w:val="89"/>
              </w:rPr>
              <w:t>(In millions, except per share amounts)</w:t>
            </w:r>
          </w:p>
        </w:tc>
        <w:tc>
          <w:tcPr>
            <w:tcW w:w="3220" w:type="dxa"/>
            <w:vAlign w:val="bottom"/>
          </w:tcPr>
          <w:p>
            <w:pPr>
              <w:spacing w:after="0"/>
              <w:rPr>
                <w:sz w:val="23"/>
                <w:szCs w:val="23"/>
                <w:color w:val="auto"/>
              </w:rPr>
            </w:pPr>
          </w:p>
        </w:tc>
      </w:tr>
      <w:tr>
        <w:trPr>
          <w:trHeight w:val="423"/>
        </w:trPr>
        <w:tc>
          <w:tcPr>
            <w:tcW w:w="77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220" w:type="dxa"/>
            <w:vAlign w:val="bottom"/>
          </w:tcPr>
          <w:p>
            <w:pPr>
              <w:jc w:val="center"/>
              <w:ind w:right="332"/>
              <w:spacing w:after="0"/>
              <w:rPr>
                <w:sz w:val="20"/>
                <w:szCs w:val="20"/>
                <w:color w:val="auto"/>
              </w:rPr>
            </w:pPr>
            <w:r>
              <w:rPr>
                <w:rFonts w:ascii="Arial" w:cs="Arial" w:eastAsia="Arial" w:hAnsi="Arial"/>
                <w:sz w:val="14"/>
                <w:szCs w:val="14"/>
                <w:b w:val="1"/>
                <w:bCs w:val="1"/>
                <w:color w:val="auto"/>
                <w:w w:val="95"/>
              </w:rPr>
              <w:t>Outlook for Three Months Ended</w:t>
            </w:r>
          </w:p>
        </w:tc>
      </w:tr>
      <w:tr>
        <w:trPr>
          <w:trHeight w:val="192"/>
        </w:trPr>
        <w:tc>
          <w:tcPr>
            <w:tcW w:w="7780" w:type="dxa"/>
            <w:vAlign w:val="bottom"/>
            <w:tcBorders>
              <w:bottom w:val="single" w:sz="8" w:color="CCEEFF"/>
            </w:tcBorders>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3220" w:type="dxa"/>
            <w:vAlign w:val="bottom"/>
            <w:tcBorders>
              <w:bottom w:val="single" w:sz="8" w:color="auto"/>
            </w:tcBorders>
          </w:tcPr>
          <w:p>
            <w:pPr>
              <w:jc w:val="center"/>
              <w:ind w:right="332"/>
              <w:spacing w:after="0"/>
              <w:rPr>
                <w:sz w:val="20"/>
                <w:szCs w:val="20"/>
                <w:color w:val="auto"/>
              </w:rPr>
            </w:pPr>
            <w:r>
              <w:rPr>
                <w:rFonts w:ascii="Arial" w:cs="Arial" w:eastAsia="Arial" w:hAnsi="Arial"/>
                <w:sz w:val="14"/>
                <w:szCs w:val="14"/>
                <w:b w:val="1"/>
                <w:bCs w:val="1"/>
                <w:color w:val="auto"/>
                <w:w w:val="97"/>
              </w:rPr>
              <w:t>May 4, 2019</w:t>
            </w:r>
          </w:p>
        </w:tc>
      </w:tr>
      <w:tr>
        <w:trPr>
          <w:trHeight w:val="250"/>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b w:val="1"/>
                <w:bCs w:val="1"/>
                <w:color w:val="auto"/>
              </w:rPr>
              <w:t>GAAP revenue</w:t>
            </w:r>
          </w:p>
        </w:tc>
        <w:tc>
          <w:tcPr>
            <w:tcW w:w="3220" w:type="dxa"/>
            <w:vAlign w:val="bottom"/>
            <w:tcBorders>
              <w:bottom w:val="single" w:sz="8" w:color="CCEEFF"/>
            </w:tcBorders>
            <w:shd w:val="clear" w:color="auto" w:fill="CCEEFF"/>
          </w:tcPr>
          <w:p>
            <w:pPr>
              <w:jc w:val="center"/>
              <w:ind w:right="292"/>
              <w:spacing w:after="0"/>
              <w:rPr>
                <w:sz w:val="20"/>
                <w:szCs w:val="20"/>
                <w:color w:val="auto"/>
              </w:rPr>
            </w:pPr>
            <w:r>
              <w:rPr>
                <w:rFonts w:ascii="Arial" w:cs="Arial" w:eastAsia="Arial" w:hAnsi="Arial"/>
                <w:sz w:val="18"/>
                <w:szCs w:val="18"/>
                <w:color w:val="auto"/>
                <w:w w:val="94"/>
              </w:rPr>
              <w:t>$650 +/- 3%</w:t>
            </w:r>
          </w:p>
        </w:tc>
      </w:tr>
      <w:tr>
        <w:trPr>
          <w:trHeight w:val="243"/>
        </w:trPr>
        <w:tc>
          <w:tcPr>
            <w:tcW w:w="8200" w:type="dxa"/>
            <w:vAlign w:val="bottom"/>
            <w:gridSpan w:val="2"/>
          </w:tcPr>
          <w:p>
            <w:pPr>
              <w:ind w:left="40"/>
              <w:spacing w:after="0"/>
              <w:rPr>
                <w:sz w:val="20"/>
                <w:szCs w:val="20"/>
                <w:color w:val="auto"/>
              </w:rPr>
            </w:pPr>
            <w:r>
              <w:rPr>
                <w:rFonts w:ascii="Arial" w:cs="Arial" w:eastAsia="Arial" w:hAnsi="Arial"/>
                <w:sz w:val="18"/>
                <w:szCs w:val="18"/>
                <w:color w:val="auto"/>
              </w:rPr>
              <w:t>Special items:</w:t>
            </w:r>
          </w:p>
        </w:tc>
        <w:tc>
          <w:tcPr>
            <w:tcW w:w="3220" w:type="dxa"/>
            <w:vAlign w:val="bottom"/>
          </w:tcPr>
          <w:p>
            <w:pPr>
              <w:jc w:val="center"/>
              <w:ind w:right="352"/>
              <w:spacing w:after="0"/>
              <w:rPr>
                <w:sz w:val="20"/>
                <w:szCs w:val="20"/>
                <w:color w:val="auto"/>
              </w:rPr>
            </w:pPr>
            <w:r>
              <w:rPr>
                <w:rFonts w:ascii="Arial" w:cs="Arial" w:eastAsia="Arial" w:hAnsi="Arial"/>
                <w:sz w:val="18"/>
                <w:szCs w:val="18"/>
                <w:color w:val="auto"/>
                <w:w w:val="99"/>
              </w:rPr>
              <w:t>—</w:t>
            </w:r>
          </w:p>
        </w:tc>
      </w:tr>
      <w:tr>
        <w:trPr>
          <w:trHeight w:val="27"/>
        </w:trPr>
        <w:tc>
          <w:tcPr>
            <w:tcW w:w="778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r>
      <w:tr>
        <w:trPr>
          <w:trHeight w:val="244"/>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Non-GAAP revenue</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Arial" w:cs="Arial" w:eastAsia="Arial" w:hAnsi="Arial"/>
                <w:sz w:val="18"/>
                <w:szCs w:val="18"/>
                <w:color w:val="auto"/>
                <w:w w:val="92"/>
              </w:rPr>
              <w:t>$650 +/- 3%</w:t>
            </w:r>
          </w:p>
        </w:tc>
      </w:tr>
      <w:tr>
        <w:trPr>
          <w:trHeight w:val="297"/>
        </w:trPr>
        <w:tc>
          <w:tcPr>
            <w:tcW w:w="77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250"/>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b w:val="1"/>
                <w:bCs w:val="1"/>
                <w:color w:val="auto"/>
              </w:rPr>
              <w:t>GAAP gross margin</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Arial" w:cs="Arial" w:eastAsia="Arial" w:hAnsi="Arial"/>
                <w:sz w:val="18"/>
                <w:szCs w:val="18"/>
                <w:color w:val="auto"/>
                <w:w w:val="88"/>
              </w:rPr>
              <w:t>55%</w:t>
            </w:r>
          </w:p>
        </w:tc>
      </w:tr>
      <w:tr>
        <w:trPr>
          <w:trHeight w:val="243"/>
        </w:trPr>
        <w:tc>
          <w:tcPr>
            <w:tcW w:w="8200" w:type="dxa"/>
            <w:vAlign w:val="bottom"/>
            <w:gridSpan w:val="2"/>
          </w:tcPr>
          <w:p>
            <w:pPr>
              <w:ind w:left="40"/>
              <w:spacing w:after="0"/>
              <w:rPr>
                <w:sz w:val="20"/>
                <w:szCs w:val="20"/>
                <w:color w:val="auto"/>
              </w:rPr>
            </w:pPr>
            <w:r>
              <w:rPr>
                <w:rFonts w:ascii="Arial" w:cs="Arial" w:eastAsia="Arial" w:hAnsi="Arial"/>
                <w:sz w:val="18"/>
                <w:szCs w:val="18"/>
                <w:color w:val="auto"/>
              </w:rPr>
              <w:t>Special items:</w:t>
            </w:r>
          </w:p>
        </w:tc>
        <w:tc>
          <w:tcPr>
            <w:tcW w:w="3220" w:type="dxa"/>
            <w:vAlign w:val="bottom"/>
          </w:tcPr>
          <w:p>
            <w:pPr>
              <w:spacing w:after="0"/>
              <w:rPr>
                <w:sz w:val="21"/>
                <w:szCs w:val="21"/>
                <w:color w:val="auto"/>
              </w:rPr>
            </w:pP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Share-based compensation</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Arial" w:cs="Arial" w:eastAsia="Arial" w:hAnsi="Arial"/>
                <w:sz w:val="18"/>
                <w:szCs w:val="18"/>
                <w:color w:val="auto"/>
                <w:w w:val="92"/>
              </w:rPr>
              <w:t>0.3%</w:t>
            </w:r>
          </w:p>
        </w:tc>
      </w:tr>
      <w:tr>
        <w:trPr>
          <w:trHeight w:val="243"/>
        </w:trPr>
        <w:tc>
          <w:tcPr>
            <w:tcW w:w="8200" w:type="dxa"/>
            <w:vAlign w:val="bottom"/>
            <w:gridSpan w:val="2"/>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220" w:type="dxa"/>
            <w:vAlign w:val="bottom"/>
          </w:tcPr>
          <w:p>
            <w:pPr>
              <w:jc w:val="center"/>
              <w:ind w:right="352"/>
              <w:spacing w:after="0"/>
              <w:rPr>
                <w:sz w:val="20"/>
                <w:szCs w:val="20"/>
                <w:color w:val="auto"/>
              </w:rPr>
            </w:pPr>
            <w:r>
              <w:rPr>
                <w:rFonts w:ascii="Arial" w:cs="Arial" w:eastAsia="Arial" w:hAnsi="Arial"/>
                <w:sz w:val="18"/>
                <w:szCs w:val="18"/>
                <w:color w:val="auto"/>
                <w:w w:val="92"/>
              </w:rPr>
              <w:t>8.9%</w:t>
            </w:r>
          </w:p>
        </w:tc>
      </w:tr>
      <w:tr>
        <w:trPr>
          <w:trHeight w:val="27"/>
        </w:trPr>
        <w:tc>
          <w:tcPr>
            <w:tcW w:w="778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r>
      <w:tr>
        <w:trPr>
          <w:trHeight w:val="244"/>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Non-GAAP gross margin</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Arial" w:cs="Arial" w:eastAsia="Arial" w:hAnsi="Arial"/>
                <w:sz w:val="18"/>
                <w:szCs w:val="18"/>
                <w:color w:val="auto"/>
                <w:w w:val="88"/>
              </w:rPr>
              <w:t>64%</w:t>
            </w:r>
          </w:p>
        </w:tc>
      </w:tr>
      <w:tr>
        <w:trPr>
          <w:trHeight w:val="297"/>
        </w:trPr>
        <w:tc>
          <w:tcPr>
            <w:tcW w:w="77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250"/>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b w:val="1"/>
                <w:bCs w:val="1"/>
                <w:color w:val="auto"/>
              </w:rPr>
              <w:t>Total GAAP operating expenses</w:t>
            </w:r>
          </w:p>
        </w:tc>
        <w:tc>
          <w:tcPr>
            <w:tcW w:w="3220" w:type="dxa"/>
            <w:vAlign w:val="bottom"/>
            <w:tcBorders>
              <w:bottom w:val="single" w:sz="8" w:color="CCEEFF"/>
            </w:tcBorders>
            <w:shd w:val="clear" w:color="auto" w:fill="CCEEFF"/>
          </w:tcPr>
          <w:p>
            <w:pPr>
              <w:jc w:val="center"/>
              <w:ind w:right="292"/>
              <w:spacing w:after="0"/>
              <w:rPr>
                <w:sz w:val="20"/>
                <w:szCs w:val="20"/>
                <w:color w:val="auto"/>
              </w:rPr>
            </w:pPr>
            <w:r>
              <w:rPr>
                <w:rFonts w:ascii="Arial" w:cs="Arial" w:eastAsia="Arial" w:hAnsi="Arial"/>
                <w:sz w:val="18"/>
                <w:szCs w:val="18"/>
                <w:color w:val="auto"/>
                <w:w w:val="91"/>
              </w:rPr>
              <w:t>$378 - $388</w:t>
            </w:r>
          </w:p>
        </w:tc>
      </w:tr>
      <w:tr>
        <w:trPr>
          <w:trHeight w:val="243"/>
        </w:trPr>
        <w:tc>
          <w:tcPr>
            <w:tcW w:w="8200" w:type="dxa"/>
            <w:vAlign w:val="bottom"/>
            <w:gridSpan w:val="2"/>
          </w:tcPr>
          <w:p>
            <w:pPr>
              <w:ind w:left="40"/>
              <w:spacing w:after="0"/>
              <w:rPr>
                <w:sz w:val="20"/>
                <w:szCs w:val="20"/>
                <w:color w:val="auto"/>
              </w:rPr>
            </w:pPr>
            <w:r>
              <w:rPr>
                <w:rFonts w:ascii="Arial" w:cs="Arial" w:eastAsia="Arial" w:hAnsi="Arial"/>
                <w:sz w:val="18"/>
                <w:szCs w:val="18"/>
                <w:color w:val="auto"/>
              </w:rPr>
              <w:t>Special items:</w:t>
            </w:r>
          </w:p>
        </w:tc>
        <w:tc>
          <w:tcPr>
            <w:tcW w:w="3220" w:type="dxa"/>
            <w:vAlign w:val="bottom"/>
          </w:tcPr>
          <w:p>
            <w:pPr>
              <w:spacing w:after="0"/>
              <w:rPr>
                <w:sz w:val="21"/>
                <w:szCs w:val="21"/>
                <w:color w:val="auto"/>
              </w:rPr>
            </w:pP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Share-based compensation</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Arial" w:cs="Arial" w:eastAsia="Arial" w:hAnsi="Arial"/>
                <w:sz w:val="18"/>
                <w:szCs w:val="18"/>
                <w:color w:val="auto"/>
                <w:w w:val="89"/>
              </w:rPr>
              <w:t>54</w:t>
            </w:r>
          </w:p>
        </w:tc>
      </w:tr>
      <w:tr>
        <w:trPr>
          <w:trHeight w:val="243"/>
        </w:trPr>
        <w:tc>
          <w:tcPr>
            <w:tcW w:w="8200" w:type="dxa"/>
            <w:vAlign w:val="bottom"/>
            <w:gridSpan w:val="2"/>
          </w:tcPr>
          <w:p>
            <w:pPr>
              <w:ind w:left="360"/>
              <w:spacing w:after="0"/>
              <w:rPr>
                <w:sz w:val="20"/>
                <w:szCs w:val="20"/>
                <w:color w:val="auto"/>
              </w:rPr>
            </w:pPr>
            <w:r>
              <w:rPr>
                <w:rFonts w:ascii="Arial" w:cs="Arial" w:eastAsia="Arial" w:hAnsi="Arial"/>
                <w:sz w:val="18"/>
                <w:szCs w:val="18"/>
                <w:color w:val="auto"/>
              </w:rPr>
              <w:t>Restructuring related charges</w:t>
            </w:r>
          </w:p>
        </w:tc>
        <w:tc>
          <w:tcPr>
            <w:tcW w:w="3220" w:type="dxa"/>
            <w:vAlign w:val="bottom"/>
          </w:tcPr>
          <w:p>
            <w:pPr>
              <w:jc w:val="center"/>
              <w:ind w:right="332"/>
              <w:spacing w:after="0"/>
              <w:rPr>
                <w:sz w:val="20"/>
                <w:szCs w:val="20"/>
                <w:color w:val="auto"/>
              </w:rPr>
            </w:pPr>
            <w:r>
              <w:rPr>
                <w:rFonts w:ascii="Arial" w:cs="Arial" w:eastAsia="Arial" w:hAnsi="Arial"/>
                <w:sz w:val="18"/>
                <w:szCs w:val="18"/>
                <w:color w:val="auto"/>
                <w:w w:val="79"/>
              </w:rPr>
              <w:t>4</w:t>
            </w: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220" w:type="dxa"/>
            <w:vAlign w:val="bottom"/>
            <w:tcBorders>
              <w:bottom w:val="single" w:sz="8" w:color="CCEEFF"/>
            </w:tcBorders>
            <w:shd w:val="clear" w:color="auto" w:fill="CCEEFF"/>
          </w:tcPr>
          <w:p>
            <w:pPr>
              <w:jc w:val="center"/>
              <w:ind w:right="352"/>
              <w:spacing w:after="0"/>
              <w:rPr>
                <w:sz w:val="20"/>
                <w:szCs w:val="20"/>
                <w:color w:val="auto"/>
              </w:rPr>
            </w:pPr>
            <w:r>
              <w:rPr>
                <w:rFonts w:ascii="Arial" w:cs="Arial" w:eastAsia="Arial" w:hAnsi="Arial"/>
                <w:sz w:val="18"/>
                <w:szCs w:val="18"/>
                <w:color w:val="auto"/>
                <w:w w:val="89"/>
              </w:rPr>
              <w:t>20</w:t>
            </w:r>
          </w:p>
        </w:tc>
      </w:tr>
      <w:tr>
        <w:trPr>
          <w:trHeight w:val="243"/>
        </w:trPr>
        <w:tc>
          <w:tcPr>
            <w:tcW w:w="8200" w:type="dxa"/>
            <w:vAlign w:val="bottom"/>
            <w:gridSpan w:val="2"/>
          </w:tcPr>
          <w:p>
            <w:pPr>
              <w:ind w:left="360"/>
              <w:spacing w:after="0"/>
              <w:rPr>
                <w:sz w:val="20"/>
                <w:szCs w:val="20"/>
                <w:color w:val="auto"/>
              </w:rPr>
            </w:pPr>
            <w:r>
              <w:rPr>
                <w:rFonts w:ascii="Arial" w:cs="Arial" w:eastAsia="Arial" w:hAnsi="Arial"/>
                <w:sz w:val="18"/>
                <w:szCs w:val="18"/>
                <w:color w:val="auto"/>
              </w:rPr>
              <w:t>Other operating expenses</w:t>
            </w:r>
          </w:p>
        </w:tc>
        <w:tc>
          <w:tcPr>
            <w:tcW w:w="3220" w:type="dxa"/>
            <w:vAlign w:val="bottom"/>
          </w:tcPr>
          <w:p>
            <w:pPr>
              <w:jc w:val="center"/>
              <w:ind w:right="332"/>
              <w:spacing w:after="0"/>
              <w:rPr>
                <w:sz w:val="20"/>
                <w:szCs w:val="20"/>
                <w:color w:val="auto"/>
              </w:rPr>
            </w:pPr>
            <w:r>
              <w:rPr>
                <w:rFonts w:ascii="Arial" w:cs="Arial" w:eastAsia="Arial" w:hAnsi="Arial"/>
                <w:sz w:val="18"/>
                <w:szCs w:val="18"/>
                <w:color w:val="auto"/>
                <w:w w:val="79"/>
              </w:rPr>
              <w:t>7</w:t>
            </w:r>
          </w:p>
        </w:tc>
      </w:tr>
      <w:tr>
        <w:trPr>
          <w:trHeight w:val="27"/>
        </w:trPr>
        <w:tc>
          <w:tcPr>
            <w:tcW w:w="778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r>
      <w:tr>
        <w:trPr>
          <w:trHeight w:val="244"/>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Total non-GAAP operating expenses</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Arial" w:cs="Arial" w:eastAsia="Arial" w:hAnsi="Arial"/>
                <w:sz w:val="18"/>
                <w:szCs w:val="18"/>
                <w:color w:val="auto"/>
                <w:w w:val="91"/>
              </w:rPr>
              <w:t>$295 - $300</w:t>
            </w:r>
          </w:p>
        </w:tc>
      </w:tr>
      <w:tr>
        <w:trPr>
          <w:trHeight w:val="243"/>
        </w:trPr>
        <w:tc>
          <w:tcPr>
            <w:tcW w:w="778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3220" w:type="dxa"/>
            <w:vAlign w:val="bottom"/>
          </w:tcPr>
          <w:p>
            <w:pPr>
              <w:spacing w:after="0"/>
              <w:rPr>
                <w:sz w:val="21"/>
                <w:szCs w:val="21"/>
                <w:color w:val="auto"/>
              </w:rPr>
            </w:pPr>
          </w:p>
        </w:tc>
      </w:tr>
      <w:tr>
        <w:trPr>
          <w:trHeight w:val="270"/>
        </w:trPr>
        <w:tc>
          <w:tcPr>
            <w:tcW w:w="7780" w:type="dxa"/>
            <w:vAlign w:val="bottom"/>
            <w:shd w:val="clear" w:color="auto" w:fill="CCEEFF"/>
          </w:tcPr>
          <w:p>
            <w:pPr>
              <w:spacing w:after="0"/>
              <w:rPr>
                <w:sz w:val="23"/>
                <w:szCs w:val="23"/>
                <w:color w:val="auto"/>
              </w:rPr>
            </w:pPr>
          </w:p>
        </w:tc>
        <w:tc>
          <w:tcPr>
            <w:tcW w:w="420" w:type="dxa"/>
            <w:vAlign w:val="bottom"/>
            <w:shd w:val="clear" w:color="auto" w:fill="CCEEFF"/>
          </w:tcPr>
          <w:p>
            <w:pPr>
              <w:spacing w:after="0"/>
              <w:rPr>
                <w:sz w:val="23"/>
                <w:szCs w:val="23"/>
                <w:color w:val="auto"/>
              </w:rPr>
            </w:pPr>
          </w:p>
        </w:tc>
        <w:tc>
          <w:tcPr>
            <w:tcW w:w="3220" w:type="dxa"/>
            <w:vAlign w:val="bottom"/>
            <w:shd w:val="clear" w:color="auto" w:fill="CCEEFF"/>
          </w:tcPr>
          <w:p>
            <w:pPr>
              <w:spacing w:after="0"/>
              <w:rPr>
                <w:sz w:val="23"/>
                <w:szCs w:val="23"/>
                <w:color w:val="auto"/>
              </w:rPr>
            </w:pPr>
          </w:p>
        </w:tc>
      </w:tr>
      <w:tr>
        <w:trPr>
          <w:trHeight w:val="243"/>
        </w:trPr>
        <w:tc>
          <w:tcPr>
            <w:tcW w:w="8200" w:type="dxa"/>
            <w:vAlign w:val="bottom"/>
            <w:gridSpan w:val="2"/>
          </w:tcPr>
          <w:p>
            <w:pPr>
              <w:ind w:left="40"/>
              <w:spacing w:after="0"/>
              <w:rPr>
                <w:sz w:val="20"/>
                <w:szCs w:val="20"/>
                <w:color w:val="auto"/>
              </w:rPr>
            </w:pPr>
            <w:r>
              <w:rPr>
                <w:rFonts w:ascii="Arial" w:cs="Arial" w:eastAsia="Arial" w:hAnsi="Arial"/>
                <w:sz w:val="18"/>
                <w:szCs w:val="18"/>
                <w:b w:val="1"/>
                <w:bCs w:val="1"/>
                <w:color w:val="auto"/>
              </w:rPr>
              <w:t>GAAP diluted net income per share from continuing operations</w:t>
            </w:r>
          </w:p>
        </w:tc>
        <w:tc>
          <w:tcPr>
            <w:tcW w:w="3220" w:type="dxa"/>
            <w:vAlign w:val="bottom"/>
          </w:tcPr>
          <w:p>
            <w:pPr>
              <w:jc w:val="center"/>
              <w:ind w:right="292"/>
              <w:spacing w:after="0"/>
              <w:rPr>
                <w:sz w:val="20"/>
                <w:szCs w:val="20"/>
                <w:color w:val="auto"/>
              </w:rPr>
            </w:pPr>
            <w:r>
              <w:rPr>
                <w:rFonts w:ascii="Arial" w:cs="Arial" w:eastAsia="Arial" w:hAnsi="Arial"/>
                <w:sz w:val="18"/>
                <w:szCs w:val="18"/>
                <w:color w:val="auto"/>
                <w:w w:val="92"/>
              </w:rPr>
              <w:t>$(0.09) - $(0.05)</w:t>
            </w: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3220" w:type="dxa"/>
            <w:vAlign w:val="bottom"/>
            <w:tcBorders>
              <w:bottom w:val="single" w:sz="8" w:color="CCEEFF"/>
            </w:tcBorders>
            <w:shd w:val="clear" w:color="auto" w:fill="CCEEFF"/>
          </w:tcPr>
          <w:p>
            <w:pPr>
              <w:spacing w:after="0"/>
              <w:rPr>
                <w:sz w:val="21"/>
                <w:szCs w:val="21"/>
                <w:color w:val="auto"/>
              </w:rPr>
            </w:pPr>
          </w:p>
        </w:tc>
      </w:tr>
      <w:tr>
        <w:trPr>
          <w:trHeight w:val="243"/>
        </w:trPr>
        <w:tc>
          <w:tcPr>
            <w:tcW w:w="8200" w:type="dxa"/>
            <w:vAlign w:val="bottom"/>
            <w:gridSpan w:val="2"/>
          </w:tcPr>
          <w:p>
            <w:pPr>
              <w:ind w:left="360"/>
              <w:spacing w:after="0"/>
              <w:rPr>
                <w:sz w:val="20"/>
                <w:szCs w:val="20"/>
                <w:color w:val="auto"/>
              </w:rPr>
            </w:pPr>
            <w:r>
              <w:rPr>
                <w:rFonts w:ascii="Arial" w:cs="Arial" w:eastAsia="Arial" w:hAnsi="Arial"/>
                <w:sz w:val="18"/>
                <w:szCs w:val="18"/>
                <w:color w:val="auto"/>
              </w:rPr>
              <w:t>Share-based compensation</w:t>
            </w:r>
          </w:p>
        </w:tc>
        <w:tc>
          <w:tcPr>
            <w:tcW w:w="3220" w:type="dxa"/>
            <w:vAlign w:val="bottom"/>
          </w:tcPr>
          <w:p>
            <w:pPr>
              <w:jc w:val="center"/>
              <w:ind w:right="332"/>
              <w:spacing w:after="0"/>
              <w:rPr>
                <w:sz w:val="20"/>
                <w:szCs w:val="20"/>
                <w:color w:val="auto"/>
              </w:rPr>
            </w:pPr>
            <w:r>
              <w:rPr>
                <w:rFonts w:ascii="Arial" w:cs="Arial" w:eastAsia="Arial" w:hAnsi="Arial"/>
                <w:sz w:val="18"/>
                <w:szCs w:val="18"/>
                <w:color w:val="auto"/>
                <w:w w:val="91"/>
              </w:rPr>
              <w:t>0.08</w:t>
            </w: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Arial" w:cs="Arial" w:eastAsia="Arial" w:hAnsi="Arial"/>
                <w:sz w:val="18"/>
                <w:szCs w:val="18"/>
                <w:color w:val="auto"/>
                <w:w w:val="91"/>
              </w:rPr>
              <w:t>0.12</w:t>
            </w:r>
          </w:p>
        </w:tc>
      </w:tr>
      <w:tr>
        <w:trPr>
          <w:trHeight w:val="243"/>
        </w:trPr>
        <w:tc>
          <w:tcPr>
            <w:tcW w:w="8200" w:type="dxa"/>
            <w:vAlign w:val="bottom"/>
            <w:gridSpan w:val="2"/>
          </w:tcPr>
          <w:p>
            <w:pPr>
              <w:ind w:left="360"/>
              <w:spacing w:after="0"/>
              <w:rPr>
                <w:sz w:val="20"/>
                <w:szCs w:val="20"/>
                <w:color w:val="auto"/>
              </w:rPr>
            </w:pPr>
            <w:r>
              <w:rPr>
                <w:rFonts w:ascii="Arial" w:cs="Arial" w:eastAsia="Arial" w:hAnsi="Arial"/>
                <w:sz w:val="18"/>
                <w:szCs w:val="18"/>
                <w:color w:val="auto"/>
              </w:rPr>
              <w:t>Restructuring related charges in operating expenses</w:t>
            </w:r>
          </w:p>
        </w:tc>
        <w:tc>
          <w:tcPr>
            <w:tcW w:w="3220" w:type="dxa"/>
            <w:vAlign w:val="bottom"/>
          </w:tcPr>
          <w:p>
            <w:pPr>
              <w:jc w:val="center"/>
              <w:ind w:right="332"/>
              <w:spacing w:after="0"/>
              <w:rPr>
                <w:sz w:val="20"/>
                <w:szCs w:val="20"/>
                <w:color w:val="auto"/>
              </w:rPr>
            </w:pPr>
            <w:r>
              <w:rPr>
                <w:rFonts w:ascii="Arial" w:cs="Arial" w:eastAsia="Arial" w:hAnsi="Arial"/>
                <w:sz w:val="18"/>
                <w:szCs w:val="18"/>
                <w:color w:val="auto"/>
                <w:w w:val="91"/>
              </w:rPr>
              <w:t>0.01</w:t>
            </w:r>
          </w:p>
        </w:tc>
      </w:tr>
      <w:tr>
        <w:trPr>
          <w:trHeight w:val="27"/>
        </w:trPr>
        <w:tc>
          <w:tcPr>
            <w:tcW w:w="7780" w:type="dxa"/>
            <w:vAlign w:val="bottom"/>
          </w:tcPr>
          <w:p>
            <w:pPr>
              <w:spacing w:after="0"/>
              <w:rPr>
                <w:sz w:val="2"/>
                <w:szCs w:val="2"/>
                <w:color w:val="auto"/>
              </w:rPr>
            </w:pPr>
          </w:p>
        </w:tc>
        <w:tc>
          <w:tcPr>
            <w:tcW w:w="4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820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Other operating expenses</w:t>
            </w:r>
          </w:p>
        </w:tc>
        <w:tc>
          <w:tcPr>
            <w:tcW w:w="3220" w:type="dxa"/>
            <w:vAlign w:val="bottom"/>
            <w:tcBorders>
              <w:bottom w:val="single" w:sz="8" w:color="CCEEFF"/>
            </w:tcBorders>
            <w:shd w:val="clear" w:color="auto" w:fill="CCEEFF"/>
          </w:tcPr>
          <w:p>
            <w:pPr>
              <w:jc w:val="center"/>
              <w:ind w:right="332"/>
              <w:spacing w:after="0"/>
              <w:rPr>
                <w:sz w:val="20"/>
                <w:szCs w:val="20"/>
                <w:color w:val="auto"/>
              </w:rPr>
            </w:pPr>
            <w:r>
              <w:rPr>
                <w:rFonts w:ascii="Arial" w:cs="Arial" w:eastAsia="Arial" w:hAnsi="Arial"/>
                <w:sz w:val="18"/>
                <w:szCs w:val="18"/>
                <w:color w:val="auto"/>
                <w:w w:val="91"/>
              </w:rPr>
              <w:t>0.01</w:t>
            </w:r>
          </w:p>
        </w:tc>
      </w:tr>
      <w:tr>
        <w:trPr>
          <w:trHeight w:val="243"/>
        </w:trPr>
        <w:tc>
          <w:tcPr>
            <w:tcW w:w="8200" w:type="dxa"/>
            <w:vAlign w:val="bottom"/>
            <w:gridSpan w:val="2"/>
          </w:tcPr>
          <w:p>
            <w:pPr>
              <w:ind w:left="360"/>
              <w:spacing w:after="0"/>
              <w:rPr>
                <w:sz w:val="20"/>
                <w:szCs w:val="20"/>
                <w:color w:val="auto"/>
              </w:rPr>
            </w:pPr>
            <w:r>
              <w:rPr>
                <w:rFonts w:ascii="Arial" w:cs="Arial" w:eastAsia="Arial" w:hAnsi="Arial"/>
                <w:sz w:val="18"/>
                <w:szCs w:val="18"/>
                <w:color w:val="auto"/>
              </w:rPr>
              <w:t>Other income tax effects and adjustments</w:t>
            </w:r>
          </w:p>
        </w:tc>
        <w:tc>
          <w:tcPr>
            <w:tcW w:w="3220" w:type="dxa"/>
            <w:vAlign w:val="bottom"/>
          </w:tcPr>
          <w:p>
            <w:pPr>
              <w:jc w:val="center"/>
              <w:ind w:right="332"/>
              <w:spacing w:after="0"/>
              <w:rPr>
                <w:sz w:val="20"/>
                <w:szCs w:val="20"/>
                <w:color w:val="auto"/>
              </w:rPr>
            </w:pPr>
            <w:r>
              <w:rPr>
                <w:rFonts w:ascii="Arial" w:cs="Arial" w:eastAsia="Arial" w:hAnsi="Arial"/>
                <w:sz w:val="18"/>
                <w:szCs w:val="18"/>
                <w:color w:val="auto"/>
                <w:w w:val="93"/>
              </w:rPr>
              <w:t>(0.01)</w:t>
            </w:r>
          </w:p>
        </w:tc>
      </w:tr>
      <w:tr>
        <w:trPr>
          <w:trHeight w:val="27"/>
        </w:trPr>
        <w:tc>
          <w:tcPr>
            <w:tcW w:w="778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r>
      <w:tr>
        <w:trPr>
          <w:trHeight w:val="237"/>
        </w:trPr>
        <w:tc>
          <w:tcPr>
            <w:tcW w:w="820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Non-GAAP diluted net income per share from continuing operations</w:t>
            </w:r>
          </w:p>
        </w:tc>
        <w:tc>
          <w:tcPr>
            <w:tcW w:w="3220" w:type="dxa"/>
            <w:vAlign w:val="bottom"/>
            <w:shd w:val="clear" w:color="auto" w:fill="CCEEFF"/>
          </w:tcPr>
          <w:p>
            <w:pPr>
              <w:jc w:val="center"/>
              <w:ind w:right="332"/>
              <w:spacing w:after="0"/>
              <w:rPr>
                <w:sz w:val="20"/>
                <w:szCs w:val="20"/>
                <w:color w:val="auto"/>
              </w:rPr>
            </w:pPr>
            <w:r>
              <w:rPr>
                <w:rFonts w:ascii="Arial" w:cs="Arial" w:eastAsia="Arial" w:hAnsi="Arial"/>
                <w:sz w:val="18"/>
                <w:szCs w:val="18"/>
                <w:color w:val="auto"/>
                <w:w w:val="90"/>
              </w:rPr>
              <w:t>$0.12 - $0.16</w:t>
            </w:r>
          </w:p>
        </w:tc>
      </w:tr>
      <w:tr>
        <w:trPr>
          <w:trHeight w:val="27"/>
        </w:trPr>
        <w:tc>
          <w:tcPr>
            <w:tcW w:w="7780" w:type="dxa"/>
            <w:vAlign w:val="bottom"/>
            <w:shd w:val="clear" w:color="auto" w:fill="CCEEFF"/>
          </w:tcPr>
          <w:p>
            <w:pPr>
              <w:spacing w:after="0"/>
              <w:rPr>
                <w:sz w:val="2"/>
                <w:szCs w:val="2"/>
                <w:color w:val="auto"/>
              </w:rPr>
            </w:pPr>
          </w:p>
        </w:tc>
        <w:tc>
          <w:tcPr>
            <w:tcW w:w="420" w:type="dxa"/>
            <w:vAlign w:val="bottom"/>
            <w:shd w:val="clear" w:color="auto" w:fill="CCEEFF"/>
          </w:tcPr>
          <w:p>
            <w:pPr>
              <w:spacing w:after="0"/>
              <w:rPr>
                <w:sz w:val="2"/>
                <w:szCs w:val="2"/>
                <w:color w:val="auto"/>
              </w:rPr>
            </w:pPr>
          </w:p>
        </w:tc>
        <w:tc>
          <w:tcPr>
            <w:tcW w:w="3220" w:type="dxa"/>
            <w:vAlign w:val="bottom"/>
            <w:shd w:val="clear" w:color="auto" w:fill="CCEEFF"/>
          </w:tcPr>
          <w:p>
            <w:pPr>
              <w:spacing w:after="0"/>
              <w:rPr>
                <w:sz w:val="2"/>
                <w:szCs w:val="2"/>
                <w:color w:val="auto"/>
              </w:rPr>
            </w:pPr>
          </w:p>
        </w:tc>
      </w:tr>
    </w:tbl>
    <w:p>
      <w:pPr>
        <w:sectPr>
          <w:pgSz w:w="11900" w:h="16838" w:orient="portrait"/>
          <w:cols w:equalWidth="0" w:num="1">
            <w:col w:w="11420"/>
          </w:cols>
          <w:pgMar w:left="240" w:top="526"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60" w:type="dxa"/>
            <w:vAlign w:val="bottom"/>
            <w:gridSpan w:val="2"/>
          </w:tcPr>
          <w:p>
            <w:pPr>
              <w:ind w:left="20"/>
              <w:spacing w:after="0"/>
              <w:rPr>
                <w:sz w:val="20"/>
                <w:szCs w:val="20"/>
                <w:color w:val="auto"/>
              </w:rPr>
            </w:pPr>
            <w:r>
              <w:rPr>
                <w:rFonts w:ascii="Arial" w:cs="Arial" w:eastAsia="Arial" w:hAnsi="Arial"/>
                <w:sz w:val="16"/>
                <w:szCs w:val="16"/>
                <w:b w:val="1"/>
                <w:bCs w:val="1"/>
                <w:color w:val="auto"/>
              </w:rPr>
              <w:t>Three Months Ended</w:t>
            </w:r>
          </w:p>
        </w:tc>
        <w:tc>
          <w:tcPr>
            <w:tcW w:w="28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60" w:type="dxa"/>
            <w:vAlign w:val="bottom"/>
            <w:gridSpan w:val="3"/>
          </w:tcPr>
          <w:p>
            <w:pPr>
              <w:ind w:left="1040"/>
              <w:spacing w:after="0"/>
              <w:rPr>
                <w:sz w:val="20"/>
                <w:szCs w:val="20"/>
                <w:color w:val="auto"/>
              </w:rPr>
            </w:pPr>
            <w:r>
              <w:rPr>
                <w:rFonts w:ascii="Arial" w:cs="Arial" w:eastAsia="Arial" w:hAnsi="Arial"/>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9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gridSpan w:val="2"/>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09"/>
        </w:trPr>
        <w:tc>
          <w:tcPr>
            <w:tcW w:w="29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00" w:type="dxa"/>
            <w:vAlign w:val="bottom"/>
            <w:gridSpan w:val="2"/>
          </w:tcPr>
          <w:p>
            <w:pPr>
              <w:ind w:left="180"/>
              <w:spacing w:after="0"/>
              <w:rPr>
                <w:sz w:val="20"/>
                <w:szCs w:val="20"/>
                <w:color w:val="auto"/>
              </w:rPr>
            </w:pPr>
            <w:r>
              <w:rPr>
                <w:rFonts w:ascii="Arial" w:cs="Arial" w:eastAsia="Arial" w:hAnsi="Arial"/>
                <w:sz w:val="16"/>
                <w:szCs w:val="16"/>
                <w:b w:val="1"/>
                <w:bCs w:val="1"/>
                <w:color w:val="auto"/>
              </w:rPr>
              <w:t>February 2,</w:t>
            </w:r>
          </w:p>
        </w:tc>
        <w:tc>
          <w:tcPr>
            <w:tcW w:w="160" w:type="dxa"/>
            <w:vAlign w:val="bottom"/>
          </w:tcPr>
          <w:p>
            <w:pPr>
              <w:spacing w:after="0"/>
              <w:rPr>
                <w:sz w:val="18"/>
                <w:szCs w:val="18"/>
                <w:color w:val="auto"/>
              </w:rPr>
            </w:pPr>
          </w:p>
        </w:tc>
        <w:tc>
          <w:tcPr>
            <w:tcW w:w="1760" w:type="dxa"/>
            <w:vAlign w:val="bottom"/>
            <w:gridSpan w:val="2"/>
          </w:tcPr>
          <w:p>
            <w:pPr>
              <w:ind w:left="280"/>
              <w:spacing w:after="0"/>
              <w:rPr>
                <w:sz w:val="20"/>
                <w:szCs w:val="20"/>
                <w:color w:val="auto"/>
              </w:rPr>
            </w:pPr>
            <w:r>
              <w:rPr>
                <w:rFonts w:ascii="Arial" w:cs="Arial" w:eastAsia="Arial" w:hAnsi="Arial"/>
                <w:sz w:val="16"/>
                <w:szCs w:val="16"/>
                <w:b w:val="1"/>
                <w:bCs w:val="1"/>
                <w:color w:val="auto"/>
              </w:rPr>
              <w:t>November 3,</w:t>
            </w:r>
          </w:p>
        </w:tc>
        <w:tc>
          <w:tcPr>
            <w:tcW w:w="280" w:type="dxa"/>
            <w:vAlign w:val="bottom"/>
          </w:tcPr>
          <w:p>
            <w:pPr>
              <w:spacing w:after="0"/>
              <w:rPr>
                <w:sz w:val="18"/>
                <w:szCs w:val="18"/>
                <w:color w:val="auto"/>
              </w:rPr>
            </w:pPr>
          </w:p>
        </w:tc>
        <w:tc>
          <w:tcPr>
            <w:tcW w:w="1620" w:type="dxa"/>
            <w:vAlign w:val="bottom"/>
            <w:gridSpan w:val="2"/>
          </w:tcPr>
          <w:p>
            <w:pPr>
              <w:ind w:left="180"/>
              <w:spacing w:after="0"/>
              <w:rPr>
                <w:sz w:val="20"/>
                <w:szCs w:val="20"/>
                <w:color w:val="auto"/>
              </w:rPr>
            </w:pPr>
            <w:r>
              <w:rPr>
                <w:rFonts w:ascii="Arial" w:cs="Arial" w:eastAsia="Arial" w:hAnsi="Arial"/>
                <w:sz w:val="16"/>
                <w:szCs w:val="16"/>
                <w:b w:val="1"/>
                <w:bCs w:val="1"/>
                <w:color w:val="auto"/>
              </w:rPr>
              <w:t>February 3,</w:t>
            </w: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0"/>
        </w:trPr>
        <w:tc>
          <w:tcPr>
            <w:tcW w:w="29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500" w:type="dxa"/>
            <w:vAlign w:val="bottom"/>
          </w:tcPr>
          <w:p>
            <w:pPr>
              <w:jc w:val="right"/>
              <w:ind w:right="659"/>
              <w:spacing w:after="0"/>
              <w:rPr>
                <w:sz w:val="20"/>
                <w:szCs w:val="20"/>
                <w:color w:val="auto"/>
              </w:rPr>
            </w:pPr>
            <w:r>
              <w:rPr>
                <w:rFonts w:ascii="Arial" w:cs="Arial" w:eastAsia="Arial" w:hAnsi="Arial"/>
                <w:sz w:val="16"/>
                <w:szCs w:val="16"/>
                <w:b w:val="1"/>
                <w:bCs w:val="1"/>
                <w:color w:val="auto"/>
              </w:rPr>
              <w:t>2019</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40" w:type="dxa"/>
            <w:vAlign w:val="bottom"/>
          </w:tcPr>
          <w:p>
            <w:pPr>
              <w:jc w:val="right"/>
              <w:ind w:right="659"/>
              <w:spacing w:after="0"/>
              <w:rPr>
                <w:sz w:val="20"/>
                <w:szCs w:val="20"/>
                <w:color w:val="auto"/>
              </w:rPr>
            </w:pPr>
            <w:r>
              <w:rPr>
                <w:rFonts w:ascii="Arial" w:cs="Arial" w:eastAsia="Arial" w:hAnsi="Arial"/>
                <w:sz w:val="16"/>
                <w:szCs w:val="16"/>
                <w:b w:val="1"/>
                <w:bCs w:val="1"/>
                <w:color w:val="auto"/>
              </w:rPr>
              <w:t>2018</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tcPr>
          <w:p>
            <w:pPr>
              <w:jc w:val="right"/>
              <w:ind w:right="639"/>
              <w:spacing w:after="0"/>
              <w:rPr>
                <w:sz w:val="20"/>
                <w:szCs w:val="20"/>
                <w:color w:val="auto"/>
              </w:rPr>
            </w:pPr>
            <w:r>
              <w:rPr>
                <w:rFonts w:ascii="Arial" w:cs="Arial" w:eastAsia="Arial" w:hAnsi="Arial"/>
                <w:sz w:val="16"/>
                <w:szCs w:val="16"/>
                <w:b w:val="1"/>
                <w:bCs w:val="1"/>
                <w:color w:val="auto"/>
              </w:rPr>
              <w:t>2018</w:t>
            </w:r>
          </w:p>
        </w:tc>
        <w:tc>
          <w:tcPr>
            <w:tcW w:w="120" w:type="dxa"/>
            <w:vAlign w:val="bottom"/>
          </w:tcPr>
          <w:p>
            <w:pPr>
              <w:spacing w:after="0"/>
              <w:rPr>
                <w:sz w:val="18"/>
                <w:szCs w:val="18"/>
                <w:color w:val="auto"/>
              </w:rPr>
            </w:pPr>
          </w:p>
        </w:tc>
        <w:tc>
          <w:tcPr>
            <w:tcW w:w="1860" w:type="dxa"/>
            <w:vAlign w:val="bottom"/>
            <w:gridSpan w:val="3"/>
          </w:tcPr>
          <w:p>
            <w:pPr>
              <w:ind w:left="520"/>
              <w:spacing w:after="0"/>
              <w:rPr>
                <w:sz w:val="20"/>
                <w:szCs w:val="20"/>
                <w:color w:val="auto"/>
              </w:rPr>
            </w:pPr>
            <w:r>
              <w:rPr>
                <w:rFonts w:ascii="Arial" w:cs="Arial" w:eastAsia="Arial" w:hAnsi="Arial"/>
                <w:sz w:val="16"/>
                <w:szCs w:val="16"/>
                <w:b w:val="1"/>
                <w:bCs w:val="1"/>
                <w:color w:val="auto"/>
              </w:rPr>
              <w:t>YoY</w:t>
            </w:r>
          </w:p>
        </w:tc>
        <w:tc>
          <w:tcPr>
            <w:tcW w:w="920" w:type="dxa"/>
            <w:vAlign w:val="bottom"/>
          </w:tcPr>
          <w:p>
            <w:pPr>
              <w:jc w:val="right"/>
              <w:ind w:right="419"/>
              <w:spacing w:after="0"/>
              <w:rPr>
                <w:sz w:val="20"/>
                <w:szCs w:val="20"/>
                <w:color w:val="auto"/>
              </w:rPr>
            </w:pPr>
            <w:r>
              <w:rPr>
                <w:rFonts w:ascii="Arial" w:cs="Arial" w:eastAsia="Arial" w:hAnsi="Arial"/>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30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6"/>
                <w:szCs w:val="16"/>
                <w:color w:val="auto"/>
              </w:rPr>
              <w:t>$</w:t>
            </w: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317,042</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406,822</w:t>
            </w:r>
          </w:p>
        </w:tc>
        <w:tc>
          <w:tcPr>
            <w:tcW w:w="1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323,718</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(22)%</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300" w:type="dxa"/>
            <w:vAlign w:val="bottom"/>
          </w:tcPr>
          <w:p>
            <w:pPr>
              <w:spacing w:after="0"/>
              <w:rPr>
                <w:sz w:val="20"/>
                <w:szCs w:val="20"/>
                <w:color w:val="auto"/>
              </w:rPr>
            </w:pPr>
          </w:p>
        </w:tc>
        <w:tc>
          <w:tcPr>
            <w:tcW w:w="1500" w:type="dxa"/>
            <w:vAlign w:val="bottom"/>
          </w:tcPr>
          <w:p>
            <w:pPr>
              <w:jc w:val="right"/>
              <w:ind w:right="19"/>
              <w:spacing w:after="0"/>
              <w:rPr>
                <w:sz w:val="20"/>
                <w:szCs w:val="20"/>
                <w:color w:val="auto"/>
              </w:rPr>
            </w:pPr>
            <w:r>
              <w:rPr>
                <w:rFonts w:ascii="Arial" w:cs="Arial" w:eastAsia="Arial" w:hAnsi="Arial"/>
                <w:sz w:val="16"/>
                <w:szCs w:val="16"/>
                <w:color w:val="auto"/>
              </w:rPr>
              <w:t>387,457</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40" w:type="dxa"/>
            <w:vAlign w:val="bottom"/>
          </w:tcPr>
          <w:p>
            <w:pPr>
              <w:jc w:val="right"/>
              <w:ind w:right="19"/>
              <w:spacing w:after="0"/>
              <w:rPr>
                <w:sz w:val="20"/>
                <w:szCs w:val="20"/>
                <w:color w:val="auto"/>
              </w:rPr>
            </w:pPr>
            <w:r>
              <w:rPr>
                <w:rFonts w:ascii="Arial" w:cs="Arial" w:eastAsia="Arial" w:hAnsi="Arial"/>
                <w:sz w:val="16"/>
                <w:szCs w:val="16"/>
                <w:color w:val="auto"/>
              </w:rPr>
              <w:t>398,424</w:t>
            </w: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500" w:type="dxa"/>
            <w:vAlign w:val="bottom"/>
          </w:tcPr>
          <w:p>
            <w:pPr>
              <w:jc w:val="right"/>
              <w:ind w:right="19"/>
              <w:spacing w:after="0"/>
              <w:rPr>
                <w:sz w:val="20"/>
                <w:szCs w:val="20"/>
                <w:color w:val="auto"/>
              </w:rPr>
            </w:pPr>
            <w:r>
              <w:rPr>
                <w:rFonts w:ascii="Arial" w:cs="Arial" w:eastAsia="Arial" w:hAnsi="Arial"/>
                <w:sz w:val="16"/>
                <w:szCs w:val="16"/>
                <w:color w:val="auto"/>
              </w:rPr>
              <w:t>241,611</w:t>
            </w:r>
          </w:p>
        </w:tc>
        <w:tc>
          <w:tcPr>
            <w:tcW w:w="12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Arial" w:cs="Arial" w:eastAsia="Arial" w:hAnsi="Arial"/>
                <w:sz w:val="16"/>
                <w:szCs w:val="16"/>
                <w:color w:val="auto"/>
              </w:rPr>
              <w:t>60 %</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(3)%</w:t>
            </w:r>
          </w:p>
        </w:tc>
      </w:tr>
      <w:tr>
        <w:trPr>
          <w:trHeight w:val="33"/>
        </w:trPr>
        <w:tc>
          <w:tcPr>
            <w:tcW w:w="29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17"/>
        </w:trPr>
        <w:tc>
          <w:tcPr>
            <w:tcW w:w="2920" w:type="dxa"/>
            <w:vAlign w:val="bottom"/>
          </w:tcPr>
          <w:p>
            <w:pPr>
              <w:ind w:left="160"/>
              <w:spacing w:after="0"/>
              <w:rPr>
                <w:sz w:val="20"/>
                <w:szCs w:val="20"/>
                <w:color w:val="auto"/>
              </w:rPr>
            </w:pPr>
            <w:r>
              <w:rPr>
                <w:rFonts w:ascii="Arial" w:cs="Arial" w:eastAsia="Arial" w:hAnsi="Arial"/>
                <w:sz w:val="16"/>
                <w:szCs w:val="16"/>
                <w:color w:val="auto"/>
              </w:rPr>
              <w:t>Total Core</w:t>
            </w:r>
          </w:p>
        </w:tc>
        <w:tc>
          <w:tcPr>
            <w:tcW w:w="300" w:type="dxa"/>
            <w:vAlign w:val="bottom"/>
          </w:tcPr>
          <w:p>
            <w:pPr>
              <w:spacing w:after="0"/>
              <w:rPr>
                <w:sz w:val="18"/>
                <w:szCs w:val="18"/>
                <w:color w:val="auto"/>
              </w:rPr>
            </w:pPr>
          </w:p>
        </w:tc>
        <w:tc>
          <w:tcPr>
            <w:tcW w:w="1500" w:type="dxa"/>
            <w:vAlign w:val="bottom"/>
          </w:tcPr>
          <w:p>
            <w:pPr>
              <w:jc w:val="right"/>
              <w:ind w:right="19"/>
              <w:spacing w:after="0"/>
              <w:rPr>
                <w:sz w:val="20"/>
                <w:szCs w:val="20"/>
                <w:color w:val="auto"/>
              </w:rPr>
            </w:pPr>
            <w:r>
              <w:rPr>
                <w:rFonts w:ascii="Arial" w:cs="Arial" w:eastAsia="Arial" w:hAnsi="Arial"/>
                <w:sz w:val="16"/>
                <w:szCs w:val="16"/>
                <w:color w:val="auto"/>
              </w:rPr>
              <w:t>704,499</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40" w:type="dxa"/>
            <w:vAlign w:val="bottom"/>
          </w:tcPr>
          <w:p>
            <w:pPr>
              <w:jc w:val="right"/>
              <w:ind w:right="19"/>
              <w:spacing w:after="0"/>
              <w:rPr>
                <w:sz w:val="20"/>
                <w:szCs w:val="20"/>
                <w:color w:val="auto"/>
              </w:rPr>
            </w:pPr>
            <w:r>
              <w:rPr>
                <w:rFonts w:ascii="Arial" w:cs="Arial" w:eastAsia="Arial" w:hAnsi="Arial"/>
                <w:sz w:val="16"/>
                <w:szCs w:val="16"/>
                <w:color w:val="auto"/>
              </w:rPr>
              <w:t>805,246</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tcPr>
          <w:p>
            <w:pPr>
              <w:jc w:val="right"/>
              <w:ind w:right="19"/>
              <w:spacing w:after="0"/>
              <w:rPr>
                <w:sz w:val="20"/>
                <w:szCs w:val="20"/>
                <w:color w:val="auto"/>
              </w:rPr>
            </w:pPr>
            <w:r>
              <w:rPr>
                <w:rFonts w:ascii="Arial" w:cs="Arial" w:eastAsia="Arial" w:hAnsi="Arial"/>
                <w:sz w:val="16"/>
                <w:szCs w:val="16"/>
                <w:color w:val="auto"/>
              </w:rPr>
              <w:t>565,329</w:t>
            </w:r>
          </w:p>
        </w:tc>
        <w:tc>
          <w:tcPr>
            <w:tcW w:w="12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6"/>
                <w:szCs w:val="16"/>
                <w:color w:val="auto"/>
              </w:rPr>
              <w:t>25 %</w:t>
            </w: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(13)%</w:t>
            </w:r>
          </w:p>
        </w:tc>
      </w:tr>
      <w:tr>
        <w:trPr>
          <w:trHeight w:val="33"/>
        </w:trPr>
        <w:tc>
          <w:tcPr>
            <w:tcW w:w="29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30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40,300</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45,805</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50,080</w:t>
            </w: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(20)%</w:t>
            </w:r>
          </w:p>
        </w:tc>
        <w:tc>
          <w:tcPr>
            <w:tcW w:w="10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(12)%</w:t>
            </w:r>
          </w:p>
        </w:tc>
      </w:tr>
      <w:tr>
        <w:trPr>
          <w:trHeight w:val="244"/>
        </w:trPr>
        <w:tc>
          <w:tcPr>
            <w:tcW w:w="2920" w:type="dxa"/>
            <w:vAlign w:val="bottom"/>
          </w:tcPr>
          <w:p>
            <w:pPr>
              <w:ind w:left="40"/>
              <w:spacing w:after="0"/>
              <w:rPr>
                <w:sz w:val="20"/>
                <w:szCs w:val="20"/>
                <w:color w:val="auto"/>
              </w:rPr>
            </w:pPr>
            <w:r>
              <w:rPr>
                <w:rFonts w:ascii="Arial" w:cs="Arial" w:eastAsia="Arial" w:hAnsi="Arial"/>
                <w:sz w:val="16"/>
                <w:szCs w:val="16"/>
                <w:color w:val="auto"/>
              </w:rPr>
              <w:t>Total Revenue</w:t>
            </w:r>
          </w:p>
        </w:tc>
        <w:tc>
          <w:tcPr>
            <w:tcW w:w="300" w:type="dxa"/>
            <w:vAlign w:val="bottom"/>
            <w:tcBorders>
              <w:top w:val="single" w:sz="8" w:color="auto"/>
              <w:bottom w:val="single" w:sz="8" w:color="auto"/>
            </w:tcBorders>
          </w:tcPr>
          <w:p>
            <w:pPr>
              <w:jc w:val="right"/>
              <w:ind w:right="99"/>
              <w:spacing w:after="0"/>
              <w:rPr>
                <w:sz w:val="20"/>
                <w:szCs w:val="20"/>
                <w:color w:val="auto"/>
              </w:rPr>
            </w:pPr>
            <w:r>
              <w:rPr>
                <w:rFonts w:ascii="Arial" w:cs="Arial" w:eastAsia="Arial" w:hAnsi="Arial"/>
                <w:sz w:val="16"/>
                <w:szCs w:val="16"/>
                <w:color w:val="auto"/>
              </w:rPr>
              <w:t>$</w:t>
            </w:r>
          </w:p>
        </w:tc>
        <w:tc>
          <w:tcPr>
            <w:tcW w:w="150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744,799</w:t>
            </w:r>
          </w:p>
        </w:tc>
        <w:tc>
          <w:tcPr>
            <w:tcW w:w="100" w:type="dxa"/>
            <w:vAlign w:val="bottom"/>
          </w:tcPr>
          <w:p>
            <w:pPr>
              <w:spacing w:after="0"/>
              <w:rPr>
                <w:sz w:val="21"/>
                <w:szCs w:val="21"/>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64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851,051</w:t>
            </w:r>
          </w:p>
        </w:tc>
        <w:tc>
          <w:tcPr>
            <w:tcW w:w="120" w:type="dxa"/>
            <w:vAlign w:val="bottom"/>
          </w:tcPr>
          <w:p>
            <w:pPr>
              <w:spacing w:after="0"/>
              <w:rPr>
                <w:sz w:val="21"/>
                <w:szCs w:val="21"/>
                <w:color w:val="auto"/>
              </w:rPr>
            </w:pPr>
          </w:p>
        </w:tc>
        <w:tc>
          <w:tcPr>
            <w:tcW w:w="280" w:type="dxa"/>
            <w:vAlign w:val="bottom"/>
            <w:tcBorders>
              <w:top w:val="single" w:sz="8" w:color="auto"/>
              <w:bottom w:val="single" w:sz="8" w:color="auto"/>
            </w:tcBorders>
          </w:tcPr>
          <w:p>
            <w:pPr>
              <w:jc w:val="right"/>
              <w:ind w:right="99"/>
              <w:spacing w:after="0"/>
              <w:rPr>
                <w:sz w:val="20"/>
                <w:szCs w:val="20"/>
                <w:color w:val="auto"/>
              </w:rPr>
            </w:pPr>
            <w:r>
              <w:rPr>
                <w:rFonts w:ascii="Arial" w:cs="Arial" w:eastAsia="Arial" w:hAnsi="Arial"/>
                <w:sz w:val="16"/>
                <w:szCs w:val="16"/>
                <w:color w:val="auto"/>
                <w:w w:val="89"/>
              </w:rPr>
              <w:t>$</w:t>
            </w:r>
          </w:p>
        </w:tc>
        <w:tc>
          <w:tcPr>
            <w:tcW w:w="150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615,409</w:t>
            </w:r>
          </w:p>
        </w:tc>
        <w:tc>
          <w:tcPr>
            <w:tcW w:w="120" w:type="dxa"/>
            <w:vAlign w:val="bottom"/>
          </w:tcPr>
          <w:p>
            <w:pPr>
              <w:spacing w:after="0"/>
              <w:rPr>
                <w:sz w:val="21"/>
                <w:szCs w:val="21"/>
                <w:color w:val="auto"/>
              </w:rPr>
            </w:pPr>
          </w:p>
        </w:tc>
        <w:tc>
          <w:tcPr>
            <w:tcW w:w="13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21 %</w:t>
            </w:r>
          </w:p>
        </w:tc>
        <w:tc>
          <w:tcPr>
            <w:tcW w:w="100" w:type="dxa"/>
            <w:vAlign w:val="bottom"/>
          </w:tcPr>
          <w:p>
            <w:pPr>
              <w:spacing w:after="0"/>
              <w:rPr>
                <w:sz w:val="21"/>
                <w:szCs w:val="21"/>
                <w:color w:val="auto"/>
              </w:rPr>
            </w:pPr>
          </w:p>
        </w:tc>
        <w:tc>
          <w:tcPr>
            <w:tcW w:w="420" w:type="dxa"/>
            <w:vAlign w:val="bottom"/>
            <w:tcBorders>
              <w:top w:val="single" w:sz="8" w:color="auto"/>
              <w:bottom w:val="single" w:sz="8" w:color="auto"/>
            </w:tcBorders>
          </w:tcPr>
          <w:p>
            <w:pPr>
              <w:spacing w:after="0"/>
              <w:rPr>
                <w:sz w:val="21"/>
                <w:szCs w:val="21"/>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(12)%</w:t>
            </w:r>
          </w:p>
        </w:tc>
      </w:tr>
      <w:tr>
        <w:trPr>
          <w:trHeight w:val="20"/>
        </w:trPr>
        <w:tc>
          <w:tcPr>
            <w:tcW w:w="29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94" w:lineRule="exact"/>
        <w:rPr>
          <w:sz w:val="20"/>
          <w:szCs w:val="20"/>
          <w:color w:val="auto"/>
        </w:rPr>
      </w:pPr>
    </w:p>
    <w:tbl>
      <w:tblPr>
        <w:tblLayout w:type="fixed"/>
        <w:tblInd w:w="80" w:type="dxa"/>
        <w:tblCellMar>
          <w:top w:w="0" w:type="dxa"/>
          <w:left w:w="0" w:type="dxa"/>
          <w:bottom w:w="0" w:type="dxa"/>
          <w:right w:w="0" w:type="dxa"/>
        </w:tblCellMar>
      </w:tblPr>
      <w:tr>
        <w:trPr>
          <w:trHeight w:val="210"/>
        </w:trPr>
        <w:tc>
          <w:tcPr>
            <w:tcW w:w="434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0" w:type="dxa"/>
            <w:vAlign w:val="bottom"/>
            <w:gridSpan w:val="2"/>
          </w:tcPr>
          <w:p>
            <w:pPr>
              <w:ind w:left="380"/>
              <w:spacing w:after="0"/>
              <w:rPr>
                <w:sz w:val="20"/>
                <w:szCs w:val="20"/>
                <w:color w:val="auto"/>
              </w:rPr>
            </w:pPr>
            <w:r>
              <w:rPr>
                <w:rFonts w:ascii="Arial" w:cs="Arial" w:eastAsia="Arial" w:hAnsi="Arial"/>
                <w:sz w:val="16"/>
                <w:szCs w:val="16"/>
                <w:b w:val="1"/>
                <w:bCs w:val="1"/>
                <w:color w:val="auto"/>
              </w:rPr>
              <w:t>Three Months Ended</w:t>
            </w:r>
          </w:p>
        </w:tc>
        <w:tc>
          <w:tcPr>
            <w:tcW w:w="2180" w:type="dxa"/>
            <w:vAlign w:val="bottom"/>
          </w:tcPr>
          <w:p>
            <w:pPr>
              <w:spacing w:after="0"/>
              <w:rPr>
                <w:sz w:val="18"/>
                <w:szCs w:val="18"/>
                <w:color w:val="auto"/>
              </w:rPr>
            </w:pPr>
          </w:p>
        </w:tc>
      </w:tr>
      <w:tr>
        <w:trPr>
          <w:trHeight w:val="33"/>
        </w:trPr>
        <w:tc>
          <w:tcPr>
            <w:tcW w:w="4340" w:type="dxa"/>
            <w:vAlign w:val="bottom"/>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2400" w:type="dxa"/>
            <w:vAlign w:val="bottom"/>
            <w:tcBorders>
              <w:bottom w:val="single" w:sz="8" w:color="auto"/>
            </w:tcBorders>
            <w:gridSpan w:val="2"/>
          </w:tcPr>
          <w:p>
            <w:pPr>
              <w:spacing w:after="0"/>
              <w:rPr>
                <w:sz w:val="2"/>
                <w:szCs w:val="2"/>
                <w:color w:val="auto"/>
              </w:rPr>
            </w:pPr>
          </w:p>
        </w:tc>
        <w:tc>
          <w:tcPr>
            <w:tcW w:w="2180" w:type="dxa"/>
            <w:vAlign w:val="bottom"/>
            <w:tcBorders>
              <w:bottom w:val="single" w:sz="8" w:color="auto"/>
            </w:tcBorders>
          </w:tcPr>
          <w:p>
            <w:pPr>
              <w:spacing w:after="0"/>
              <w:rPr>
                <w:sz w:val="2"/>
                <w:szCs w:val="2"/>
                <w:color w:val="auto"/>
              </w:rPr>
            </w:pPr>
          </w:p>
        </w:tc>
      </w:tr>
      <w:tr>
        <w:trPr>
          <w:trHeight w:val="209"/>
        </w:trPr>
        <w:tc>
          <w:tcPr>
            <w:tcW w:w="4340" w:type="dxa"/>
            <w:vAlign w:val="bottom"/>
          </w:tcPr>
          <w:p>
            <w:pPr>
              <w:spacing w:after="0"/>
              <w:rPr>
                <w:sz w:val="18"/>
                <w:szCs w:val="18"/>
                <w:color w:val="auto"/>
              </w:rPr>
            </w:pPr>
          </w:p>
        </w:tc>
        <w:tc>
          <w:tcPr>
            <w:tcW w:w="1600" w:type="dxa"/>
            <w:vAlign w:val="bottom"/>
          </w:tcPr>
          <w:p>
            <w:pPr>
              <w:jc w:val="center"/>
              <w:ind w:left="419"/>
              <w:spacing w:after="0"/>
              <w:rPr>
                <w:sz w:val="20"/>
                <w:szCs w:val="20"/>
                <w:color w:val="auto"/>
              </w:rPr>
            </w:pPr>
            <w:r>
              <w:rPr>
                <w:rFonts w:ascii="Arial" w:cs="Arial" w:eastAsia="Arial" w:hAnsi="Arial"/>
                <w:sz w:val="16"/>
                <w:szCs w:val="16"/>
                <w:b w:val="1"/>
                <w:bCs w:val="1"/>
                <w:color w:val="auto"/>
                <w:w w:val="95"/>
              </w:rPr>
              <w:t>February 2,</w:t>
            </w: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0" w:type="dxa"/>
            <w:vAlign w:val="bottom"/>
            <w:gridSpan w:val="2"/>
          </w:tcPr>
          <w:p>
            <w:pPr>
              <w:ind w:left="620"/>
              <w:spacing w:after="0"/>
              <w:rPr>
                <w:sz w:val="20"/>
                <w:szCs w:val="20"/>
                <w:color w:val="auto"/>
              </w:rPr>
            </w:pPr>
            <w:r>
              <w:rPr>
                <w:rFonts w:ascii="Arial" w:cs="Arial" w:eastAsia="Arial" w:hAnsi="Arial"/>
                <w:sz w:val="16"/>
                <w:szCs w:val="16"/>
                <w:b w:val="1"/>
                <w:bCs w:val="1"/>
                <w:color w:val="auto"/>
              </w:rPr>
              <w:t>November 3,</w:t>
            </w:r>
          </w:p>
        </w:tc>
        <w:tc>
          <w:tcPr>
            <w:tcW w:w="2180" w:type="dxa"/>
            <w:vAlign w:val="bottom"/>
          </w:tcPr>
          <w:p>
            <w:pPr>
              <w:jc w:val="right"/>
              <w:ind w:right="639"/>
              <w:spacing w:after="0"/>
              <w:rPr>
                <w:sz w:val="20"/>
                <w:szCs w:val="20"/>
                <w:color w:val="auto"/>
              </w:rPr>
            </w:pPr>
            <w:r>
              <w:rPr>
                <w:rFonts w:ascii="Arial" w:cs="Arial" w:eastAsia="Arial" w:hAnsi="Arial"/>
                <w:sz w:val="16"/>
                <w:szCs w:val="16"/>
                <w:b w:val="1"/>
                <w:bCs w:val="1"/>
                <w:color w:val="auto"/>
              </w:rPr>
              <w:t>February 3,</w:t>
            </w:r>
          </w:p>
        </w:tc>
      </w:tr>
      <w:tr>
        <w:trPr>
          <w:trHeight w:val="210"/>
        </w:trPr>
        <w:tc>
          <w:tcPr>
            <w:tcW w:w="4340" w:type="dxa"/>
            <w:vAlign w:val="bottom"/>
          </w:tcPr>
          <w:p>
            <w:pPr>
              <w:ind w:left="20"/>
              <w:spacing w:after="0"/>
              <w:rPr>
                <w:sz w:val="20"/>
                <w:szCs w:val="20"/>
                <w:color w:val="auto"/>
              </w:rPr>
            </w:pPr>
            <w:r>
              <w:rPr>
                <w:rFonts w:ascii="Arial" w:cs="Arial" w:eastAsia="Arial" w:hAnsi="Arial"/>
                <w:sz w:val="16"/>
                <w:szCs w:val="16"/>
                <w:b w:val="1"/>
                <w:bCs w:val="1"/>
                <w:color w:val="auto"/>
              </w:rPr>
              <w:t>% of Total</w:t>
            </w:r>
          </w:p>
        </w:tc>
        <w:tc>
          <w:tcPr>
            <w:tcW w:w="1600" w:type="dxa"/>
            <w:vAlign w:val="bottom"/>
          </w:tcPr>
          <w:p>
            <w:pPr>
              <w:jc w:val="right"/>
              <w:ind w:right="299"/>
              <w:spacing w:after="0"/>
              <w:rPr>
                <w:sz w:val="20"/>
                <w:szCs w:val="20"/>
                <w:color w:val="auto"/>
              </w:rPr>
            </w:pPr>
            <w:r>
              <w:rPr>
                <w:rFonts w:ascii="Arial" w:cs="Arial" w:eastAsia="Arial" w:hAnsi="Arial"/>
                <w:sz w:val="16"/>
                <w:szCs w:val="16"/>
                <w:b w:val="1"/>
                <w:bCs w:val="1"/>
                <w:color w:val="auto"/>
              </w:rPr>
              <w:t>2019</w:t>
            </w: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180" w:type="dxa"/>
            <w:vAlign w:val="bottom"/>
          </w:tcPr>
          <w:p>
            <w:pPr>
              <w:jc w:val="right"/>
              <w:ind w:right="839"/>
              <w:spacing w:after="0"/>
              <w:rPr>
                <w:sz w:val="20"/>
                <w:szCs w:val="20"/>
                <w:color w:val="auto"/>
              </w:rPr>
            </w:pPr>
            <w:r>
              <w:rPr>
                <w:rFonts w:ascii="Arial" w:cs="Arial" w:eastAsia="Arial" w:hAnsi="Arial"/>
                <w:sz w:val="16"/>
                <w:szCs w:val="16"/>
                <w:b w:val="1"/>
                <w:bCs w:val="1"/>
                <w:color w:val="auto"/>
              </w:rPr>
              <w:t>2018</w:t>
            </w:r>
          </w:p>
        </w:tc>
        <w:tc>
          <w:tcPr>
            <w:tcW w:w="220" w:type="dxa"/>
            <w:vAlign w:val="bottom"/>
          </w:tcPr>
          <w:p>
            <w:pPr>
              <w:spacing w:after="0"/>
              <w:rPr>
                <w:sz w:val="18"/>
                <w:szCs w:val="18"/>
                <w:color w:val="auto"/>
              </w:rPr>
            </w:pPr>
          </w:p>
        </w:tc>
        <w:tc>
          <w:tcPr>
            <w:tcW w:w="2180" w:type="dxa"/>
            <w:vAlign w:val="bottom"/>
          </w:tcPr>
          <w:p>
            <w:pPr>
              <w:jc w:val="right"/>
              <w:ind w:right="859"/>
              <w:spacing w:after="0"/>
              <w:rPr>
                <w:sz w:val="20"/>
                <w:szCs w:val="20"/>
                <w:color w:val="auto"/>
              </w:rPr>
            </w:pPr>
            <w:r>
              <w:rPr>
                <w:rFonts w:ascii="Arial" w:cs="Arial" w:eastAsia="Arial" w:hAnsi="Arial"/>
                <w:sz w:val="16"/>
                <w:szCs w:val="16"/>
                <w:b w:val="1"/>
                <w:bCs w:val="1"/>
                <w:color w:val="auto"/>
              </w:rPr>
              <w:t>2018</w:t>
            </w:r>
          </w:p>
        </w:tc>
      </w:tr>
      <w:tr>
        <w:trPr>
          <w:trHeight w:val="33"/>
        </w:trPr>
        <w:tc>
          <w:tcPr>
            <w:tcW w:w="4340" w:type="dxa"/>
            <w:vAlign w:val="bottom"/>
            <w:tcBorders>
              <w:bottom w:val="single" w:sz="8" w:color="CCEEFF"/>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180" w:type="dxa"/>
            <w:vAlign w:val="bottom"/>
            <w:tcBorders>
              <w:bottom w:val="single" w:sz="8" w:color="auto"/>
            </w:tcBorders>
          </w:tcPr>
          <w:p>
            <w:pPr>
              <w:spacing w:after="0"/>
              <w:rPr>
                <w:sz w:val="2"/>
                <w:szCs w:val="2"/>
                <w:color w:val="auto"/>
              </w:rPr>
            </w:pPr>
          </w:p>
        </w:tc>
      </w:tr>
      <w:tr>
        <w:trPr>
          <w:trHeight w:val="230"/>
        </w:trPr>
        <w:tc>
          <w:tcPr>
            <w:tcW w:w="4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600" w:type="dxa"/>
            <w:vAlign w:val="bottom"/>
            <w:tcBorders>
              <w:bottom w:val="single" w:sz="8" w:color="CCEEFF"/>
            </w:tcBorders>
            <w:shd w:val="clear" w:color="auto" w:fill="CCEEFF"/>
          </w:tcPr>
          <w:p>
            <w:pPr>
              <w:spacing w:after="0"/>
              <w:rPr>
                <w:sz w:val="20"/>
                <w:szCs w:val="20"/>
                <w:color w:val="auto"/>
              </w:rPr>
            </w:pPr>
          </w:p>
        </w:tc>
        <w:tc>
          <w:tcPr>
            <w:tcW w:w="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43%</w:t>
            </w:r>
          </w:p>
        </w:tc>
        <w:tc>
          <w:tcPr>
            <w:tcW w:w="200" w:type="dxa"/>
            <w:vAlign w:val="bottom"/>
            <w:tcBorders>
              <w:bottom w:val="single" w:sz="8" w:color="CCEEFF"/>
            </w:tcBorders>
            <w:shd w:val="clear" w:color="auto" w:fill="CCEEFF"/>
          </w:tcPr>
          <w:p>
            <w:pPr>
              <w:spacing w:after="0"/>
              <w:rPr>
                <w:sz w:val="20"/>
                <w:szCs w:val="20"/>
                <w:color w:val="auto"/>
              </w:rPr>
            </w:pPr>
          </w:p>
        </w:tc>
        <w:tc>
          <w:tcPr>
            <w:tcW w:w="2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48%</w:t>
            </w:r>
          </w:p>
        </w:tc>
        <w:tc>
          <w:tcPr>
            <w:tcW w:w="220" w:type="dxa"/>
            <w:vAlign w:val="bottom"/>
            <w:tcBorders>
              <w:bottom w:val="single" w:sz="8" w:color="CCEEFF"/>
            </w:tcBorders>
            <w:shd w:val="clear" w:color="auto" w:fill="CCEEFF"/>
          </w:tcPr>
          <w:p>
            <w:pPr>
              <w:spacing w:after="0"/>
              <w:rPr>
                <w:sz w:val="20"/>
                <w:szCs w:val="20"/>
                <w:color w:val="auto"/>
              </w:rPr>
            </w:pPr>
          </w:p>
        </w:tc>
        <w:tc>
          <w:tcPr>
            <w:tcW w:w="2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53%</w:t>
            </w:r>
          </w:p>
        </w:tc>
      </w:tr>
      <w:tr>
        <w:trPr>
          <w:trHeight w:val="237"/>
        </w:trPr>
        <w:tc>
          <w:tcPr>
            <w:tcW w:w="4340" w:type="dxa"/>
            <w:vAlign w:val="bottom"/>
          </w:tcPr>
          <w:p>
            <w:pPr>
              <w:ind w:left="2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60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6"/>
                <w:szCs w:val="16"/>
                <w:color w:val="auto"/>
              </w:rPr>
              <w:t>52%</w:t>
            </w:r>
          </w:p>
        </w:tc>
        <w:tc>
          <w:tcPr>
            <w:tcW w:w="200" w:type="dxa"/>
            <w:vAlign w:val="bottom"/>
          </w:tcPr>
          <w:p>
            <w:pPr>
              <w:spacing w:after="0"/>
              <w:rPr>
                <w:sz w:val="20"/>
                <w:szCs w:val="20"/>
                <w:color w:val="auto"/>
              </w:rPr>
            </w:pPr>
          </w:p>
        </w:tc>
        <w:tc>
          <w:tcPr>
            <w:tcW w:w="2180" w:type="dxa"/>
            <w:vAlign w:val="bottom"/>
          </w:tcPr>
          <w:p>
            <w:pPr>
              <w:jc w:val="right"/>
              <w:spacing w:after="0"/>
              <w:rPr>
                <w:sz w:val="20"/>
                <w:szCs w:val="20"/>
                <w:color w:val="auto"/>
              </w:rPr>
            </w:pPr>
            <w:r>
              <w:rPr>
                <w:rFonts w:ascii="Arial" w:cs="Arial" w:eastAsia="Arial" w:hAnsi="Arial"/>
                <w:sz w:val="16"/>
                <w:szCs w:val="16"/>
                <w:color w:val="auto"/>
              </w:rPr>
              <w:t>47%</w:t>
            </w:r>
          </w:p>
        </w:tc>
        <w:tc>
          <w:tcPr>
            <w:tcW w:w="220" w:type="dxa"/>
            <w:vAlign w:val="bottom"/>
          </w:tcPr>
          <w:p>
            <w:pPr>
              <w:spacing w:after="0"/>
              <w:rPr>
                <w:sz w:val="20"/>
                <w:szCs w:val="20"/>
                <w:color w:val="auto"/>
              </w:rPr>
            </w:pPr>
          </w:p>
        </w:tc>
        <w:tc>
          <w:tcPr>
            <w:tcW w:w="2180" w:type="dxa"/>
            <w:vAlign w:val="bottom"/>
          </w:tcPr>
          <w:p>
            <w:pPr>
              <w:jc w:val="right"/>
              <w:spacing w:after="0"/>
              <w:rPr>
                <w:sz w:val="20"/>
                <w:szCs w:val="20"/>
                <w:color w:val="auto"/>
              </w:rPr>
            </w:pPr>
            <w:r>
              <w:rPr>
                <w:rFonts w:ascii="Arial" w:cs="Arial" w:eastAsia="Arial" w:hAnsi="Arial"/>
                <w:sz w:val="16"/>
                <w:szCs w:val="16"/>
                <w:color w:val="auto"/>
              </w:rPr>
              <w:t>39%</w:t>
            </w:r>
          </w:p>
        </w:tc>
      </w:tr>
      <w:tr>
        <w:trPr>
          <w:trHeight w:val="33"/>
        </w:trPr>
        <w:tc>
          <w:tcPr>
            <w:tcW w:w="4340" w:type="dxa"/>
            <w:vAlign w:val="bottom"/>
            <w:tcBorders>
              <w:bottom w:val="single" w:sz="8" w:color="CCEEFF"/>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180" w:type="dxa"/>
            <w:vAlign w:val="bottom"/>
            <w:tcBorders>
              <w:bottom w:val="single" w:sz="8" w:color="auto"/>
            </w:tcBorders>
          </w:tcPr>
          <w:p>
            <w:pPr>
              <w:spacing w:after="0"/>
              <w:rPr>
                <w:sz w:val="2"/>
                <w:szCs w:val="2"/>
                <w:color w:val="auto"/>
              </w:rPr>
            </w:pPr>
          </w:p>
        </w:tc>
      </w:tr>
      <w:tr>
        <w:trPr>
          <w:trHeight w:val="230"/>
        </w:trPr>
        <w:tc>
          <w:tcPr>
            <w:tcW w:w="434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6"/>
                <w:szCs w:val="16"/>
                <w:color w:val="auto"/>
              </w:rPr>
              <w:t>Total Core</w:t>
            </w:r>
          </w:p>
        </w:tc>
        <w:tc>
          <w:tcPr>
            <w:tcW w:w="1600" w:type="dxa"/>
            <w:vAlign w:val="bottom"/>
            <w:tcBorders>
              <w:bottom w:val="single" w:sz="8" w:color="CCEEFF"/>
            </w:tcBorders>
            <w:shd w:val="clear" w:color="auto" w:fill="CCEEFF"/>
          </w:tcPr>
          <w:p>
            <w:pPr>
              <w:spacing w:after="0"/>
              <w:rPr>
                <w:sz w:val="20"/>
                <w:szCs w:val="20"/>
                <w:color w:val="auto"/>
              </w:rPr>
            </w:pPr>
          </w:p>
        </w:tc>
        <w:tc>
          <w:tcPr>
            <w:tcW w:w="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95%</w:t>
            </w:r>
          </w:p>
        </w:tc>
        <w:tc>
          <w:tcPr>
            <w:tcW w:w="200" w:type="dxa"/>
            <w:vAlign w:val="bottom"/>
            <w:tcBorders>
              <w:bottom w:val="single" w:sz="8" w:color="CCEEFF"/>
            </w:tcBorders>
            <w:shd w:val="clear" w:color="auto" w:fill="CCEEFF"/>
          </w:tcPr>
          <w:p>
            <w:pPr>
              <w:spacing w:after="0"/>
              <w:rPr>
                <w:sz w:val="20"/>
                <w:szCs w:val="20"/>
                <w:color w:val="auto"/>
              </w:rPr>
            </w:pPr>
          </w:p>
        </w:tc>
        <w:tc>
          <w:tcPr>
            <w:tcW w:w="2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95%</w:t>
            </w:r>
          </w:p>
        </w:tc>
        <w:tc>
          <w:tcPr>
            <w:tcW w:w="220" w:type="dxa"/>
            <w:vAlign w:val="bottom"/>
            <w:tcBorders>
              <w:bottom w:val="single" w:sz="8" w:color="CCEEFF"/>
            </w:tcBorders>
            <w:shd w:val="clear" w:color="auto" w:fill="CCEEFF"/>
          </w:tcPr>
          <w:p>
            <w:pPr>
              <w:spacing w:after="0"/>
              <w:rPr>
                <w:sz w:val="20"/>
                <w:szCs w:val="20"/>
                <w:color w:val="auto"/>
              </w:rPr>
            </w:pPr>
          </w:p>
        </w:tc>
        <w:tc>
          <w:tcPr>
            <w:tcW w:w="2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w:t>
            </w:r>
          </w:p>
        </w:tc>
      </w:tr>
      <w:tr>
        <w:trPr>
          <w:trHeight w:val="237"/>
        </w:trPr>
        <w:tc>
          <w:tcPr>
            <w:tcW w:w="4340" w:type="dxa"/>
            <w:vAlign w:val="bottom"/>
          </w:tcPr>
          <w:p>
            <w:pPr>
              <w:ind w:left="2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160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6"/>
                <w:szCs w:val="16"/>
                <w:color w:val="auto"/>
              </w:rPr>
              <w:t>5%</w:t>
            </w:r>
          </w:p>
        </w:tc>
        <w:tc>
          <w:tcPr>
            <w:tcW w:w="200" w:type="dxa"/>
            <w:vAlign w:val="bottom"/>
          </w:tcPr>
          <w:p>
            <w:pPr>
              <w:spacing w:after="0"/>
              <w:rPr>
                <w:sz w:val="20"/>
                <w:szCs w:val="20"/>
                <w:color w:val="auto"/>
              </w:rPr>
            </w:pPr>
          </w:p>
        </w:tc>
        <w:tc>
          <w:tcPr>
            <w:tcW w:w="2180" w:type="dxa"/>
            <w:vAlign w:val="bottom"/>
          </w:tcPr>
          <w:p>
            <w:pPr>
              <w:jc w:val="right"/>
              <w:spacing w:after="0"/>
              <w:rPr>
                <w:sz w:val="20"/>
                <w:szCs w:val="20"/>
                <w:color w:val="auto"/>
              </w:rPr>
            </w:pPr>
            <w:r>
              <w:rPr>
                <w:rFonts w:ascii="Arial" w:cs="Arial" w:eastAsia="Arial" w:hAnsi="Arial"/>
                <w:sz w:val="16"/>
                <w:szCs w:val="16"/>
                <w:color w:val="auto"/>
              </w:rPr>
              <w:t>5%</w:t>
            </w:r>
          </w:p>
        </w:tc>
        <w:tc>
          <w:tcPr>
            <w:tcW w:w="220" w:type="dxa"/>
            <w:vAlign w:val="bottom"/>
          </w:tcPr>
          <w:p>
            <w:pPr>
              <w:spacing w:after="0"/>
              <w:rPr>
                <w:sz w:val="20"/>
                <w:szCs w:val="20"/>
                <w:color w:val="auto"/>
              </w:rPr>
            </w:pPr>
          </w:p>
        </w:tc>
        <w:tc>
          <w:tcPr>
            <w:tcW w:w="2180" w:type="dxa"/>
            <w:vAlign w:val="bottom"/>
          </w:tcPr>
          <w:p>
            <w:pPr>
              <w:jc w:val="right"/>
              <w:spacing w:after="0"/>
              <w:rPr>
                <w:sz w:val="20"/>
                <w:szCs w:val="20"/>
                <w:color w:val="auto"/>
              </w:rPr>
            </w:pPr>
            <w:r>
              <w:rPr>
                <w:rFonts w:ascii="Arial" w:cs="Arial" w:eastAsia="Arial" w:hAnsi="Arial"/>
                <w:sz w:val="16"/>
                <w:szCs w:val="16"/>
                <w:color w:val="auto"/>
              </w:rPr>
              <w:t>8%</w:t>
            </w:r>
          </w:p>
        </w:tc>
      </w:tr>
      <w:tr>
        <w:trPr>
          <w:trHeight w:val="33"/>
        </w:trPr>
        <w:tc>
          <w:tcPr>
            <w:tcW w:w="4340" w:type="dxa"/>
            <w:vAlign w:val="bottom"/>
            <w:tcBorders>
              <w:bottom w:val="single" w:sz="8" w:color="CCEEFF"/>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180" w:type="dxa"/>
            <w:vAlign w:val="bottom"/>
            <w:tcBorders>
              <w:bottom w:val="single" w:sz="8" w:color="auto"/>
            </w:tcBorders>
          </w:tcPr>
          <w:p>
            <w:pPr>
              <w:spacing w:after="0"/>
              <w:rPr>
                <w:sz w:val="2"/>
                <w:szCs w:val="2"/>
                <w:color w:val="auto"/>
              </w:rPr>
            </w:pPr>
          </w:p>
        </w:tc>
      </w:tr>
      <w:tr>
        <w:trPr>
          <w:trHeight w:val="255"/>
        </w:trPr>
        <w:tc>
          <w:tcPr>
            <w:tcW w:w="4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Total Revenue</w:t>
            </w:r>
          </w:p>
        </w:tc>
        <w:tc>
          <w:tcPr>
            <w:tcW w:w="1600" w:type="dxa"/>
            <w:vAlign w:val="bottom"/>
            <w:tcBorders>
              <w:bottom w:val="single" w:sz="8" w:color="CCEEFF"/>
            </w:tcBorders>
            <w:shd w:val="clear" w:color="auto" w:fill="CCEEFF"/>
          </w:tcPr>
          <w:p>
            <w:pPr>
              <w:spacing w:after="0"/>
              <w:rPr>
                <w:sz w:val="21"/>
                <w:szCs w:val="21"/>
                <w:color w:val="auto"/>
              </w:rPr>
            </w:pPr>
          </w:p>
        </w:tc>
        <w:tc>
          <w:tcPr>
            <w:tcW w:w="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200" w:type="dxa"/>
            <w:vAlign w:val="bottom"/>
            <w:tcBorders>
              <w:bottom w:val="single" w:sz="8" w:color="CCEEFF"/>
            </w:tcBorders>
            <w:shd w:val="clear" w:color="auto" w:fill="CCEEFF"/>
          </w:tcPr>
          <w:p>
            <w:pPr>
              <w:spacing w:after="0"/>
              <w:rPr>
                <w:sz w:val="21"/>
                <w:szCs w:val="21"/>
                <w:color w:val="auto"/>
              </w:rPr>
            </w:pPr>
          </w:p>
        </w:tc>
        <w:tc>
          <w:tcPr>
            <w:tcW w:w="2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220" w:type="dxa"/>
            <w:vAlign w:val="bottom"/>
            <w:tcBorders>
              <w:bottom w:val="single" w:sz="8" w:color="CCEEFF"/>
            </w:tcBorders>
            <w:shd w:val="clear" w:color="auto" w:fill="CCEEFF"/>
          </w:tcPr>
          <w:p>
            <w:pPr>
              <w:spacing w:after="0"/>
              <w:rPr>
                <w:sz w:val="21"/>
                <w:szCs w:val="21"/>
                <w:color w:val="auto"/>
              </w:rPr>
            </w:pPr>
          </w:p>
        </w:tc>
        <w:tc>
          <w:tcPr>
            <w:tcW w:w="2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r>
      <w:tr>
        <w:trPr>
          <w:trHeight w:val="20"/>
        </w:trPr>
        <w:tc>
          <w:tcPr>
            <w:tcW w:w="4340" w:type="dxa"/>
            <w:vAlign w:val="bottom"/>
            <w:tcBorders>
              <w:top w:val="single" w:sz="8" w:color="CCEEFF"/>
            </w:tcBorders>
          </w:tcPr>
          <w:p>
            <w:pPr>
              <w:spacing w:after="0" w:line="20" w:lineRule="exact"/>
              <w:rPr>
                <w:sz w:val="1"/>
                <w:szCs w:val="1"/>
                <w:color w:val="auto"/>
              </w:rPr>
            </w:pPr>
          </w:p>
        </w:tc>
        <w:tc>
          <w:tcPr>
            <w:tcW w:w="16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1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180" w:type="dxa"/>
            <w:vAlign w:val="bottom"/>
            <w:tcBorders>
              <w:top w:val="single" w:sz="8" w:color="auto"/>
              <w:bottom w:val="single" w:sz="8" w:color="auto"/>
            </w:tcBorders>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and SSD Controllers, Fibre Channel Adapters and Data Center Storage Solutions.</w:t>
      </w:r>
    </w:p>
    <w:p>
      <w:pPr>
        <w:spacing w:after="0" w:line="63" w:lineRule="exact"/>
        <w:rPr>
          <w:rFonts w:ascii="Arial" w:cs="Arial" w:eastAsia="Arial" w:hAnsi="Arial"/>
          <w:sz w:val="18"/>
          <w:szCs w:val="18"/>
          <w:i w:val="1"/>
          <w:iCs w:val="1"/>
          <w:color w:val="auto"/>
        </w:rPr>
      </w:pPr>
    </w:p>
    <w:p>
      <w:pPr>
        <w:ind w:left="280" w:hanging="245"/>
        <w:spacing w:after="0"/>
        <w:tabs>
          <w:tab w:leader="none" w:pos="280" w:val="left"/>
        </w:tabs>
        <w:numPr>
          <w:ilvl w:val="0"/>
          <w:numId w:val="7"/>
        </w:numPr>
        <w:rPr>
          <w:rFonts w:ascii="Arial" w:cs="Arial" w:eastAsia="Arial" w:hAnsi="Arial"/>
          <w:sz w:val="17"/>
          <w:szCs w:val="17"/>
          <w:i w:val="1"/>
          <w:iCs w:val="1"/>
          <w:color w:val="auto"/>
        </w:rPr>
      </w:pPr>
      <w:r>
        <w:rPr>
          <w:rFonts w:ascii="Arial" w:cs="Arial" w:eastAsia="Arial" w:hAnsi="Arial"/>
          <w:sz w:val="17"/>
          <w:szCs w:val="17"/>
          <w:color w:val="auto"/>
        </w:rPr>
        <w:t>Networking products are comprised primarily of Ethernet Switches, Ethernet Transceivers, Ethernet NICs, Embedded Communication Processors,</w:t>
      </w:r>
    </w:p>
    <w:p>
      <w:pPr>
        <w:spacing w:after="0" w:line="34" w:lineRule="exact"/>
        <w:rPr>
          <w:rFonts w:ascii="Arial" w:cs="Arial" w:eastAsia="Arial" w:hAnsi="Arial"/>
          <w:sz w:val="17"/>
          <w:szCs w:val="17"/>
          <w:i w:val="1"/>
          <w:iCs w:val="1"/>
          <w:color w:val="auto"/>
        </w:rPr>
      </w:pPr>
    </w:p>
    <w:p>
      <w:pPr>
        <w:ind w:left="40" w:right="320"/>
        <w:spacing w:after="0" w:line="307" w:lineRule="auto"/>
        <w:rPr>
          <w:rFonts w:ascii="Arial" w:cs="Arial" w:eastAsia="Arial" w:hAnsi="Arial"/>
          <w:sz w:val="17"/>
          <w:szCs w:val="17"/>
          <w:i w:val="1"/>
          <w:iCs w:val="1"/>
          <w:color w:val="auto"/>
        </w:rPr>
      </w:pPr>
      <w:r>
        <w:rPr>
          <w:rFonts w:ascii="Arial" w:cs="Arial" w:eastAsia="Arial" w:hAnsi="Arial"/>
          <w:sz w:val="16"/>
          <w:szCs w:val="16"/>
          <w:color w:val="auto"/>
        </w:rPr>
        <w:t>Automotive Ethernet, Security Adapters and Processors as well as WiFi solutions including WiFi only, WiFi/Bluetooth combos and WiFi Microcontroller combos. In addition, this grouping includes a few legacy product lines in which we no longer invest, but will generate revenue for several years.</w:t>
      </w:r>
    </w:p>
    <w:p>
      <w:pPr>
        <w:spacing w:after="0" w:line="1" w:lineRule="exact"/>
        <w:rPr>
          <w:rFonts w:ascii="Arial" w:cs="Arial" w:eastAsia="Arial" w:hAnsi="Arial"/>
          <w:sz w:val="17"/>
          <w:szCs w:val="17"/>
          <w:i w:val="1"/>
          <w:iCs w:val="1"/>
          <w:color w:val="auto"/>
        </w:rPr>
      </w:pPr>
    </w:p>
    <w:p>
      <w:pPr>
        <w:ind w:left="280" w:hanging="245"/>
        <w:spacing w:after="0"/>
        <w:tabs>
          <w:tab w:leader="none" w:pos="2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1)"/>
      <w:numFmt w:val="lowerLetter"/>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2019-12-28T15:09:50Z</dcterms:created>
  <dcterms:modified xsi:type="dcterms:W3CDTF">2019-12-28T15:09:50Z</dcterms:modified>
</cp:coreProperties>
</file>