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902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77470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120650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73025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175"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REGISTRATION STATEMENT</w:t>
      </w:r>
    </w:p>
    <w:p>
      <w:pPr>
        <w:jc w:val="center"/>
        <w:ind w:right="20"/>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141605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81"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73025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53" w:lineRule="exact"/>
        <w:rPr>
          <w:sz w:val="24"/>
          <w:szCs w:val="24"/>
          <w:color w:val="auto"/>
        </w:rPr>
      </w:pPr>
    </w:p>
    <w:tbl>
      <w:tblPr>
        <w:tblLayout w:type="fixed"/>
        <w:tblInd w:w="1840" w:type="dxa"/>
        <w:tblCellMar>
          <w:top w:w="0" w:type="dxa"/>
          <w:left w:w="0" w:type="dxa"/>
          <w:bottom w:w="0" w:type="dxa"/>
          <w:right w:w="0" w:type="dxa"/>
        </w:tblCellMar>
      </w:tblPr>
      <w:tr>
        <w:trPr>
          <w:trHeight w:val="212"/>
        </w:trPr>
        <w:tc>
          <w:tcPr>
            <w:tcW w:w="3840" w:type="dxa"/>
            <w:vAlign w:val="bottom"/>
          </w:tcPr>
          <w:p>
            <w:pPr>
              <w:jc w:val="center"/>
              <w:ind w:right="1882"/>
              <w:spacing w:after="0"/>
              <w:rPr>
                <w:sz w:val="20"/>
                <w:szCs w:val="20"/>
                <w:color w:val="auto"/>
              </w:rPr>
            </w:pPr>
            <w:r>
              <w:rPr>
                <w:rFonts w:ascii="Arial" w:cs="Arial" w:eastAsia="Arial" w:hAnsi="Arial"/>
                <w:sz w:val="18"/>
                <w:szCs w:val="18"/>
                <w:b w:val="1"/>
                <w:bCs w:val="1"/>
                <w:color w:val="auto"/>
                <w:w w:val="92"/>
              </w:rPr>
              <w:t>Bermuda</w:t>
            </w:r>
          </w:p>
        </w:tc>
        <w:tc>
          <w:tcPr>
            <w:tcW w:w="3380" w:type="dxa"/>
            <w:vAlign w:val="bottom"/>
          </w:tcPr>
          <w:p>
            <w:pPr>
              <w:jc w:val="center"/>
              <w:ind w:left="188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840" w:type="dxa"/>
            <w:vAlign w:val="bottom"/>
          </w:tcPr>
          <w:p>
            <w:pPr>
              <w:jc w:val="center"/>
              <w:ind w:right="188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380" w:type="dxa"/>
            <w:vAlign w:val="bottom"/>
          </w:tcPr>
          <w:p>
            <w:pPr>
              <w:jc w:val="center"/>
              <w:ind w:left="1882"/>
              <w:spacing w:after="0" w:line="149" w:lineRule="exact"/>
              <w:rPr>
                <w:sz w:val="20"/>
                <w:szCs w:val="20"/>
                <w:color w:val="auto"/>
              </w:rPr>
            </w:pPr>
            <w:r>
              <w:rPr>
                <w:rFonts w:ascii="Arial" w:cs="Arial" w:eastAsia="Arial" w:hAnsi="Arial"/>
                <w:sz w:val="14"/>
                <w:szCs w:val="14"/>
                <w:b w:val="1"/>
                <w:bCs w:val="1"/>
                <w:color w:val="auto"/>
                <w:w w:val="94"/>
              </w:rPr>
              <w:t>(I.R.S. Employer</w:t>
            </w:r>
          </w:p>
        </w:tc>
      </w:tr>
      <w:tr>
        <w:trPr>
          <w:trHeight w:val="186"/>
        </w:trPr>
        <w:tc>
          <w:tcPr>
            <w:tcW w:w="3840" w:type="dxa"/>
            <w:vAlign w:val="bottom"/>
          </w:tcPr>
          <w:p>
            <w:pPr>
              <w:jc w:val="center"/>
              <w:ind w:right="1882"/>
              <w:spacing w:after="0"/>
              <w:rPr>
                <w:sz w:val="20"/>
                <w:szCs w:val="20"/>
                <w:color w:val="auto"/>
              </w:rPr>
            </w:pPr>
            <w:r>
              <w:rPr>
                <w:rFonts w:ascii="Arial" w:cs="Arial" w:eastAsia="Arial" w:hAnsi="Arial"/>
                <w:sz w:val="14"/>
                <w:szCs w:val="14"/>
                <w:b w:val="1"/>
                <w:bCs w:val="1"/>
                <w:color w:val="auto"/>
                <w:w w:val="94"/>
              </w:rPr>
              <w:t>incorporation or organization)</w:t>
            </w:r>
          </w:p>
        </w:tc>
        <w:tc>
          <w:tcPr>
            <w:tcW w:w="3380" w:type="dxa"/>
            <w:vAlign w:val="bottom"/>
          </w:tcPr>
          <w:p>
            <w:pPr>
              <w:jc w:val="center"/>
              <w:ind w:left="1882"/>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8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8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64770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186"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73660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8" w:lineRule="exact"/>
        <w:rPr>
          <w:sz w:val="24"/>
          <w:szCs w:val="24"/>
          <w:color w:val="auto"/>
        </w:rPr>
      </w:pPr>
    </w:p>
    <w:p>
      <w:pPr>
        <w:ind w:right="340" w:firstLine="331"/>
        <w:spacing w:after="0" w:line="278"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“smaller reporting company” and “emerging growth company” in Rule 12b-2 of the Exchange Act. (Check one):</w:t>
      </w:r>
    </w:p>
    <w:p>
      <w:pPr>
        <w:spacing w:after="0" w:line="60" w:lineRule="exact"/>
        <w:rPr>
          <w:sz w:val="24"/>
          <w:szCs w:val="24"/>
          <w:color w:val="auto"/>
        </w:rPr>
      </w:pPr>
    </w:p>
    <w:tbl>
      <w:tblPr>
        <w:tblLayout w:type="fixed"/>
        <w:tblInd w:w="0" w:type="dxa"/>
        <w:tblCellMar>
          <w:top w:w="0" w:type="dxa"/>
          <w:left w:w="0" w:type="dxa"/>
          <w:bottom w:w="0" w:type="dxa"/>
          <w:right w:w="0" w:type="dxa"/>
        </w:tblCellMar>
      </w:tblPr>
      <w:tr>
        <w:trPr>
          <w:trHeight w:val="254"/>
        </w:trPr>
        <w:tc>
          <w:tcPr>
            <w:tcW w:w="1600" w:type="dxa"/>
            <w:vAlign w:val="bottom"/>
          </w:tcPr>
          <w:p>
            <w:pPr>
              <w:spacing w:after="0"/>
              <w:rPr>
                <w:sz w:val="20"/>
                <w:szCs w:val="20"/>
                <w:color w:val="auto"/>
              </w:rPr>
            </w:pPr>
            <w:r>
              <w:rPr>
                <w:rFonts w:ascii="Arial" w:cs="Arial" w:eastAsia="Arial" w:hAnsi="Arial"/>
                <w:sz w:val="16"/>
                <w:szCs w:val="16"/>
                <w:color w:val="auto"/>
                <w:w w:val="99"/>
              </w:rPr>
              <w:t>Large accelerated filer</w:t>
            </w:r>
          </w:p>
        </w:tc>
        <w:tc>
          <w:tcPr>
            <w:tcW w:w="3740" w:type="dxa"/>
            <w:vAlign w:val="bottom"/>
          </w:tcPr>
          <w:p>
            <w:pPr>
              <w:ind w:left="140"/>
              <w:spacing w:after="0" w:line="161" w:lineRule="exact"/>
              <w:rPr>
                <w:sz w:val="20"/>
                <w:szCs w:val="20"/>
                <w:color w:val="auto"/>
              </w:rPr>
            </w:pPr>
            <w:r>
              <w:rPr>
                <w:rFonts w:ascii="MS PGothic" w:cs="MS PGothic" w:eastAsia="MS PGothic" w:hAnsi="MS PGothic"/>
                <w:sz w:val="16"/>
                <w:szCs w:val="16"/>
                <w:color w:val="auto"/>
              </w:rPr>
              <w:t>☒</w:t>
            </w:r>
          </w:p>
        </w:tc>
        <w:tc>
          <w:tcPr>
            <w:tcW w:w="5380" w:type="dxa"/>
            <w:vAlign w:val="bottom"/>
          </w:tcPr>
          <w:p>
            <w:pPr>
              <w:ind w:left="3460"/>
              <w:spacing w:after="0"/>
              <w:rPr>
                <w:sz w:val="20"/>
                <w:szCs w:val="20"/>
                <w:color w:val="auto"/>
              </w:rPr>
            </w:pPr>
            <w:r>
              <w:rPr>
                <w:rFonts w:ascii="Arial" w:cs="Arial" w:eastAsia="Arial" w:hAnsi="Arial"/>
                <w:sz w:val="16"/>
                <w:szCs w:val="16"/>
                <w:color w:val="auto"/>
              </w:rPr>
              <w:t>Accelerated filer</w:t>
            </w:r>
          </w:p>
        </w:tc>
        <w:tc>
          <w:tcPr>
            <w:tcW w:w="300" w:type="dxa"/>
            <w:vAlign w:val="bottom"/>
          </w:tcPr>
          <w:p>
            <w:pPr>
              <w:ind w:left="160"/>
              <w:spacing w:after="0" w:line="161" w:lineRule="exact"/>
              <w:rPr>
                <w:sz w:val="20"/>
                <w:szCs w:val="20"/>
                <w:color w:val="auto"/>
              </w:rPr>
            </w:pPr>
            <w:r>
              <w:rPr>
                <w:rFonts w:ascii="MS PGothic" w:cs="MS PGothic" w:eastAsia="MS PGothic" w:hAnsi="MS PGothic"/>
                <w:sz w:val="16"/>
                <w:szCs w:val="16"/>
                <w:color w:val="auto"/>
                <w:w w:val="74"/>
              </w:rPr>
              <w:t>☐</w:t>
            </w:r>
          </w:p>
        </w:tc>
      </w:tr>
      <w:tr>
        <w:trPr>
          <w:trHeight w:val="257"/>
        </w:trPr>
        <w:tc>
          <w:tcPr>
            <w:tcW w:w="1600" w:type="dxa"/>
            <w:vAlign w:val="bottom"/>
          </w:tcPr>
          <w:p>
            <w:pPr>
              <w:spacing w:after="0"/>
              <w:rPr>
                <w:sz w:val="20"/>
                <w:szCs w:val="20"/>
                <w:color w:val="auto"/>
              </w:rPr>
            </w:pPr>
            <w:r>
              <w:rPr>
                <w:rFonts w:ascii="Arial" w:cs="Arial" w:eastAsia="Arial" w:hAnsi="Arial"/>
                <w:sz w:val="16"/>
                <w:szCs w:val="16"/>
                <w:color w:val="auto"/>
              </w:rPr>
              <w:t>Non-accelerated filer</w:t>
            </w:r>
          </w:p>
        </w:tc>
        <w:tc>
          <w:tcPr>
            <w:tcW w:w="3740" w:type="dxa"/>
            <w:vAlign w:val="bottom"/>
          </w:tcPr>
          <w:p>
            <w:pPr>
              <w:ind w:left="140"/>
              <w:spacing w:after="0" w:line="161" w:lineRule="exact"/>
              <w:rPr>
                <w:sz w:val="20"/>
                <w:szCs w:val="20"/>
                <w:color w:val="auto"/>
              </w:rPr>
            </w:pPr>
            <w:r>
              <w:rPr>
                <w:rFonts w:ascii="MS PGothic" w:cs="MS PGothic" w:eastAsia="MS PGothic" w:hAnsi="MS PGothic"/>
                <w:sz w:val="16"/>
                <w:szCs w:val="16"/>
                <w:color w:val="auto"/>
              </w:rPr>
              <w:t>☐</w:t>
            </w:r>
          </w:p>
        </w:tc>
        <w:tc>
          <w:tcPr>
            <w:tcW w:w="5380" w:type="dxa"/>
            <w:vAlign w:val="bottom"/>
          </w:tcPr>
          <w:p>
            <w:pPr>
              <w:ind w:left="3460"/>
              <w:spacing w:after="0"/>
              <w:rPr>
                <w:sz w:val="20"/>
                <w:szCs w:val="20"/>
                <w:color w:val="auto"/>
              </w:rPr>
            </w:pPr>
            <w:r>
              <w:rPr>
                <w:rFonts w:ascii="Arial" w:cs="Arial" w:eastAsia="Arial" w:hAnsi="Arial"/>
                <w:sz w:val="16"/>
                <w:szCs w:val="16"/>
                <w:color w:val="auto"/>
                <w:w w:val="99"/>
              </w:rPr>
              <w:t>Smaller reporting company</w:t>
            </w:r>
          </w:p>
        </w:tc>
        <w:tc>
          <w:tcPr>
            <w:tcW w:w="300" w:type="dxa"/>
            <w:vAlign w:val="bottom"/>
          </w:tcPr>
          <w:p>
            <w:pPr>
              <w:ind w:left="160"/>
              <w:spacing w:after="0" w:line="161" w:lineRule="exact"/>
              <w:rPr>
                <w:sz w:val="20"/>
                <w:szCs w:val="20"/>
                <w:color w:val="auto"/>
              </w:rPr>
            </w:pPr>
            <w:r>
              <w:rPr>
                <w:rFonts w:ascii="MS PGothic" w:cs="MS PGothic" w:eastAsia="MS PGothic" w:hAnsi="MS PGothic"/>
                <w:sz w:val="16"/>
                <w:szCs w:val="16"/>
                <w:color w:val="auto"/>
                <w:w w:val="74"/>
              </w:rPr>
              <w:t>☐</w:t>
            </w:r>
          </w:p>
        </w:tc>
      </w:tr>
      <w:tr>
        <w:trPr>
          <w:trHeight w:val="257"/>
        </w:trPr>
        <w:tc>
          <w:tcPr>
            <w:tcW w:w="1600" w:type="dxa"/>
            <w:vAlign w:val="bottom"/>
          </w:tcPr>
          <w:p>
            <w:pPr>
              <w:spacing w:after="0"/>
              <w:rPr>
                <w:sz w:val="22"/>
                <w:szCs w:val="22"/>
                <w:color w:val="auto"/>
              </w:rPr>
            </w:pPr>
          </w:p>
        </w:tc>
        <w:tc>
          <w:tcPr>
            <w:tcW w:w="3740" w:type="dxa"/>
            <w:vAlign w:val="bottom"/>
          </w:tcPr>
          <w:p>
            <w:pPr>
              <w:spacing w:after="0"/>
              <w:rPr>
                <w:sz w:val="22"/>
                <w:szCs w:val="22"/>
                <w:color w:val="auto"/>
              </w:rPr>
            </w:pPr>
          </w:p>
        </w:tc>
        <w:tc>
          <w:tcPr>
            <w:tcW w:w="5380" w:type="dxa"/>
            <w:vAlign w:val="bottom"/>
          </w:tcPr>
          <w:p>
            <w:pPr>
              <w:ind w:left="3460"/>
              <w:spacing w:after="0"/>
              <w:rPr>
                <w:sz w:val="20"/>
                <w:szCs w:val="20"/>
                <w:color w:val="auto"/>
              </w:rPr>
            </w:pPr>
            <w:r>
              <w:rPr>
                <w:rFonts w:ascii="Arial" w:cs="Arial" w:eastAsia="Arial" w:hAnsi="Arial"/>
                <w:sz w:val="16"/>
                <w:szCs w:val="16"/>
                <w:color w:val="auto"/>
                <w:w w:val="99"/>
              </w:rPr>
              <w:t>Emerging growth company</w:t>
            </w:r>
          </w:p>
        </w:tc>
        <w:tc>
          <w:tcPr>
            <w:tcW w:w="300" w:type="dxa"/>
            <w:vAlign w:val="bottom"/>
          </w:tcPr>
          <w:p>
            <w:pPr>
              <w:ind w:left="160"/>
              <w:spacing w:after="0" w:line="161" w:lineRule="exact"/>
              <w:rPr>
                <w:sz w:val="20"/>
                <w:szCs w:val="20"/>
                <w:color w:val="auto"/>
              </w:rPr>
            </w:pPr>
            <w:r>
              <w:rPr>
                <w:rFonts w:ascii="MS PGothic" w:cs="MS PGothic" w:eastAsia="MS PGothic" w:hAnsi="MS PGothic"/>
                <w:sz w:val="16"/>
                <w:szCs w:val="16"/>
                <w:color w:val="auto"/>
                <w:w w:val="74"/>
              </w:rPr>
              <w:t>☐</w:t>
            </w:r>
          </w:p>
        </w:tc>
      </w:tr>
    </w:tbl>
    <w:p>
      <w:pPr>
        <w:spacing w:after="0" w:line="86" w:lineRule="exact"/>
        <w:rPr>
          <w:sz w:val="24"/>
          <w:szCs w:val="24"/>
          <w:color w:val="auto"/>
        </w:rPr>
      </w:pPr>
    </w:p>
    <w:p>
      <w:pPr>
        <w:ind w:right="60" w:firstLine="331"/>
        <w:spacing w:after="0" w:line="214" w:lineRule="exact"/>
        <w:rPr>
          <w:sz w:val="20"/>
          <w:szCs w:val="20"/>
          <w:color w:val="auto"/>
        </w:rPr>
      </w:pPr>
      <w:r>
        <w:rPr>
          <w:rFonts w:ascii="Arial" w:cs="Arial" w:eastAsia="Arial" w:hAnsi="Arial"/>
          <w:sz w:val="16"/>
          <w:szCs w:val="16"/>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61595</wp:posOffset>
            </wp:positionV>
            <wp:extent cx="1466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18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CALCULATION OF REGISTRATION FEE</w:t>
      </w:r>
    </w:p>
    <w:p>
      <w:pPr>
        <w:spacing w:after="0" w:line="48" w:lineRule="exact"/>
        <w:rPr>
          <w:sz w:val="24"/>
          <w:szCs w:val="24"/>
          <w:color w:val="auto"/>
        </w:rPr>
      </w:pPr>
    </w:p>
    <w:tbl>
      <w:tblPr>
        <w:tblLayout w:type="fixed"/>
        <w:tblInd w:w="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48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2"/>
              </w:rPr>
              <w:t>Title of securities</w:t>
            </w:r>
          </w:p>
        </w:tc>
        <w:tc>
          <w:tcPr>
            <w:tcW w:w="15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3"/>
              </w:rPr>
              <w:t>Amount to be</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 maximum</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 maximum</w:t>
            </w:r>
          </w:p>
        </w:tc>
        <w:tc>
          <w:tcPr>
            <w:tcW w:w="1520" w:type="dxa"/>
            <w:vAlign w:val="bottom"/>
          </w:tcPr>
          <w:p>
            <w:pPr>
              <w:jc w:val="center"/>
              <w:spacing w:after="0" w:line="106" w:lineRule="exact"/>
              <w:rPr>
                <w:sz w:val="20"/>
                <w:szCs w:val="20"/>
                <w:color w:val="auto"/>
              </w:rPr>
            </w:pPr>
            <w:r>
              <w:rPr>
                <w:rFonts w:ascii="Arial" w:cs="Arial" w:eastAsia="Arial" w:hAnsi="Arial"/>
                <w:sz w:val="12"/>
                <w:szCs w:val="12"/>
                <w:b w:val="1"/>
                <w:bCs w:val="1"/>
                <w:color w:val="auto"/>
              </w:rPr>
              <w:t>Amount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8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1"/>
              </w:rPr>
              <w:t>offering price</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6"/>
              </w:rPr>
              <w:t>aggregate</w:t>
            </w:r>
          </w:p>
        </w:tc>
        <w:tc>
          <w:tcPr>
            <w:tcW w:w="15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registration</w:t>
            </w: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4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registered (1)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per share (2)</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offering price (2)</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fee (2)</w:t>
            </w: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4880" w:type="dxa"/>
            <w:vAlign w:val="bottom"/>
            <w:tcBorders>
              <w:right w:val="single" w:sz="8" w:color="auto"/>
            </w:tcBorders>
          </w:tcPr>
          <w:p>
            <w:pPr>
              <w:jc w:val="center"/>
              <w:spacing w:after="0" w:line="195" w:lineRule="exact"/>
              <w:rPr>
                <w:sz w:val="20"/>
                <w:szCs w:val="20"/>
                <w:color w:val="auto"/>
              </w:rPr>
            </w:pPr>
            <w:r>
              <w:rPr>
                <w:rFonts w:ascii="Arial" w:cs="Arial" w:eastAsia="Arial" w:hAnsi="Arial"/>
                <w:sz w:val="18"/>
                <w:szCs w:val="18"/>
                <w:color w:val="auto"/>
                <w:w w:val="88"/>
              </w:rPr>
              <w:t>Common shares, par value $0.002 per share, to be issued under the</w:t>
            </w:r>
          </w:p>
        </w:tc>
        <w:tc>
          <w:tcPr>
            <w:tcW w:w="1540" w:type="dxa"/>
            <w:vAlign w:val="bottom"/>
            <w:tcBorders>
              <w:right w:val="single" w:sz="8" w:color="auto"/>
            </w:tcBorders>
          </w:tcPr>
          <w:p>
            <w:pPr>
              <w:spacing w:after="0"/>
              <w:rPr>
                <w:sz w:val="16"/>
                <w:szCs w:val="16"/>
                <w:color w:val="auto"/>
              </w:rPr>
            </w:pPr>
          </w:p>
        </w:tc>
        <w:tc>
          <w:tcPr>
            <w:tcW w:w="1540" w:type="dxa"/>
            <w:vAlign w:val="bottom"/>
            <w:tcBorders>
              <w:right w:val="single" w:sz="8" w:color="auto"/>
            </w:tcBorders>
          </w:tcPr>
          <w:p>
            <w:pPr>
              <w:spacing w:after="0"/>
              <w:rPr>
                <w:sz w:val="16"/>
                <w:szCs w:val="16"/>
                <w:color w:val="auto"/>
              </w:rPr>
            </w:pPr>
          </w:p>
        </w:tc>
        <w:tc>
          <w:tcPr>
            <w:tcW w:w="1540" w:type="dxa"/>
            <w:vAlign w:val="bottom"/>
            <w:tcBorders>
              <w:right w:val="single" w:sz="8" w:color="auto"/>
            </w:tcBorders>
          </w:tcPr>
          <w:p>
            <w:pPr>
              <w:spacing w:after="0"/>
              <w:rPr>
                <w:sz w:val="16"/>
                <w:szCs w:val="16"/>
                <w:color w:val="auto"/>
              </w:rPr>
            </w:pPr>
          </w:p>
        </w:tc>
        <w:tc>
          <w:tcPr>
            <w:tcW w:w="15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880" w:type="dxa"/>
            <w:vAlign w:val="bottom"/>
            <w:tcBorders>
              <w:right w:val="single" w:sz="8" w:color="auto"/>
            </w:tcBorders>
          </w:tcPr>
          <w:p>
            <w:pPr>
              <w:ind w:left="160"/>
              <w:spacing w:after="0"/>
              <w:rPr>
                <w:sz w:val="20"/>
                <w:szCs w:val="20"/>
                <w:color w:val="auto"/>
              </w:rPr>
            </w:pPr>
            <w:r>
              <w:rPr>
                <w:rFonts w:ascii="Arial" w:cs="Arial" w:eastAsia="Arial" w:hAnsi="Arial"/>
                <w:sz w:val="18"/>
                <w:szCs w:val="18"/>
                <w:color w:val="auto"/>
                <w:w w:val="92"/>
              </w:rPr>
              <w:t>Marvell Technology Group Ltd. 2000 Employee Stock Purchase</w:t>
            </w:r>
          </w:p>
        </w:tc>
        <w:tc>
          <w:tcPr>
            <w:tcW w:w="154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880" w:type="dxa"/>
            <w:vAlign w:val="bottom"/>
            <w:tcBorders>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Plan, as amended and restated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8,000,000 shares</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$19.65</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$157,200,000</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$19,052.64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4" w:lineRule="exact"/>
        <w:rPr>
          <w:sz w:val="24"/>
          <w:szCs w:val="24"/>
          <w:color w:val="auto"/>
        </w:rPr>
      </w:pPr>
    </w:p>
    <w:p>
      <w:pPr>
        <w:ind w:left="320" w:right="20" w:hanging="316"/>
        <w:spacing w:after="0" w:line="265" w:lineRule="auto"/>
        <w:tabs>
          <w:tab w:leader="none" w:pos="320"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1" w:lineRule="exact"/>
        <w:rPr>
          <w:rFonts w:ascii="Arial" w:cs="Arial" w:eastAsia="Arial" w:hAnsi="Arial"/>
          <w:sz w:val="16"/>
          <w:szCs w:val="16"/>
          <w:color w:val="auto"/>
        </w:rPr>
      </w:pPr>
    </w:p>
    <w:p>
      <w:pPr>
        <w:ind w:left="320" w:right="80" w:hanging="316"/>
        <w:spacing w:after="0" w:line="363" w:lineRule="auto"/>
        <w:tabs>
          <w:tab w:leader="none" w:pos="320" w:val="left"/>
        </w:tabs>
        <w:numPr>
          <w:ilvl w:val="0"/>
          <w:numId w:val="1"/>
        </w:numPr>
        <w:rPr>
          <w:rFonts w:ascii="Arial" w:cs="Arial" w:eastAsia="Arial" w:hAnsi="Arial"/>
          <w:sz w:val="14"/>
          <w:szCs w:val="14"/>
          <w:color w:val="auto"/>
        </w:rPr>
      </w:pPr>
      <w:r>
        <w:rPr>
          <w:rFonts w:ascii="Arial" w:cs="Arial" w:eastAsia="Arial" w:hAnsi="Arial"/>
          <w:sz w:val="14"/>
          <w:szCs w:val="14"/>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March 25, 2019, which amount was $19.65 per share.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6997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229" w:right="419" w:bottom="1440" w:gutter="0" w:footer="0" w:header="0"/>
        </w:sectPr>
      </w:pPr>
    </w:p>
    <w:bookmarkStart w:id="1" w:name="page2"/>
    <w:bookmarkEnd w:id="1"/>
    <w:p>
      <w:pPr>
        <w:ind w:left="18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This Registration Statement on Form S-8 is being filed by Marvell Technology Group Ltd. (“Marvell”) to register an additional 8,000,000 of its common shares, par value $0.002 per share (“Common Shares”) issuable to employees of Marvell and certain of its subsidiaries under the Marvell Technology Group Ltd. 2000 Employee Stock Purchase Plan, as amended and restated on October 31, 2011 (the “2000 ESPP”), and consists of only those items required by General Instruction E to Form S-8.</w:t>
      </w:r>
    </w:p>
    <w:p>
      <w:pPr>
        <w:spacing w:after="0" w:line="187"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The contents of Marvell’s Registration Statements on Form S-8 previously filed with the Securities and Exchange Commission (“Commission”) on June 26, 2000 (Registration No. 333-40154), February 28, 2001 (Registration No. 333-56322), May 1, 2002 (Registration No. 333-87322), May 2, 2003 (Registration No. 333-104925), April 13, 2004 (Registration No. 333-114434), April 14, 2005 (Registration No. 333-124072), April 13, 2006 (Registration No. 333-133281), January 11, 2008 (Registration No. 333-148621), June 20, 2008 (Registration No. 333-151816), December 10, 2009 (Registration No. 333-163644), March 28, 2012 (Registration No. 333-180412), March 29, 2013 (Registration No. 333-187641), March 28, 2014 (Registration No. 333-194865), June 4, 2015 (Registration No. 333-204730), August 10, 2016 (Registration No. 333-213059), March 29, 2017(Registration No. 333-217004), and March 29, 2018 (Registration No. 333-224015), each of which relates to the 2000 ESPP, are incorporated herein by reference and made a part hereof.</w:t>
      </w:r>
    </w:p>
    <w:p>
      <w:pPr>
        <w:spacing w:after="0" w:line="200" w:lineRule="exact"/>
        <w:rPr>
          <w:sz w:val="20"/>
          <w:szCs w:val="20"/>
          <w:color w:val="auto"/>
        </w:rPr>
      </w:pPr>
    </w:p>
    <w:p>
      <w:pPr>
        <w:spacing w:after="0" w:line="204" w:lineRule="exact"/>
        <w:rPr>
          <w:sz w:val="20"/>
          <w:szCs w:val="20"/>
          <w:color w:val="auto"/>
        </w:rPr>
      </w:pPr>
    </w:p>
    <w:p>
      <w:pPr>
        <w:jc w:val="center"/>
        <w:ind w:right="180"/>
        <w:spacing w:after="0"/>
        <w:rPr>
          <w:sz w:val="20"/>
          <w:szCs w:val="20"/>
          <w:color w:val="auto"/>
        </w:rPr>
      </w:pPr>
      <w:r>
        <w:rPr>
          <w:rFonts w:ascii="Arial" w:cs="Arial" w:eastAsia="Arial" w:hAnsi="Arial"/>
          <w:sz w:val="18"/>
          <w:szCs w:val="18"/>
          <w:b w:val="1"/>
          <w:bCs w:val="1"/>
          <w:color w:val="auto"/>
        </w:rPr>
        <w:t>PART II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gridSpan w:val="2"/>
          </w:tcPr>
          <w:p>
            <w:pPr>
              <w:jc w:val="right"/>
              <w:spacing w:after="0"/>
              <w:rPr>
                <w:sz w:val="20"/>
                <w:szCs w:val="20"/>
                <w:color w:val="auto"/>
              </w:rPr>
            </w:pPr>
            <w:r>
              <w:rPr>
                <w:rFonts w:ascii="Arial" w:cs="Arial" w:eastAsia="Arial" w:hAnsi="Arial"/>
                <w:sz w:val="14"/>
                <w:szCs w:val="14"/>
                <w:b w:val="1"/>
                <w:bCs w:val="1"/>
                <w:color w:val="auto"/>
                <w:w w:val="95"/>
              </w:rPr>
              <w:t>Exhibit No.</w:t>
            </w:r>
          </w:p>
        </w:tc>
        <w:tc>
          <w:tcPr>
            <w:tcW w:w="740" w:type="dxa"/>
            <w:vAlign w:val="bottom"/>
          </w:tcPr>
          <w:p>
            <w:pPr>
              <w:spacing w:after="0"/>
              <w:rPr>
                <w:sz w:val="14"/>
                <w:szCs w:val="14"/>
                <w:color w:val="auto"/>
              </w:rPr>
            </w:pPr>
          </w:p>
        </w:tc>
        <w:tc>
          <w:tcPr>
            <w:tcW w:w="41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140" w:type="dxa"/>
            <w:vAlign w:val="bottom"/>
            <w:gridSpan w:val="8"/>
          </w:tcPr>
          <w:p>
            <w:pPr>
              <w:spacing w:after="0"/>
              <w:rPr>
                <w:sz w:val="20"/>
                <w:szCs w:val="20"/>
                <w:color w:val="auto"/>
              </w:rPr>
            </w:pPr>
            <w:r>
              <w:rPr>
                <w:rFonts w:ascii="Arial" w:cs="Arial" w:eastAsia="Arial" w:hAnsi="Arial"/>
                <w:sz w:val="14"/>
                <w:szCs w:val="14"/>
                <w:b w:val="1"/>
                <w:bCs w:val="1"/>
                <w:color w:val="auto"/>
              </w:rPr>
              <w:t>Description</w:t>
            </w:r>
          </w:p>
        </w:tc>
      </w:tr>
      <w:tr>
        <w:trPr>
          <w:trHeight w:val="277"/>
        </w:trPr>
        <w:tc>
          <w:tcPr>
            <w:tcW w:w="20" w:type="dxa"/>
            <w:vAlign w:val="bottom"/>
          </w:tcPr>
          <w:p>
            <w:pPr>
              <w:spacing w:after="0"/>
              <w:rPr>
                <w:sz w:val="24"/>
                <w:szCs w:val="24"/>
                <w:color w:val="auto"/>
              </w:rPr>
            </w:pPr>
          </w:p>
        </w:tc>
        <w:tc>
          <w:tcPr>
            <w:tcW w:w="700" w:type="dxa"/>
            <w:vAlign w:val="bottom"/>
            <w:tcBorders>
              <w:top w:val="single" w:sz="8" w:color="auto"/>
            </w:tcBorders>
          </w:tcPr>
          <w:p>
            <w:pPr>
              <w:jc w:val="right"/>
              <w:ind w:right="310"/>
              <w:spacing w:after="0"/>
              <w:rPr>
                <w:sz w:val="20"/>
                <w:szCs w:val="20"/>
                <w:color w:val="auto"/>
              </w:rPr>
            </w:pPr>
            <w:r>
              <w:rPr>
                <w:rFonts w:ascii="Arial" w:cs="Arial" w:eastAsia="Arial" w:hAnsi="Arial"/>
                <w:sz w:val="18"/>
                <w:szCs w:val="18"/>
                <w:color w:val="auto"/>
              </w:rPr>
              <w:t>5.1</w:t>
            </w:r>
          </w:p>
        </w:tc>
        <w:tc>
          <w:tcPr>
            <w:tcW w:w="740" w:type="dxa"/>
            <w:vAlign w:val="bottom"/>
          </w:tcPr>
          <w:p>
            <w:pPr>
              <w:spacing w:after="0"/>
              <w:rPr>
                <w:sz w:val="24"/>
                <w:szCs w:val="24"/>
                <w:color w:val="auto"/>
              </w:rPr>
            </w:pPr>
          </w:p>
        </w:tc>
        <w:tc>
          <w:tcPr>
            <w:tcW w:w="4140" w:type="dxa"/>
            <w:vAlign w:val="bottom"/>
            <w:tcBorders>
              <w:bottom w:val="single" w:sz="8" w:color="0000EE"/>
            </w:tcBorders>
          </w:tcPr>
          <w:p>
            <w:pPr>
              <w:spacing w:after="0"/>
              <w:rPr>
                <w:sz w:val="20"/>
                <w:szCs w:val="20"/>
                <w:color w:val="auto"/>
              </w:rPr>
            </w:pPr>
            <w:r>
              <w:rPr>
                <w:rFonts w:ascii="Arial" w:cs="Arial" w:eastAsia="Arial" w:hAnsi="Arial"/>
                <w:sz w:val="18"/>
                <w:szCs w:val="18"/>
                <w:color w:val="0000EE"/>
                <w:w w:val="93"/>
              </w:rPr>
              <w:t>Opinion of Appleby (Bermuda) Limited as filed herewith</w:t>
            </w:r>
          </w:p>
        </w:tc>
        <w:tc>
          <w:tcPr>
            <w:tcW w:w="280" w:type="dxa"/>
            <w:vAlign w:val="bottom"/>
          </w:tcPr>
          <w:p>
            <w:pPr>
              <w:spacing w:after="0"/>
              <w:rPr>
                <w:sz w:val="24"/>
                <w:szCs w:val="24"/>
                <w:color w:val="auto"/>
              </w:rPr>
            </w:pPr>
          </w:p>
        </w:tc>
        <w:tc>
          <w:tcPr>
            <w:tcW w:w="720" w:type="dxa"/>
            <w:vAlign w:val="bottom"/>
            <w:tcBorders>
              <w:top w:val="single" w:sz="8" w:color="auto"/>
            </w:tcBorders>
            <w:gridSpan w:val="2"/>
          </w:tcPr>
          <w:p>
            <w:pPr>
              <w:spacing w:after="0"/>
              <w:rPr>
                <w:sz w:val="24"/>
                <w:szCs w:val="24"/>
                <w:color w:val="auto"/>
              </w:rPr>
            </w:pPr>
          </w:p>
        </w:tc>
        <w:tc>
          <w:tcPr>
            <w:tcW w:w="4420" w:type="dxa"/>
            <w:vAlign w:val="bottom"/>
            <w:gridSpan w:val="6"/>
          </w:tcPr>
          <w:p>
            <w:pPr>
              <w:spacing w:after="0"/>
              <w:rPr>
                <w:sz w:val="24"/>
                <w:szCs w:val="24"/>
                <w:color w:val="auto"/>
              </w:rPr>
            </w:pPr>
          </w:p>
        </w:tc>
      </w:tr>
      <w:tr>
        <w:trPr>
          <w:trHeight w:val="304"/>
        </w:trPr>
        <w:tc>
          <w:tcPr>
            <w:tcW w:w="720" w:type="dxa"/>
            <w:vAlign w:val="bottom"/>
            <w:gridSpan w:val="2"/>
          </w:tcPr>
          <w:p>
            <w:pPr>
              <w:jc w:val="right"/>
              <w:ind w:right="310"/>
              <w:spacing w:after="0"/>
              <w:rPr>
                <w:sz w:val="20"/>
                <w:szCs w:val="20"/>
                <w:color w:val="auto"/>
              </w:rPr>
            </w:pPr>
            <w:r>
              <w:rPr>
                <w:rFonts w:ascii="Arial" w:cs="Arial" w:eastAsia="Arial" w:hAnsi="Arial"/>
                <w:sz w:val="18"/>
                <w:szCs w:val="18"/>
                <w:color w:val="auto"/>
                <w:w w:val="85"/>
              </w:rPr>
              <w:t>10.1</w:t>
            </w:r>
          </w:p>
        </w:tc>
        <w:tc>
          <w:tcPr>
            <w:tcW w:w="740" w:type="dxa"/>
            <w:vAlign w:val="bottom"/>
          </w:tcPr>
          <w:p>
            <w:pPr>
              <w:spacing w:after="0"/>
              <w:rPr>
                <w:sz w:val="24"/>
                <w:szCs w:val="24"/>
                <w:color w:val="auto"/>
              </w:rPr>
            </w:pPr>
          </w:p>
        </w:tc>
        <w:tc>
          <w:tcPr>
            <w:tcW w:w="9560" w:type="dxa"/>
            <w:vAlign w:val="bottom"/>
            <w:tcBorders>
              <w:bottom w:val="single" w:sz="8" w:color="0000EE"/>
            </w:tcBorders>
            <w:gridSpan w:val="10"/>
          </w:tcPr>
          <w:p>
            <w:pPr>
              <w:spacing w:after="0"/>
              <w:rPr>
                <w:rFonts w:ascii="Arial" w:cs="Arial" w:eastAsia="Arial" w:hAnsi="Arial"/>
                <w:sz w:val="18"/>
                <w:szCs w:val="18"/>
                <w:color w:val="0000EE"/>
                <w:w w:val="89"/>
              </w:rPr>
            </w:pPr>
            <w:hyperlink r:id="rId19">
              <w:r>
                <w:rPr>
                  <w:rFonts w:ascii="Arial" w:cs="Arial" w:eastAsia="Arial" w:hAnsi="Arial"/>
                  <w:sz w:val="18"/>
                  <w:szCs w:val="18"/>
                  <w:color w:val="0000EE"/>
                  <w:w w:val="89"/>
                </w:rPr>
                <w:t>2000 Employee Stock Purchase Plan (as amended and restated as of October 31, 2011), incorporated by reference to Exhibit 10.1 of</w:t>
              </w:r>
            </w:hyperlink>
          </w:p>
        </w:tc>
      </w:tr>
      <w:tr>
        <w:trPr>
          <w:trHeight w:val="196"/>
        </w:trPr>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560" w:type="dxa"/>
            <w:vAlign w:val="bottom"/>
            <w:gridSpan w:val="10"/>
          </w:tcPr>
          <w:p>
            <w:pPr>
              <w:spacing w:after="0" w:line="196" w:lineRule="exact"/>
              <w:rPr>
                <w:rFonts w:ascii="Arial" w:cs="Arial" w:eastAsia="Arial" w:hAnsi="Arial"/>
                <w:sz w:val="18"/>
                <w:szCs w:val="18"/>
                <w:color w:val="0000EE"/>
              </w:rPr>
            </w:pPr>
            <w:hyperlink r:id="rId19">
              <w:r>
                <w:rPr>
                  <w:rFonts w:ascii="Arial" w:cs="Arial" w:eastAsia="Arial" w:hAnsi="Arial"/>
                  <w:sz w:val="18"/>
                  <w:szCs w:val="18"/>
                  <w:color w:val="0000EE"/>
                </w:rPr>
                <w:t>the registrant’s Quarterly Report on Form 10-Q for the period ended October 29, 2011 as filed on December 2, 2011</w:t>
              </w:r>
            </w:hyperlink>
          </w:p>
        </w:tc>
      </w:tr>
      <w:tr>
        <w:trPr>
          <w:trHeight w:val="20"/>
        </w:trPr>
        <w:tc>
          <w:tcPr>
            <w:tcW w:w="72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700" w:type="dxa"/>
            <w:vAlign w:val="bottom"/>
            <w:gridSpan w:val="3"/>
            <w:shd w:val="clear" w:color="auto" w:fill="0000EE"/>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860" w:type="dxa"/>
            <w:vAlign w:val="bottom"/>
            <w:shd w:val="clear" w:color="auto" w:fill="0000EE"/>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r>
        <w:trPr>
          <w:trHeight w:val="304"/>
        </w:trPr>
        <w:tc>
          <w:tcPr>
            <w:tcW w:w="720" w:type="dxa"/>
            <w:vAlign w:val="bottom"/>
            <w:gridSpan w:val="2"/>
          </w:tcPr>
          <w:p>
            <w:pPr>
              <w:jc w:val="right"/>
              <w:ind w:right="310"/>
              <w:spacing w:after="0"/>
              <w:rPr>
                <w:sz w:val="20"/>
                <w:szCs w:val="20"/>
                <w:color w:val="auto"/>
              </w:rPr>
            </w:pPr>
            <w:r>
              <w:rPr>
                <w:rFonts w:ascii="Arial" w:cs="Arial" w:eastAsia="Arial" w:hAnsi="Arial"/>
                <w:sz w:val="18"/>
                <w:szCs w:val="18"/>
                <w:color w:val="auto"/>
                <w:w w:val="85"/>
              </w:rPr>
              <w:t>10.2</w:t>
            </w:r>
          </w:p>
        </w:tc>
        <w:tc>
          <w:tcPr>
            <w:tcW w:w="740" w:type="dxa"/>
            <w:vAlign w:val="bottom"/>
          </w:tcPr>
          <w:p>
            <w:pPr>
              <w:spacing w:after="0"/>
              <w:rPr>
                <w:sz w:val="24"/>
                <w:szCs w:val="24"/>
                <w:color w:val="auto"/>
              </w:rPr>
            </w:pPr>
          </w:p>
        </w:tc>
        <w:tc>
          <w:tcPr>
            <w:tcW w:w="9500" w:type="dxa"/>
            <w:vAlign w:val="bottom"/>
            <w:tcBorders>
              <w:bottom w:val="single" w:sz="8" w:color="0000EE"/>
            </w:tcBorders>
            <w:gridSpan w:val="9"/>
          </w:tcPr>
          <w:p>
            <w:pPr>
              <w:spacing w:after="0"/>
              <w:rPr>
                <w:rFonts w:ascii="Arial" w:cs="Arial" w:eastAsia="Arial" w:hAnsi="Arial"/>
                <w:sz w:val="18"/>
                <w:szCs w:val="18"/>
                <w:color w:val="0000EE"/>
                <w:w w:val="91"/>
              </w:rPr>
            </w:pPr>
            <w:hyperlink r:id="rId20">
              <w:r>
                <w:rPr>
                  <w:rFonts w:ascii="Arial" w:cs="Arial" w:eastAsia="Arial" w:hAnsi="Arial"/>
                  <w:sz w:val="18"/>
                  <w:szCs w:val="18"/>
                  <w:color w:val="0000EE"/>
                  <w:w w:val="91"/>
                </w:rPr>
                <w:t>2000 Employee Stock Purchase Plan Form of Subscription Agreement, incorporated by reference to Exhibit 10.4 of the registrant’s</w:t>
              </w:r>
            </w:hyperlink>
          </w:p>
        </w:tc>
        <w:tc>
          <w:tcPr>
            <w:tcW w:w="60" w:type="dxa"/>
            <w:vAlign w:val="bottom"/>
          </w:tcPr>
          <w:p>
            <w:pPr>
              <w:spacing w:after="0"/>
              <w:rPr>
                <w:sz w:val="24"/>
                <w:szCs w:val="24"/>
                <w:color w:val="auto"/>
              </w:rPr>
            </w:pPr>
          </w:p>
        </w:tc>
      </w:tr>
      <w:tr>
        <w:trPr>
          <w:trHeight w:val="196"/>
        </w:trPr>
        <w:tc>
          <w:tcPr>
            <w:tcW w:w="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9560" w:type="dxa"/>
            <w:vAlign w:val="bottom"/>
            <w:gridSpan w:val="10"/>
          </w:tcPr>
          <w:p>
            <w:pPr>
              <w:spacing w:after="0" w:line="196" w:lineRule="exact"/>
              <w:rPr>
                <w:rFonts w:ascii="Arial" w:cs="Arial" w:eastAsia="Arial" w:hAnsi="Arial"/>
                <w:sz w:val="18"/>
                <w:szCs w:val="18"/>
                <w:color w:val="0000EE"/>
              </w:rPr>
            </w:pPr>
            <w:hyperlink r:id="rId20">
              <w:r>
                <w:rPr>
                  <w:rFonts w:ascii="Arial" w:cs="Arial" w:eastAsia="Arial" w:hAnsi="Arial"/>
                  <w:sz w:val="18"/>
                  <w:szCs w:val="18"/>
                  <w:color w:val="0000EE"/>
                </w:rPr>
                <w:t>Annual Report on Form 10-K for the period ended February 2, 2013 as filed on March 29, 2013</w:t>
              </w:r>
            </w:hyperlink>
          </w:p>
        </w:tc>
      </w:tr>
      <w:tr>
        <w:trPr>
          <w:trHeight w:val="20"/>
        </w:trPr>
        <w:tc>
          <w:tcPr>
            <w:tcW w:w="72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700" w:type="dxa"/>
            <w:vAlign w:val="bottom"/>
            <w:gridSpan w:val="3"/>
            <w:shd w:val="clear" w:color="auto" w:fill="0000EE"/>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2060" w:type="dxa"/>
            <w:vAlign w:val="bottom"/>
            <w:gridSpan w:val="3"/>
          </w:tcPr>
          <w:p>
            <w:pPr>
              <w:spacing w:after="0" w:line="20" w:lineRule="exact"/>
              <w:rPr>
                <w:sz w:val="1"/>
                <w:szCs w:val="1"/>
                <w:color w:val="auto"/>
              </w:rPr>
            </w:pPr>
          </w:p>
        </w:tc>
      </w:tr>
      <w:tr>
        <w:trPr>
          <w:trHeight w:val="304"/>
        </w:trPr>
        <w:tc>
          <w:tcPr>
            <w:tcW w:w="720" w:type="dxa"/>
            <w:vAlign w:val="bottom"/>
            <w:gridSpan w:val="2"/>
          </w:tcPr>
          <w:p>
            <w:pPr>
              <w:jc w:val="right"/>
              <w:ind w:right="310"/>
              <w:spacing w:after="0"/>
              <w:rPr>
                <w:sz w:val="20"/>
                <w:szCs w:val="20"/>
                <w:color w:val="auto"/>
              </w:rPr>
            </w:pPr>
            <w:r>
              <w:rPr>
                <w:rFonts w:ascii="Arial" w:cs="Arial" w:eastAsia="Arial" w:hAnsi="Arial"/>
                <w:sz w:val="18"/>
                <w:szCs w:val="18"/>
                <w:color w:val="auto"/>
                <w:w w:val="85"/>
              </w:rPr>
              <w:t>23.1</w:t>
            </w:r>
          </w:p>
        </w:tc>
        <w:tc>
          <w:tcPr>
            <w:tcW w:w="740" w:type="dxa"/>
            <w:vAlign w:val="bottom"/>
          </w:tcPr>
          <w:p>
            <w:pPr>
              <w:spacing w:after="0"/>
              <w:rPr>
                <w:sz w:val="24"/>
                <w:szCs w:val="24"/>
                <w:color w:val="auto"/>
              </w:rPr>
            </w:pPr>
          </w:p>
        </w:tc>
        <w:tc>
          <w:tcPr>
            <w:tcW w:w="7500" w:type="dxa"/>
            <w:vAlign w:val="bottom"/>
            <w:tcBorders>
              <w:bottom w:val="single" w:sz="8" w:color="0000EE"/>
            </w:tcBorders>
            <w:gridSpan w:val="7"/>
          </w:tcPr>
          <w:p>
            <w:pPr>
              <w:spacing w:after="0"/>
              <w:rPr>
                <w:sz w:val="20"/>
                <w:szCs w:val="20"/>
                <w:color w:val="auto"/>
              </w:rPr>
            </w:pPr>
            <w:r>
              <w:rPr>
                <w:rFonts w:ascii="Arial" w:cs="Arial" w:eastAsia="Arial" w:hAnsi="Arial"/>
                <w:sz w:val="18"/>
                <w:szCs w:val="18"/>
                <w:color w:val="0000EE"/>
                <w:w w:val="92"/>
              </w:rPr>
              <w:t>Consent of Independent Registered Public Accounting Firm—Deloitte &amp; Touche, LLP as filed herewith</w:t>
            </w:r>
          </w:p>
        </w:tc>
        <w:tc>
          <w:tcPr>
            <w:tcW w:w="2060" w:type="dxa"/>
            <w:vAlign w:val="bottom"/>
            <w:gridSpan w:val="3"/>
          </w:tcPr>
          <w:p>
            <w:pPr>
              <w:spacing w:after="0"/>
              <w:rPr>
                <w:sz w:val="24"/>
                <w:szCs w:val="24"/>
                <w:color w:val="auto"/>
              </w:rPr>
            </w:pPr>
          </w:p>
        </w:tc>
      </w:tr>
      <w:tr>
        <w:trPr>
          <w:trHeight w:val="304"/>
        </w:trPr>
        <w:tc>
          <w:tcPr>
            <w:tcW w:w="720" w:type="dxa"/>
            <w:vAlign w:val="bottom"/>
            <w:gridSpan w:val="2"/>
          </w:tcPr>
          <w:p>
            <w:pPr>
              <w:jc w:val="right"/>
              <w:ind w:right="310"/>
              <w:spacing w:after="0"/>
              <w:rPr>
                <w:sz w:val="20"/>
                <w:szCs w:val="20"/>
                <w:color w:val="auto"/>
              </w:rPr>
            </w:pPr>
            <w:r>
              <w:rPr>
                <w:rFonts w:ascii="Arial" w:cs="Arial" w:eastAsia="Arial" w:hAnsi="Arial"/>
                <w:sz w:val="18"/>
                <w:szCs w:val="18"/>
                <w:color w:val="auto"/>
                <w:w w:val="85"/>
              </w:rPr>
              <w:t>23.2</w:t>
            </w:r>
          </w:p>
        </w:tc>
        <w:tc>
          <w:tcPr>
            <w:tcW w:w="740" w:type="dxa"/>
            <w:vAlign w:val="bottom"/>
          </w:tcPr>
          <w:p>
            <w:pPr>
              <w:spacing w:after="0"/>
              <w:rPr>
                <w:sz w:val="24"/>
                <w:szCs w:val="24"/>
                <w:color w:val="auto"/>
              </w:rPr>
            </w:pPr>
          </w:p>
        </w:tc>
        <w:tc>
          <w:tcPr>
            <w:tcW w:w="9560" w:type="dxa"/>
            <w:vAlign w:val="bottom"/>
            <w:gridSpan w:val="10"/>
          </w:tcPr>
          <w:p>
            <w:pPr>
              <w:spacing w:after="0"/>
              <w:rPr>
                <w:sz w:val="20"/>
                <w:szCs w:val="20"/>
                <w:color w:val="auto"/>
              </w:rPr>
            </w:pPr>
            <w:r>
              <w:rPr>
                <w:rFonts w:ascii="Arial" w:cs="Arial" w:eastAsia="Arial" w:hAnsi="Arial"/>
                <w:sz w:val="18"/>
                <w:szCs w:val="18"/>
                <w:color w:val="0000EE"/>
              </w:rPr>
              <w:t>Consent of Appleby (Bermuda) Limited (included in Exhibit 5.1)</w:t>
            </w:r>
          </w:p>
        </w:tc>
      </w:tr>
      <w:tr>
        <w:trPr>
          <w:trHeight w:val="20"/>
        </w:trPr>
        <w:tc>
          <w:tcPr>
            <w:tcW w:w="720" w:type="dxa"/>
            <w:vAlign w:val="bottom"/>
            <w:gridSpan w:val="2"/>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700" w:type="dxa"/>
            <w:vAlign w:val="bottom"/>
            <w:gridSpan w:val="3"/>
            <w:shd w:val="clear" w:color="auto" w:fill="0000EE"/>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3980" w:type="dxa"/>
            <w:vAlign w:val="bottom"/>
            <w:gridSpan w:val="5"/>
          </w:tcPr>
          <w:p>
            <w:pPr>
              <w:spacing w:after="0" w:line="20" w:lineRule="exact"/>
              <w:rPr>
                <w:sz w:val="1"/>
                <w:szCs w:val="1"/>
                <w:color w:val="auto"/>
              </w:rPr>
            </w:pPr>
          </w:p>
        </w:tc>
      </w:tr>
      <w:tr>
        <w:trPr>
          <w:trHeight w:val="304"/>
        </w:trPr>
        <w:tc>
          <w:tcPr>
            <w:tcW w:w="720" w:type="dxa"/>
            <w:vAlign w:val="bottom"/>
            <w:gridSpan w:val="2"/>
          </w:tcPr>
          <w:p>
            <w:pPr>
              <w:jc w:val="right"/>
              <w:ind w:right="310"/>
              <w:spacing w:after="0"/>
              <w:rPr>
                <w:sz w:val="20"/>
                <w:szCs w:val="20"/>
                <w:color w:val="auto"/>
              </w:rPr>
            </w:pPr>
            <w:r>
              <w:rPr>
                <w:rFonts w:ascii="Arial" w:cs="Arial" w:eastAsia="Arial" w:hAnsi="Arial"/>
                <w:sz w:val="18"/>
                <w:szCs w:val="18"/>
                <w:color w:val="auto"/>
                <w:w w:val="85"/>
              </w:rPr>
              <w:t>24.1</w:t>
            </w:r>
          </w:p>
        </w:tc>
        <w:tc>
          <w:tcPr>
            <w:tcW w:w="740" w:type="dxa"/>
            <w:vAlign w:val="bottom"/>
          </w:tcPr>
          <w:p>
            <w:pPr>
              <w:spacing w:after="0"/>
              <w:rPr>
                <w:sz w:val="24"/>
                <w:szCs w:val="24"/>
                <w:color w:val="auto"/>
              </w:rPr>
            </w:pPr>
          </w:p>
        </w:tc>
        <w:tc>
          <w:tcPr>
            <w:tcW w:w="9560" w:type="dxa"/>
            <w:vAlign w:val="bottom"/>
            <w:gridSpan w:val="10"/>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Power of Attorney (included in signature page to this Registration Statement)</w:t>
              </w:r>
            </w:hyperlink>
          </w:p>
        </w:tc>
      </w:tr>
      <w:tr>
        <w:trPr>
          <w:trHeight w:val="20"/>
        </w:trPr>
        <w:tc>
          <w:tcPr>
            <w:tcW w:w="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41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440" w:type="dxa"/>
            <w:vAlign w:val="bottom"/>
            <w:shd w:val="clear" w:color="auto" w:fill="0000EE"/>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ectPr>
          <w:pgSz w:w="11900" w:h="16838" w:orient="portrait"/>
          <w:cols w:equalWidth="0" w:num="1">
            <w:col w:w="11020"/>
          </w:cols>
          <w:pgMar w:left="440" w:top="270" w:right="439" w:bottom="1440" w:gutter="0" w:footer="0" w:header="0"/>
        </w:sectPr>
      </w:pPr>
    </w:p>
    <w:bookmarkStart w:id="2" w:name="page3"/>
    <w:bookmarkEnd w:id="2"/>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20" w:firstLine="441"/>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29</w:t>
      </w:r>
      <w:r>
        <w:rPr>
          <w:rFonts w:ascii="Arial" w:cs="Arial" w:eastAsia="Arial" w:hAnsi="Arial"/>
          <w:sz w:val="15"/>
          <w:szCs w:val="15"/>
          <w:color w:val="auto"/>
        </w:rPr>
        <w:t>th</w:t>
      </w:r>
      <w:r>
        <w:rPr>
          <w:rFonts w:ascii="Arial" w:cs="Arial" w:eastAsia="Arial" w:hAnsi="Arial"/>
          <w:sz w:val="18"/>
          <w:szCs w:val="18"/>
          <w:color w:val="auto"/>
        </w:rPr>
        <w:t xml:space="preserve"> day of March, 2019.</w:t>
      </w:r>
    </w:p>
    <w:p>
      <w:pPr>
        <w:spacing w:after="0" w:line="208"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 Chief Financial Officer</w:t>
      </w:r>
    </w:p>
    <w:p>
      <w:pPr>
        <w:spacing w:after="0" w:line="22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firstLine="441"/>
        <w:spacing w:after="0" w:line="297"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58" w:lineRule="exact"/>
        <w:rPr>
          <w:sz w:val="20"/>
          <w:szCs w:val="20"/>
          <w:color w:val="auto"/>
        </w:rPr>
      </w:pPr>
    </w:p>
    <w:p>
      <w:pPr>
        <w:ind w:right="100" w:firstLine="441"/>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20" w:type="dxa"/>
        <w:tblCellMar>
          <w:top w:w="0" w:type="dxa"/>
          <w:left w:w="0" w:type="dxa"/>
          <w:bottom w:w="0" w:type="dxa"/>
          <w:right w:w="0" w:type="dxa"/>
        </w:tblCellMar>
      </w:tblPr>
      <w:tr>
        <w:trPr>
          <w:trHeight w:val="171"/>
        </w:trPr>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80" w:type="dxa"/>
            <w:vAlign w:val="bottom"/>
            <w:gridSpan w:val="2"/>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1420" w:type="dxa"/>
            <w:vAlign w:val="bottom"/>
          </w:tcPr>
          <w:p>
            <w:pPr>
              <w:spacing w:after="0"/>
              <w:rPr>
                <w:sz w:val="14"/>
                <w:szCs w:val="14"/>
                <w:color w:val="auto"/>
              </w:rPr>
            </w:pPr>
          </w:p>
        </w:tc>
        <w:tc>
          <w:tcPr>
            <w:tcW w:w="4700" w:type="dxa"/>
            <w:vAlign w:val="bottom"/>
            <w:gridSpan w:val="3"/>
          </w:tcPr>
          <w:p>
            <w:pPr>
              <w:jc w:val="center"/>
              <w:ind w:left="331"/>
              <w:spacing w:after="0"/>
              <w:rPr>
                <w:sz w:val="20"/>
                <w:szCs w:val="20"/>
                <w:color w:val="auto"/>
              </w:rPr>
            </w:pPr>
            <w:r>
              <w:rPr>
                <w:rFonts w:ascii="Arial" w:cs="Arial" w:eastAsia="Arial" w:hAnsi="Arial"/>
                <w:sz w:val="14"/>
                <w:szCs w:val="14"/>
                <w:b w:val="1"/>
                <w:bCs w:val="1"/>
                <w:color w:val="auto"/>
                <w:w w:val="97"/>
              </w:rPr>
              <w:t>Title</w:t>
            </w:r>
          </w:p>
        </w:tc>
        <w:tc>
          <w:tcPr>
            <w:tcW w:w="1940" w:type="dxa"/>
            <w:vAlign w:val="bottom"/>
            <w:gridSpan w:val="3"/>
          </w:tcPr>
          <w:p>
            <w:pPr>
              <w:jc w:val="center"/>
              <w:ind w:left="711"/>
              <w:spacing w:after="0"/>
              <w:rPr>
                <w:sz w:val="20"/>
                <w:szCs w:val="20"/>
                <w:color w:val="auto"/>
              </w:rPr>
            </w:pPr>
            <w:r>
              <w:rPr>
                <w:rFonts w:ascii="Arial" w:cs="Arial" w:eastAsia="Arial" w:hAnsi="Arial"/>
                <w:sz w:val="14"/>
                <w:szCs w:val="14"/>
                <w:b w:val="1"/>
                <w:bCs w:val="1"/>
                <w:color w:val="auto"/>
                <w:w w:val="98"/>
              </w:rPr>
              <w:t>Date</w:t>
            </w:r>
          </w:p>
        </w:tc>
      </w:tr>
      <w:tr>
        <w:trPr>
          <w:trHeight w:val="20"/>
        </w:trPr>
        <w:tc>
          <w:tcPr>
            <w:tcW w:w="1000" w:type="dxa"/>
            <w:vAlign w:val="bottom"/>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1280" w:type="dxa"/>
            <w:vAlign w:val="bottom"/>
            <w:gridSpan w:val="2"/>
            <w:shd w:val="clear" w:color="auto" w:fill="000000"/>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r>
      <w:tr>
        <w:trPr>
          <w:trHeight w:val="426"/>
        </w:trPr>
        <w:tc>
          <w:tcPr>
            <w:tcW w:w="1000" w:type="dxa"/>
            <w:vAlign w:val="bottom"/>
            <w:tcBorders>
              <w:bottom w:val="single" w:sz="8" w:color="auto"/>
            </w:tcBorders>
          </w:tcPr>
          <w:p>
            <w:pPr>
              <w:ind w:left="820"/>
              <w:spacing w:after="0"/>
              <w:rPr>
                <w:sz w:val="20"/>
                <w:szCs w:val="20"/>
                <w:color w:val="auto"/>
              </w:rPr>
            </w:pPr>
            <w:r>
              <w:rPr>
                <w:rFonts w:ascii="Arial" w:cs="Arial" w:eastAsia="Arial" w:hAnsi="Arial"/>
                <w:sz w:val="18"/>
                <w:szCs w:val="18"/>
                <w:color w:val="auto"/>
                <w:w w:val="83"/>
              </w:rPr>
              <w:t>/s/</w:t>
            </w:r>
          </w:p>
        </w:tc>
        <w:tc>
          <w:tcPr>
            <w:tcW w:w="3100" w:type="dxa"/>
            <w:vAlign w:val="bottom"/>
            <w:tcBorders>
              <w:bottom w:val="single" w:sz="8" w:color="auto"/>
            </w:tcBorders>
            <w:gridSpan w:val="5"/>
          </w:tcPr>
          <w:p>
            <w:pPr>
              <w:jc w:val="center"/>
              <w:ind w:right="1020"/>
              <w:spacing w:after="0"/>
              <w:rPr>
                <w:sz w:val="20"/>
                <w:szCs w:val="20"/>
                <w:color w:val="auto"/>
              </w:rPr>
            </w:pPr>
            <w:r>
              <w:rPr>
                <w:rFonts w:ascii="Arial" w:cs="Arial" w:eastAsia="Arial" w:hAnsi="Arial"/>
                <w:sz w:val="18"/>
                <w:szCs w:val="18"/>
                <w:color w:val="auto"/>
                <w:w w:val="98"/>
              </w:rPr>
              <w:t>MATTHEW MURPHY</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3"/>
              </w:rPr>
              <w:t>Director and Chief Executive Officer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210"/>
        </w:trPr>
        <w:tc>
          <w:tcPr>
            <w:tcW w:w="10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20" w:type="dxa"/>
            <w:vAlign w:val="bottom"/>
            <w:gridSpan w:val="2"/>
          </w:tcPr>
          <w:p>
            <w:pPr>
              <w:jc w:val="center"/>
              <w:ind w:right="1520"/>
              <w:spacing w:after="0"/>
              <w:rPr>
                <w:sz w:val="20"/>
                <w:szCs w:val="20"/>
                <w:color w:val="auto"/>
              </w:rPr>
            </w:pPr>
            <w:r>
              <w:rPr>
                <w:rFonts w:ascii="Arial" w:cs="Arial" w:eastAsia="Arial" w:hAnsi="Arial"/>
                <w:sz w:val="14"/>
                <w:szCs w:val="14"/>
                <w:b w:val="1"/>
                <w:bCs w:val="1"/>
                <w:color w:val="auto"/>
                <w:w w:val="99"/>
              </w:rPr>
              <w:t>Matthew Murphy</w:t>
            </w:r>
          </w:p>
        </w:tc>
        <w:tc>
          <w:tcPr>
            <w:tcW w:w="4700" w:type="dxa"/>
            <w:vAlign w:val="bottom"/>
            <w:gridSpan w:val="3"/>
          </w:tcPr>
          <w:p>
            <w:pPr>
              <w:jc w:val="center"/>
              <w:ind w:left="311"/>
              <w:spacing w:after="0"/>
              <w:rPr>
                <w:sz w:val="20"/>
                <w:szCs w:val="20"/>
                <w:color w:val="auto"/>
              </w:rPr>
            </w:pPr>
            <w:r>
              <w:rPr>
                <w:rFonts w:ascii="Arial" w:cs="Arial" w:eastAsia="Arial" w:hAnsi="Arial"/>
                <w:sz w:val="18"/>
                <w:szCs w:val="18"/>
                <w:color w:val="auto"/>
                <w:w w:val="94"/>
              </w:rPr>
              <w:t>(Principal Executive Officer)</w:t>
            </w:r>
          </w:p>
        </w:tc>
        <w:tc>
          <w:tcPr>
            <w:tcW w:w="1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20" w:type="dxa"/>
            <w:vAlign w:val="bottom"/>
          </w:tcPr>
          <w:p>
            <w:pPr>
              <w:spacing w:after="0"/>
              <w:rPr>
                <w:sz w:val="18"/>
                <w:szCs w:val="18"/>
                <w:color w:val="auto"/>
              </w:rPr>
            </w:pPr>
          </w:p>
        </w:tc>
      </w:tr>
      <w:tr>
        <w:trPr>
          <w:trHeight w:val="431"/>
        </w:trPr>
        <w:tc>
          <w:tcPr>
            <w:tcW w:w="10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gridSpan w:val="2"/>
          </w:tcPr>
          <w:p>
            <w:pPr>
              <w:ind w:left="60"/>
              <w:spacing w:after="0"/>
              <w:rPr>
                <w:sz w:val="20"/>
                <w:szCs w:val="20"/>
                <w:color w:val="auto"/>
              </w:rPr>
            </w:pPr>
            <w:r>
              <w:rPr>
                <w:rFonts w:ascii="Arial" w:cs="Arial" w:eastAsia="Arial" w:hAnsi="Arial"/>
                <w:sz w:val="18"/>
                <w:szCs w:val="18"/>
                <w:color w:val="auto"/>
                <w:w w:val="94"/>
              </w:rPr>
              <w:t>/s/</w:t>
            </w:r>
          </w:p>
        </w:tc>
        <w:tc>
          <w:tcPr>
            <w:tcW w:w="2620" w:type="dxa"/>
            <w:vAlign w:val="bottom"/>
            <w:tcBorders>
              <w:bottom w:val="single" w:sz="8" w:color="auto"/>
            </w:tcBorders>
            <w:gridSpan w:val="2"/>
          </w:tcPr>
          <w:p>
            <w:pPr>
              <w:jc w:val="center"/>
              <w:ind w:right="1560"/>
              <w:spacing w:after="0"/>
              <w:rPr>
                <w:sz w:val="20"/>
                <w:szCs w:val="20"/>
                <w:color w:val="auto"/>
              </w:rPr>
            </w:pPr>
            <w:r>
              <w:rPr>
                <w:rFonts w:ascii="Arial" w:cs="Arial" w:eastAsia="Arial" w:hAnsi="Arial"/>
                <w:sz w:val="18"/>
                <w:szCs w:val="18"/>
                <w:color w:val="auto"/>
                <w:w w:val="96"/>
              </w:rPr>
              <w:t>JEAN HU</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4"/>
              </w:rPr>
              <w:t>Chief Financial Officer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210"/>
        </w:trPr>
        <w:tc>
          <w:tcPr>
            <w:tcW w:w="10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5"/>
              </w:rPr>
              <w:t>Jean Hu</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4"/>
              </w:rPr>
              <w:t>(Principal Financial Officer)</w:t>
            </w:r>
          </w:p>
        </w:tc>
        <w:tc>
          <w:tcPr>
            <w:tcW w:w="1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20" w:type="dxa"/>
            <w:vAlign w:val="bottom"/>
          </w:tcPr>
          <w:p>
            <w:pPr>
              <w:spacing w:after="0"/>
              <w:rPr>
                <w:sz w:val="18"/>
                <w:szCs w:val="18"/>
                <w:color w:val="auto"/>
              </w:rPr>
            </w:pPr>
          </w:p>
        </w:tc>
      </w:tr>
      <w:tr>
        <w:trPr>
          <w:trHeight w:val="431"/>
        </w:trPr>
        <w:tc>
          <w:tcPr>
            <w:tcW w:w="1220" w:type="dxa"/>
            <w:vAlign w:val="bottom"/>
            <w:tcBorders>
              <w:bottom w:val="single" w:sz="8" w:color="auto"/>
            </w:tcBorders>
            <w:gridSpan w:val="2"/>
          </w:tcPr>
          <w:p>
            <w:pPr>
              <w:ind w:left="88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260"/>
              <w:spacing w:after="0"/>
              <w:rPr>
                <w:sz w:val="20"/>
                <w:szCs w:val="20"/>
                <w:color w:val="auto"/>
              </w:rPr>
            </w:pPr>
            <w:r>
              <w:rPr>
                <w:rFonts w:ascii="Arial" w:cs="Arial" w:eastAsia="Arial" w:hAnsi="Arial"/>
                <w:sz w:val="18"/>
                <w:szCs w:val="18"/>
                <w:color w:val="auto"/>
                <w:w w:val="99"/>
              </w:rPr>
              <w:t>WILLEM MEINTJES</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4"/>
              </w:rPr>
              <w:t>Chief Accounting Officer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210"/>
        </w:trPr>
        <w:tc>
          <w:tcPr>
            <w:tcW w:w="10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20" w:type="dxa"/>
            <w:vAlign w:val="bottom"/>
            <w:gridSpan w:val="2"/>
          </w:tcPr>
          <w:p>
            <w:pPr>
              <w:jc w:val="center"/>
              <w:ind w:right="1520"/>
              <w:spacing w:after="0"/>
              <w:rPr>
                <w:sz w:val="20"/>
                <w:szCs w:val="20"/>
                <w:color w:val="auto"/>
              </w:rPr>
            </w:pPr>
            <w:r>
              <w:rPr>
                <w:rFonts w:ascii="Arial" w:cs="Arial" w:eastAsia="Arial" w:hAnsi="Arial"/>
                <w:sz w:val="14"/>
                <w:szCs w:val="14"/>
                <w:b w:val="1"/>
                <w:bCs w:val="1"/>
                <w:color w:val="auto"/>
                <w:w w:val="97"/>
              </w:rPr>
              <w:t>Willem Meintjes</w:t>
            </w:r>
          </w:p>
        </w:tc>
        <w:tc>
          <w:tcPr>
            <w:tcW w:w="4700" w:type="dxa"/>
            <w:vAlign w:val="bottom"/>
            <w:gridSpan w:val="3"/>
          </w:tcPr>
          <w:p>
            <w:pPr>
              <w:jc w:val="center"/>
              <w:ind w:left="311"/>
              <w:spacing w:after="0"/>
              <w:rPr>
                <w:sz w:val="20"/>
                <w:szCs w:val="20"/>
                <w:color w:val="auto"/>
              </w:rPr>
            </w:pPr>
            <w:r>
              <w:rPr>
                <w:rFonts w:ascii="Arial" w:cs="Arial" w:eastAsia="Arial" w:hAnsi="Arial"/>
                <w:sz w:val="18"/>
                <w:szCs w:val="18"/>
                <w:color w:val="auto"/>
                <w:w w:val="95"/>
              </w:rPr>
              <w:t>(Principal Accounting Officer)</w:t>
            </w:r>
          </w:p>
        </w:tc>
        <w:tc>
          <w:tcPr>
            <w:tcW w:w="1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420" w:type="dxa"/>
            <w:vAlign w:val="bottom"/>
          </w:tcPr>
          <w:p>
            <w:pPr>
              <w:spacing w:after="0"/>
              <w:rPr>
                <w:sz w:val="18"/>
                <w:szCs w:val="18"/>
                <w:color w:val="auto"/>
              </w:rPr>
            </w:pPr>
          </w:p>
        </w:tc>
      </w:tr>
      <w:tr>
        <w:trPr>
          <w:trHeight w:val="431"/>
        </w:trPr>
        <w:tc>
          <w:tcPr>
            <w:tcW w:w="10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w w:val="73"/>
              </w:rPr>
              <w:t>/s/</w:t>
            </w:r>
          </w:p>
        </w:tc>
        <w:tc>
          <w:tcPr>
            <w:tcW w:w="2880" w:type="dxa"/>
            <w:vAlign w:val="bottom"/>
            <w:tcBorders>
              <w:bottom w:val="single" w:sz="8" w:color="auto"/>
            </w:tcBorders>
            <w:gridSpan w:val="4"/>
          </w:tcPr>
          <w:p>
            <w:pPr>
              <w:jc w:val="center"/>
              <w:ind w:right="1260"/>
              <w:spacing w:after="0"/>
              <w:rPr>
                <w:sz w:val="20"/>
                <w:szCs w:val="20"/>
                <w:color w:val="auto"/>
              </w:rPr>
            </w:pPr>
            <w:r>
              <w:rPr>
                <w:rFonts w:ascii="Arial" w:cs="Arial" w:eastAsia="Arial" w:hAnsi="Arial"/>
                <w:sz w:val="18"/>
                <w:szCs w:val="18"/>
                <w:color w:val="auto"/>
              </w:rPr>
              <w:t>RICHARD HILL</w:t>
            </w:r>
          </w:p>
        </w:tc>
        <w:tc>
          <w:tcPr>
            <w:tcW w:w="4700" w:type="dxa"/>
            <w:vAlign w:val="bottom"/>
            <w:gridSpan w:val="3"/>
          </w:tcPr>
          <w:p>
            <w:pPr>
              <w:jc w:val="center"/>
              <w:ind w:left="311"/>
              <w:spacing w:after="0"/>
              <w:rPr>
                <w:sz w:val="20"/>
                <w:szCs w:val="20"/>
                <w:color w:val="auto"/>
              </w:rPr>
            </w:pPr>
            <w:r>
              <w:rPr>
                <w:rFonts w:ascii="Arial" w:cs="Arial" w:eastAsia="Arial" w:hAnsi="Arial"/>
                <w:sz w:val="18"/>
                <w:szCs w:val="18"/>
                <w:color w:val="auto"/>
                <w:w w:val="91"/>
              </w:rPr>
              <w:t>Chairman of the Board</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7"/>
              </w:rPr>
              <w:t>Richard Hill</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0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200" w:type="dxa"/>
            <w:vAlign w:val="bottom"/>
            <w:tcBorders>
              <w:bottom w:val="single" w:sz="8" w:color="auto"/>
            </w:tcBorders>
          </w:tcPr>
          <w:p>
            <w:pPr>
              <w:spacing w:after="0"/>
              <w:rPr>
                <w:sz w:val="24"/>
                <w:szCs w:val="24"/>
                <w:color w:val="auto"/>
              </w:rPr>
            </w:pPr>
          </w:p>
        </w:tc>
        <w:tc>
          <w:tcPr>
            <w:tcW w:w="1420" w:type="dxa"/>
            <w:vAlign w:val="bottom"/>
            <w:tcBorders>
              <w:bottom w:val="single" w:sz="8" w:color="auto"/>
            </w:tcBorders>
          </w:tcPr>
          <w:p>
            <w:pPr>
              <w:spacing w:after="0"/>
              <w:rPr>
                <w:sz w:val="24"/>
                <w:szCs w:val="24"/>
                <w:color w:val="auto"/>
              </w:rPr>
            </w:pP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4"/>
              </w:rPr>
              <w:t>Syed Ali</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0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w w:val="94"/>
              </w:rPr>
              <w:t>/s/</w:t>
            </w:r>
          </w:p>
        </w:tc>
        <w:tc>
          <w:tcPr>
            <w:tcW w:w="2880" w:type="dxa"/>
            <w:vAlign w:val="bottom"/>
            <w:tcBorders>
              <w:bottom w:val="single" w:sz="8" w:color="auto"/>
            </w:tcBorders>
            <w:gridSpan w:val="4"/>
          </w:tcPr>
          <w:p>
            <w:pPr>
              <w:jc w:val="center"/>
              <w:ind w:right="1260"/>
              <w:spacing w:after="0"/>
              <w:rPr>
                <w:sz w:val="20"/>
                <w:szCs w:val="20"/>
                <w:color w:val="auto"/>
              </w:rPr>
            </w:pPr>
            <w:r>
              <w:rPr>
                <w:rFonts w:ascii="Arial" w:cs="Arial" w:eastAsia="Arial" w:hAnsi="Arial"/>
                <w:sz w:val="18"/>
                <w:szCs w:val="18"/>
                <w:color w:val="auto"/>
                <w:w w:val="97"/>
              </w:rPr>
              <w:t>TUDOR BROWN</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6"/>
              </w:rPr>
              <w:t>Tudor Brown</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000" w:type="dxa"/>
            <w:vAlign w:val="bottom"/>
            <w:tcBorders>
              <w:bottom w:val="single" w:sz="8" w:color="auto"/>
            </w:tcBorders>
          </w:tcPr>
          <w:p>
            <w:pPr>
              <w:spacing w:after="0"/>
              <w:rPr>
                <w:sz w:val="24"/>
                <w:szCs w:val="24"/>
                <w:color w:val="auto"/>
              </w:rPr>
            </w:pPr>
          </w:p>
        </w:tc>
        <w:tc>
          <w:tcPr>
            <w:tcW w:w="480" w:type="dxa"/>
            <w:vAlign w:val="bottom"/>
            <w:tcBorders>
              <w:bottom w:val="single" w:sz="8" w:color="auto"/>
            </w:tcBorders>
            <w:gridSpan w:val="3"/>
          </w:tcPr>
          <w:p>
            <w:pPr>
              <w:ind w:left="180"/>
              <w:spacing w:after="0"/>
              <w:rPr>
                <w:sz w:val="20"/>
                <w:szCs w:val="20"/>
                <w:color w:val="auto"/>
              </w:rPr>
            </w:pPr>
            <w:r>
              <w:rPr>
                <w:rFonts w:ascii="Arial" w:cs="Arial" w:eastAsia="Arial" w:hAnsi="Arial"/>
                <w:sz w:val="18"/>
                <w:szCs w:val="18"/>
                <w:color w:val="auto"/>
              </w:rPr>
              <w:t>/s/</w:t>
            </w:r>
          </w:p>
        </w:tc>
        <w:tc>
          <w:tcPr>
            <w:tcW w:w="2620" w:type="dxa"/>
            <w:vAlign w:val="bottom"/>
            <w:tcBorders>
              <w:bottom w:val="single" w:sz="8" w:color="auto"/>
            </w:tcBorders>
            <w:gridSpan w:val="2"/>
          </w:tcPr>
          <w:p>
            <w:pPr>
              <w:jc w:val="center"/>
              <w:ind w:right="1520"/>
              <w:spacing w:after="0"/>
              <w:rPr>
                <w:sz w:val="20"/>
                <w:szCs w:val="20"/>
                <w:color w:val="auto"/>
              </w:rPr>
            </w:pPr>
            <w:r>
              <w:rPr>
                <w:rFonts w:ascii="Arial" w:cs="Arial" w:eastAsia="Arial" w:hAnsi="Arial"/>
                <w:sz w:val="18"/>
                <w:szCs w:val="18"/>
                <w:color w:val="auto"/>
                <w:w w:val="94"/>
              </w:rPr>
              <w:t>BRAD BUSS</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1"/>
              </w:rPr>
              <w:t>Brad Buss</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220" w:type="dxa"/>
            <w:vAlign w:val="bottom"/>
            <w:tcBorders>
              <w:bottom w:val="single" w:sz="8" w:color="auto"/>
            </w:tcBorders>
            <w:gridSpan w:val="2"/>
          </w:tcPr>
          <w:p>
            <w:pPr>
              <w:ind w:left="96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260"/>
              <w:spacing w:after="0"/>
              <w:rPr>
                <w:sz w:val="20"/>
                <w:szCs w:val="20"/>
                <w:color w:val="auto"/>
              </w:rPr>
            </w:pPr>
            <w:r>
              <w:rPr>
                <w:rFonts w:ascii="Arial" w:cs="Arial" w:eastAsia="Arial" w:hAnsi="Arial"/>
                <w:sz w:val="18"/>
                <w:szCs w:val="18"/>
                <w:color w:val="auto"/>
                <w:w w:val="97"/>
              </w:rPr>
              <w:t>EDWARD FRANK</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9"/>
              </w:rPr>
              <w:t>Edward Frank</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0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260"/>
              <w:spacing w:after="0"/>
              <w:rPr>
                <w:sz w:val="20"/>
                <w:szCs w:val="20"/>
                <w:color w:val="auto"/>
              </w:rPr>
            </w:pPr>
            <w:r>
              <w:rPr>
                <w:rFonts w:ascii="Arial" w:cs="Arial" w:eastAsia="Arial" w:hAnsi="Arial"/>
                <w:sz w:val="18"/>
                <w:szCs w:val="18"/>
                <w:color w:val="auto"/>
                <w:w w:val="99"/>
              </w:rPr>
              <w:t>OLEG KHAYKIN</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20"/>
              <w:spacing w:after="0"/>
              <w:rPr>
                <w:sz w:val="20"/>
                <w:szCs w:val="20"/>
                <w:color w:val="auto"/>
              </w:rPr>
            </w:pPr>
            <w:r>
              <w:rPr>
                <w:rFonts w:ascii="Arial" w:cs="Arial" w:eastAsia="Arial" w:hAnsi="Arial"/>
                <w:sz w:val="14"/>
                <w:szCs w:val="14"/>
                <w:b w:val="1"/>
                <w:bCs w:val="1"/>
                <w:color w:val="auto"/>
                <w:w w:val="96"/>
              </w:rPr>
              <w:t>Oleg Khaykin</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220" w:type="dxa"/>
            <w:vAlign w:val="bottom"/>
            <w:tcBorders>
              <w:bottom w:val="single" w:sz="8" w:color="auto"/>
            </w:tcBorders>
            <w:gridSpan w:val="2"/>
          </w:tcPr>
          <w:p>
            <w:pPr>
              <w:ind w:left="92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260"/>
              <w:spacing w:after="0"/>
              <w:rPr>
                <w:sz w:val="20"/>
                <w:szCs w:val="20"/>
                <w:color w:val="auto"/>
              </w:rPr>
            </w:pPr>
            <w:r>
              <w:rPr>
                <w:rFonts w:ascii="Arial" w:cs="Arial" w:eastAsia="Arial" w:hAnsi="Arial"/>
                <w:sz w:val="18"/>
                <w:szCs w:val="18"/>
                <w:color w:val="auto"/>
                <w:w w:val="99"/>
              </w:rPr>
              <w:t>BETHANY MAYER</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6"/>
              </w:rPr>
              <w:t>Bethany Mayer</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220" w:type="dxa"/>
            <w:vAlign w:val="bottom"/>
            <w:tcBorders>
              <w:bottom w:val="single" w:sz="8" w:color="auto"/>
            </w:tcBorders>
            <w:gridSpan w:val="2"/>
          </w:tcPr>
          <w:p>
            <w:pPr>
              <w:ind w:left="980"/>
              <w:spacing w:after="0"/>
              <w:rPr>
                <w:sz w:val="20"/>
                <w:szCs w:val="20"/>
                <w:color w:val="auto"/>
              </w:rPr>
            </w:pPr>
            <w:r>
              <w:rPr>
                <w:rFonts w:ascii="Arial" w:cs="Arial" w:eastAsia="Arial" w:hAnsi="Arial"/>
                <w:sz w:val="18"/>
                <w:szCs w:val="18"/>
                <w:color w:val="auto"/>
              </w:rPr>
              <w:t>/s/</w:t>
            </w:r>
          </w:p>
        </w:tc>
        <w:tc>
          <w:tcPr>
            <w:tcW w:w="2880" w:type="dxa"/>
            <w:vAlign w:val="bottom"/>
            <w:tcBorders>
              <w:bottom w:val="single" w:sz="8" w:color="auto"/>
            </w:tcBorders>
            <w:gridSpan w:val="4"/>
          </w:tcPr>
          <w:p>
            <w:pPr>
              <w:jc w:val="center"/>
              <w:ind w:right="1260"/>
              <w:spacing w:after="0"/>
              <w:rPr>
                <w:sz w:val="20"/>
                <w:szCs w:val="20"/>
                <w:color w:val="auto"/>
              </w:rPr>
            </w:pPr>
            <w:r>
              <w:rPr>
                <w:rFonts w:ascii="Arial" w:cs="Arial" w:eastAsia="Arial" w:hAnsi="Arial"/>
                <w:sz w:val="18"/>
                <w:szCs w:val="18"/>
                <w:color w:val="auto"/>
                <w:w w:val="97"/>
              </w:rPr>
              <w:t>DONNA MORRIS</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7"/>
              </w:rPr>
              <w:t>Donna Morris</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000" w:type="dxa"/>
            <w:vAlign w:val="bottom"/>
            <w:tcBorders>
              <w:bottom w:val="single" w:sz="8" w:color="auto"/>
            </w:tcBorders>
          </w:tcPr>
          <w:p>
            <w:pPr>
              <w:ind w:left="760"/>
              <w:spacing w:after="0"/>
              <w:rPr>
                <w:sz w:val="20"/>
                <w:szCs w:val="20"/>
                <w:color w:val="auto"/>
              </w:rPr>
            </w:pPr>
            <w:r>
              <w:rPr>
                <w:rFonts w:ascii="Arial" w:cs="Arial" w:eastAsia="Arial" w:hAnsi="Arial"/>
                <w:sz w:val="18"/>
                <w:szCs w:val="18"/>
                <w:color w:val="auto"/>
              </w:rPr>
              <w:t>/s/</w:t>
            </w:r>
          </w:p>
        </w:tc>
        <w:tc>
          <w:tcPr>
            <w:tcW w:w="3100" w:type="dxa"/>
            <w:vAlign w:val="bottom"/>
            <w:tcBorders>
              <w:bottom w:val="single" w:sz="8" w:color="auto"/>
            </w:tcBorders>
            <w:gridSpan w:val="5"/>
          </w:tcPr>
          <w:p>
            <w:pPr>
              <w:jc w:val="center"/>
              <w:ind w:right="1040"/>
              <w:spacing w:after="0"/>
              <w:rPr>
                <w:sz w:val="20"/>
                <w:szCs w:val="20"/>
                <w:color w:val="auto"/>
              </w:rPr>
            </w:pPr>
            <w:r>
              <w:rPr>
                <w:rFonts w:ascii="Arial" w:cs="Arial" w:eastAsia="Arial" w:hAnsi="Arial"/>
                <w:sz w:val="18"/>
                <w:szCs w:val="18"/>
                <w:color w:val="auto"/>
                <w:w w:val="98"/>
              </w:rPr>
              <w:t>MICHAEL STRACHAN</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r>
        <w:trPr>
          <w:trHeight w:val="180"/>
        </w:trPr>
        <w:tc>
          <w:tcPr>
            <w:tcW w:w="10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620" w:type="dxa"/>
            <w:vAlign w:val="bottom"/>
            <w:gridSpan w:val="2"/>
          </w:tcPr>
          <w:p>
            <w:pPr>
              <w:jc w:val="center"/>
              <w:ind w:right="1500"/>
              <w:spacing w:after="0"/>
              <w:rPr>
                <w:sz w:val="20"/>
                <w:szCs w:val="20"/>
                <w:color w:val="auto"/>
              </w:rPr>
            </w:pPr>
            <w:r>
              <w:rPr>
                <w:rFonts w:ascii="Arial" w:cs="Arial" w:eastAsia="Arial" w:hAnsi="Arial"/>
                <w:sz w:val="14"/>
                <w:szCs w:val="14"/>
                <w:b w:val="1"/>
                <w:bCs w:val="1"/>
                <w:color w:val="auto"/>
                <w:w w:val="93"/>
              </w:rPr>
              <w:t>Michael Strachan</w:t>
            </w:r>
          </w:p>
        </w:tc>
        <w:tc>
          <w:tcPr>
            <w:tcW w:w="24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20" w:type="dxa"/>
            <w:vAlign w:val="bottom"/>
          </w:tcPr>
          <w:p>
            <w:pPr>
              <w:spacing w:after="0"/>
              <w:rPr>
                <w:sz w:val="15"/>
                <w:szCs w:val="15"/>
                <w:color w:val="auto"/>
              </w:rPr>
            </w:pPr>
          </w:p>
        </w:tc>
      </w:tr>
      <w:tr>
        <w:trPr>
          <w:trHeight w:val="408"/>
        </w:trPr>
        <w:tc>
          <w:tcPr>
            <w:tcW w:w="1220" w:type="dxa"/>
            <w:vAlign w:val="bottom"/>
            <w:gridSpan w:val="2"/>
          </w:tcPr>
          <w:p>
            <w:pPr>
              <w:ind w:left="940"/>
              <w:spacing w:after="0"/>
              <w:rPr>
                <w:sz w:val="20"/>
                <w:szCs w:val="20"/>
                <w:color w:val="auto"/>
              </w:rPr>
            </w:pPr>
            <w:r>
              <w:rPr>
                <w:rFonts w:ascii="Arial" w:cs="Arial" w:eastAsia="Arial" w:hAnsi="Arial"/>
                <w:sz w:val="18"/>
                <w:szCs w:val="18"/>
                <w:color w:val="auto"/>
              </w:rPr>
              <w:t>/s/</w:t>
            </w:r>
          </w:p>
        </w:tc>
        <w:tc>
          <w:tcPr>
            <w:tcW w:w="2880" w:type="dxa"/>
            <w:vAlign w:val="bottom"/>
            <w:gridSpan w:val="4"/>
          </w:tcPr>
          <w:p>
            <w:pPr>
              <w:jc w:val="center"/>
              <w:ind w:right="1260"/>
              <w:spacing w:after="0"/>
              <w:rPr>
                <w:sz w:val="20"/>
                <w:szCs w:val="20"/>
                <w:color w:val="auto"/>
              </w:rPr>
            </w:pPr>
            <w:r>
              <w:rPr>
                <w:rFonts w:ascii="Arial" w:cs="Arial" w:eastAsia="Arial" w:hAnsi="Arial"/>
                <w:sz w:val="18"/>
                <w:szCs w:val="18"/>
                <w:color w:val="auto"/>
                <w:w w:val="94"/>
              </w:rPr>
              <w:t>ROBERT E. SWITZ</w:t>
            </w:r>
          </w:p>
        </w:tc>
        <w:tc>
          <w:tcPr>
            <w:tcW w:w="4700" w:type="dxa"/>
            <w:vAlign w:val="bottom"/>
            <w:gridSpan w:val="3"/>
          </w:tcPr>
          <w:p>
            <w:pPr>
              <w:jc w:val="center"/>
              <w:ind w:left="331"/>
              <w:spacing w:after="0"/>
              <w:rPr>
                <w:sz w:val="20"/>
                <w:szCs w:val="20"/>
                <w:color w:val="auto"/>
              </w:rPr>
            </w:pPr>
            <w:r>
              <w:rPr>
                <w:rFonts w:ascii="Arial" w:cs="Arial" w:eastAsia="Arial" w:hAnsi="Arial"/>
                <w:sz w:val="18"/>
                <w:szCs w:val="18"/>
                <w:color w:val="auto"/>
                <w:w w:val="95"/>
              </w:rPr>
              <w:t>Director</w:t>
            </w:r>
          </w:p>
        </w:tc>
        <w:tc>
          <w:tcPr>
            <w:tcW w:w="1940" w:type="dxa"/>
            <w:vAlign w:val="bottom"/>
            <w:gridSpan w:val="3"/>
          </w:tcPr>
          <w:p>
            <w:pPr>
              <w:jc w:val="center"/>
              <w:ind w:left="711"/>
              <w:spacing w:after="0"/>
              <w:rPr>
                <w:sz w:val="20"/>
                <w:szCs w:val="20"/>
                <w:color w:val="auto"/>
              </w:rPr>
            </w:pPr>
            <w:r>
              <w:rPr>
                <w:rFonts w:ascii="Arial" w:cs="Arial" w:eastAsia="Arial" w:hAnsi="Arial"/>
                <w:sz w:val="18"/>
                <w:szCs w:val="18"/>
                <w:color w:val="auto"/>
                <w:w w:val="91"/>
              </w:rPr>
              <w:t>March 29, 2019</w:t>
            </w:r>
          </w:p>
        </w:tc>
      </w:tr>
    </w:tbl>
    <w:p>
      <w:pPr>
        <w:spacing w:after="0" w:line="1" w:lineRule="exact"/>
        <w:rPr>
          <w:sz w:val="20"/>
          <w:szCs w:val="20"/>
          <w:color w:val="auto"/>
        </w:rPr>
      </w:pPr>
    </w:p>
    <w:p>
      <w:pPr>
        <w:sectPr>
          <w:pgSz w:w="11900" w:h="16838" w:orient="portrait"/>
          <w:cols w:equalWidth="0" w:num="1">
            <w:col w:w="10920"/>
          </w:cols>
          <w:pgMar w:left="440" w:top="270" w:right="539" w:bottom="1440" w:gutter="0" w:footer="0" w:header="0"/>
        </w:sectPr>
      </w:pPr>
    </w:p>
    <w:p>
      <w:pPr>
        <w:ind w:left="1580"/>
        <w:spacing w:after="0"/>
        <w:rPr>
          <w:sz w:val="20"/>
          <w:szCs w:val="20"/>
          <w:color w:val="auto"/>
        </w:rPr>
      </w:pPr>
      <w:r>
        <w:rPr>
          <w:rFonts w:ascii="Arial" w:cs="Arial" w:eastAsia="Arial" w:hAnsi="Arial"/>
          <w:sz w:val="13"/>
          <w:szCs w:val="13"/>
          <w:b w:val="1"/>
          <w:bCs w:val="1"/>
          <w:color w:val="auto"/>
        </w:rPr>
        <w:t>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-93980</wp:posOffset>
            </wp:positionV>
            <wp:extent cx="260731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extLst>
                    </a:blip>
                    <a:srcRect/>
                    <a:stretch>
                      <a:fillRect/>
                    </a:stretch>
                  </pic:blipFill>
                  <pic:spPr bwMode="auto">
                    <a:xfrm>
                      <a:off x="0" y="0"/>
                      <a:ext cx="2607310" cy="8890"/>
                    </a:xfrm>
                    <a:prstGeom prst="rect">
                      <a:avLst/>
                    </a:prstGeom>
                    <a:noFill/>
                  </pic:spPr>
                </pic:pic>
              </a:graphicData>
            </a:graphic>
          </wp:anchor>
        </w:drawing>
      </w:r>
    </w:p>
    <w:p>
      <w:pPr>
        <w:sectPr>
          <w:pgSz w:w="11900" w:h="16838" w:orient="portrait"/>
          <w:cols w:equalWidth="0" w:num="1">
            <w:col w:w="10920"/>
          </w:cols>
          <w:pgMar w:left="440" w:top="270" w:right="539"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 Office</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 (Bermuda)</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Tel +1 441 295 2244</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right"/>
        <w:spacing w:after="0" w:line="266" w:lineRule="auto"/>
        <w:rPr>
          <w:sz w:val="20"/>
          <w:szCs w:val="20"/>
          <w:color w:val="auto"/>
        </w:rPr>
      </w:pPr>
      <w:r>
        <w:rPr>
          <w:rFonts w:ascii="Arial" w:cs="Arial" w:eastAsia="Arial" w:hAnsi="Arial"/>
          <w:sz w:val="12"/>
          <w:szCs w:val="12"/>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20" w:type="dxa"/>
        <w:tblCellMar>
          <w:top w:w="0" w:type="dxa"/>
          <w:left w:w="0" w:type="dxa"/>
          <w:bottom w:w="0" w:type="dxa"/>
          <w:right w:w="0" w:type="dxa"/>
        </w:tblCellMar>
      </w:tblPr>
      <w:tr>
        <w:trPr>
          <w:trHeight w:val="234"/>
        </w:trPr>
        <w:tc>
          <w:tcPr>
            <w:tcW w:w="4220" w:type="dxa"/>
            <w:vAlign w:val="bottom"/>
          </w:tcPr>
          <w:p>
            <w:pPr>
              <w:spacing w:after="0"/>
              <w:rPr>
                <w:sz w:val="20"/>
                <w:szCs w:val="20"/>
                <w:color w:val="auto"/>
              </w:rPr>
            </w:pPr>
          </w:p>
        </w:tc>
        <w:tc>
          <w:tcPr>
            <w:tcW w:w="33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5"/>
        </w:trPr>
        <w:tc>
          <w:tcPr>
            <w:tcW w:w="422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36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c>
          <w:tcPr>
            <w:tcW w:w="0" w:type="dxa"/>
            <w:vAlign w:val="bottom"/>
          </w:tcPr>
          <w:p>
            <w:pPr>
              <w:spacing w:after="0"/>
              <w:rPr>
                <w:sz w:val="1"/>
                <w:szCs w:val="1"/>
                <w:color w:val="auto"/>
              </w:rPr>
            </w:pP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Canon’s Court</w:t>
            </w:r>
          </w:p>
        </w:tc>
        <w:tc>
          <w:tcPr>
            <w:tcW w:w="33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90"/>
              </w:rPr>
              <w:t>441 298 3559</w:t>
            </w:r>
          </w:p>
        </w:tc>
        <w:tc>
          <w:tcPr>
            <w:tcW w:w="0" w:type="dxa"/>
            <w:vAlign w:val="bottom"/>
          </w:tcPr>
          <w:p>
            <w:pPr>
              <w:spacing w:after="0"/>
              <w:rPr>
                <w:sz w:val="1"/>
                <w:szCs w:val="1"/>
                <w:color w:val="auto"/>
              </w:rPr>
            </w:pPr>
          </w:p>
        </w:tc>
      </w:tr>
      <w:tr>
        <w:trPr>
          <w:trHeight w:val="118"/>
        </w:trPr>
        <w:tc>
          <w:tcPr>
            <w:tcW w:w="4220" w:type="dxa"/>
            <w:vAlign w:val="bottom"/>
            <w:vMerge w:val="restart"/>
          </w:tcPr>
          <w:p>
            <w:pPr>
              <w:spacing w:after="0"/>
              <w:rPr>
                <w:sz w:val="20"/>
                <w:szCs w:val="20"/>
                <w:color w:val="auto"/>
              </w:rPr>
            </w:pPr>
            <w:r>
              <w:rPr>
                <w:rFonts w:ascii="Arial" w:cs="Arial" w:eastAsia="Arial" w:hAnsi="Arial"/>
                <w:sz w:val="18"/>
                <w:szCs w:val="18"/>
                <w:color w:val="auto"/>
              </w:rPr>
              <w:t>22 Victoria Street</w:t>
            </w:r>
          </w:p>
        </w:tc>
        <w:tc>
          <w:tcPr>
            <w:tcW w:w="334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9"/>
        </w:trPr>
        <w:tc>
          <w:tcPr>
            <w:tcW w:w="4220" w:type="dxa"/>
            <w:vAlign w:val="bottom"/>
            <w:vMerge w:val="continue"/>
          </w:tcPr>
          <w:p>
            <w:pPr>
              <w:spacing w:after="0"/>
              <w:rPr>
                <w:sz w:val="8"/>
                <w:szCs w:val="8"/>
                <w:color w:val="auto"/>
              </w:rPr>
            </w:pPr>
          </w:p>
        </w:tc>
        <w:tc>
          <w:tcPr>
            <w:tcW w:w="33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90"/>
              </w:rPr>
              <w:t>441 295 2244</w:t>
            </w:r>
          </w:p>
        </w:tc>
        <w:tc>
          <w:tcPr>
            <w:tcW w:w="0" w:type="dxa"/>
            <w:vAlign w:val="bottom"/>
          </w:tcPr>
          <w:p>
            <w:pPr>
              <w:spacing w:after="0"/>
              <w:rPr>
                <w:sz w:val="1"/>
                <w:szCs w:val="1"/>
                <w:color w:val="auto"/>
              </w:rPr>
            </w:pPr>
          </w:p>
        </w:tc>
      </w:tr>
      <w:tr>
        <w:trPr>
          <w:trHeight w:val="118"/>
        </w:trPr>
        <w:tc>
          <w:tcPr>
            <w:tcW w:w="4220" w:type="dxa"/>
            <w:vAlign w:val="bottom"/>
            <w:vMerge w:val="restart"/>
          </w:tcPr>
          <w:p>
            <w:pPr>
              <w:spacing w:after="0"/>
              <w:rPr>
                <w:sz w:val="20"/>
                <w:szCs w:val="20"/>
                <w:color w:val="auto"/>
              </w:rPr>
            </w:pPr>
            <w:r>
              <w:rPr>
                <w:rFonts w:ascii="Arial" w:cs="Arial" w:eastAsia="Arial" w:hAnsi="Arial"/>
                <w:sz w:val="18"/>
                <w:szCs w:val="18"/>
                <w:color w:val="auto"/>
              </w:rPr>
              <w:t>Hamilton HM 12</w:t>
            </w:r>
          </w:p>
        </w:tc>
        <w:tc>
          <w:tcPr>
            <w:tcW w:w="334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4220" w:type="dxa"/>
            <w:vAlign w:val="bottom"/>
            <w:vMerge w:val="continue"/>
          </w:tcPr>
          <w:p>
            <w:pPr>
              <w:spacing w:after="0"/>
              <w:rPr>
                <w:sz w:val="9"/>
                <w:szCs w:val="9"/>
                <w:color w:val="auto"/>
              </w:rPr>
            </w:pPr>
          </w:p>
        </w:tc>
        <w:tc>
          <w:tcPr>
            <w:tcW w:w="3340" w:type="dxa"/>
            <w:vAlign w:val="bottom"/>
          </w:tcPr>
          <w:p>
            <w:pPr>
              <w:jc w:val="right"/>
              <w:spacing w:after="0" w:line="114" w:lineRule="exact"/>
              <w:rPr>
                <w:sz w:val="20"/>
                <w:szCs w:val="20"/>
                <w:color w:val="auto"/>
              </w:rPr>
            </w:pPr>
            <w:r>
              <w:rPr>
                <w:rFonts w:ascii="Arial" w:cs="Arial" w:eastAsia="Arial" w:hAnsi="Arial"/>
                <w:sz w:val="13"/>
                <w:szCs w:val="13"/>
                <w:b w:val="1"/>
                <w:bCs w:val="1"/>
                <w:color w:val="auto"/>
              </w:rPr>
              <w:t xml:space="preserve">Fax </w:t>
            </w:r>
            <w:r>
              <w:rPr>
                <w:rFonts w:ascii="Arial" w:cs="Arial" w:eastAsia="Arial" w:hAnsi="Arial"/>
                <w:sz w:val="13"/>
                <w:szCs w:val="13"/>
                <w:color w:val="auto"/>
              </w:rPr>
              <w:t>+1</w:t>
            </w:r>
          </w:p>
        </w:tc>
        <w:tc>
          <w:tcPr>
            <w:tcW w:w="1020" w:type="dxa"/>
            <w:vAlign w:val="bottom"/>
          </w:tcPr>
          <w:p>
            <w:pPr>
              <w:jc w:val="right"/>
              <w:spacing w:after="0" w:line="114" w:lineRule="exact"/>
              <w:rPr>
                <w:sz w:val="20"/>
                <w:szCs w:val="20"/>
                <w:color w:val="auto"/>
              </w:rPr>
            </w:pPr>
            <w:r>
              <w:rPr>
                <w:rFonts w:ascii="Arial" w:cs="Arial" w:eastAsia="Arial" w:hAnsi="Arial"/>
                <w:sz w:val="13"/>
                <w:szCs w:val="13"/>
                <w:color w:val="auto"/>
              </w:rPr>
              <w:t>441 292 8666</w:t>
            </w:r>
          </w:p>
        </w:tc>
        <w:tc>
          <w:tcPr>
            <w:tcW w:w="0" w:type="dxa"/>
            <w:vAlign w:val="bottom"/>
          </w:tcPr>
          <w:p>
            <w:pPr>
              <w:spacing w:after="0"/>
              <w:rPr>
                <w:sz w:val="1"/>
                <w:szCs w:val="1"/>
                <w:color w:val="auto"/>
              </w:rPr>
            </w:pPr>
          </w:p>
        </w:tc>
      </w:tr>
    </w:tbl>
    <w:p>
      <w:pPr>
        <w:ind w:left="20"/>
        <w:spacing w:after="0"/>
        <w:rPr>
          <w:sz w:val="20"/>
          <w:szCs w:val="20"/>
          <w:color w:val="auto"/>
        </w:rPr>
      </w:pPr>
      <w:r>
        <w:rPr>
          <w:rFonts w:ascii="Arial" w:cs="Arial" w:eastAsia="Arial" w:hAnsi="Arial"/>
          <w:sz w:val="18"/>
          <w:szCs w:val="18"/>
          <w:color w:val="auto"/>
        </w:rPr>
        <w:t>Bermuda</w:t>
      </w:r>
    </w:p>
    <w:p>
      <w:pPr>
        <w:spacing w:after="0" w:line="1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Your Ref</w:t>
      </w:r>
    </w:p>
    <w:p>
      <w:pPr>
        <w:spacing w:after="0" w:line="13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124194.0046/JW</w:t>
      </w:r>
    </w:p>
    <w:p>
      <w:pPr>
        <w:spacing w:after="0" w:line="25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29 March 2019</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121"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8"/>
          <w:szCs w:val="18"/>
          <w:b w:val="1"/>
          <w:bCs w:val="1"/>
          <w:color w:val="auto"/>
        </w:rPr>
        <w:t>Registration</w:t>
      </w:r>
      <w:r>
        <w:rPr>
          <w:rFonts w:ascii="Arial" w:cs="Arial" w:eastAsia="Arial" w:hAnsi="Arial"/>
          <w:sz w:val="18"/>
          <w:szCs w:val="18"/>
          <w:color w:val="auto"/>
        </w:rPr>
        <w:t xml:space="preserve"> </w:t>
      </w:r>
      <w:r>
        <w:rPr>
          <w:rFonts w:ascii="Arial" w:cs="Arial" w:eastAsia="Arial" w:hAnsi="Arial"/>
          <w:sz w:val="18"/>
          <w:szCs w:val="18"/>
          <w:b w:val="1"/>
          <w:bCs w:val="1"/>
          <w:color w:val="auto"/>
        </w:rPr>
        <w:t>Statement</w:t>
      </w:r>
      <w:r>
        <w:rPr>
          <w:rFonts w:ascii="Arial" w:cs="Arial" w:eastAsia="Arial" w:hAnsi="Arial"/>
          <w:sz w:val="18"/>
          <w:szCs w:val="18"/>
          <w:color w:val="auto"/>
        </w:rPr>
        <w:t>) with respect to 8,000,000 common shares of par value USD0.002 per share in the Company (</w:t>
      </w:r>
      <w:r>
        <w:rPr>
          <w:rFonts w:ascii="Arial" w:cs="Arial" w:eastAsia="Arial" w:hAnsi="Arial"/>
          <w:sz w:val="18"/>
          <w:szCs w:val="18"/>
          <w:b w:val="1"/>
          <w:bCs w:val="1"/>
          <w:color w:val="auto"/>
        </w:rPr>
        <w:t>Common Shares</w:t>
      </w:r>
      <w:r>
        <w:rPr>
          <w:rFonts w:ascii="Arial" w:cs="Arial" w:eastAsia="Arial" w:hAnsi="Arial"/>
          <w:sz w:val="18"/>
          <w:szCs w:val="18"/>
          <w:color w:val="auto"/>
        </w:rPr>
        <w:t>) to be issued pursuant to the terms of the Marvell Technology Group Ltd. 2000 Employee Stock Purchase Plan</w:t>
      </w:r>
      <w:r>
        <w:rPr>
          <w:rFonts w:ascii="Arial" w:cs="Arial" w:eastAsia="Arial" w:hAnsi="Arial"/>
          <w:sz w:val="18"/>
          <w:szCs w:val="18"/>
          <w:b w:val="1"/>
          <w:bCs w:val="1"/>
          <w:color w:val="auto"/>
        </w:rPr>
        <w:t xml:space="preserve"> </w:t>
      </w:r>
      <w:r>
        <w:rPr>
          <w:rFonts w:ascii="Arial" w:cs="Arial" w:eastAsia="Arial" w:hAnsi="Arial"/>
          <w:sz w:val="18"/>
          <w:szCs w:val="18"/>
          <w:color w:val="auto"/>
        </w:rPr>
        <w:t>(as amended and restated as of October 31, 2011) (</w:t>
      </w:r>
      <w:r>
        <w:rPr>
          <w:rFonts w:ascii="Arial" w:cs="Arial" w:eastAsia="Arial" w:hAnsi="Arial"/>
          <w:sz w:val="18"/>
          <w:szCs w:val="18"/>
          <w:b w:val="1"/>
          <w:bCs w:val="1"/>
          <w:color w:val="auto"/>
        </w:rPr>
        <w:t>Plan</w:t>
      </w:r>
      <w:r>
        <w:rPr>
          <w:rFonts w:ascii="Arial" w:cs="Arial" w:eastAsia="Arial" w:hAnsi="Arial"/>
          <w:sz w:val="18"/>
          <w:szCs w:val="18"/>
          <w:color w:val="auto"/>
        </w:rPr>
        <w:t>).</w:t>
      </w:r>
    </w:p>
    <w:p>
      <w:pPr>
        <w:spacing w:after="0" w:line="188"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together with such other documentation as we have considered requisite to this opinion.</w:t>
      </w:r>
    </w:p>
    <w:p>
      <w:pPr>
        <w:spacing w:after="0" w:line="326" w:lineRule="exact"/>
        <w:rPr>
          <w:sz w:val="20"/>
          <w:szCs w:val="20"/>
          <w:color w:val="auto"/>
        </w:rPr>
      </w:pPr>
    </w:p>
    <w:p>
      <w:pPr>
        <w:ind w:left="460" w:hanging="452"/>
        <w:spacing w:after="0"/>
        <w:tabs>
          <w:tab w:leader="none" w:pos="46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460" w:right="420" w:hanging="458"/>
        <w:spacing w:after="0" w:line="286" w:lineRule="auto"/>
        <w:tabs>
          <w:tab w:leader="none" w:pos="44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7"/>
          <w:szCs w:val="17"/>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71"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131" w:lineRule="exact"/>
        <w:rPr>
          <w:sz w:val="20"/>
          <w:szCs w:val="20"/>
          <w:color w:val="auto"/>
        </w:rPr>
      </w:pPr>
    </w:p>
    <w:p>
      <w:pPr>
        <w:ind w:left="460" w:right="100" w:hanging="458"/>
        <w:spacing w:after="0" w:line="277" w:lineRule="auto"/>
        <w:tabs>
          <w:tab w:leader="none" w:pos="440" w:val="left"/>
        </w:tabs>
        <w:rPr>
          <w:sz w:val="20"/>
          <w:szCs w:val="20"/>
          <w:color w:val="auto"/>
        </w:rPr>
      </w:pPr>
      <w:r>
        <w:rPr>
          <w:rFonts w:ascii="Arial" w:cs="Arial" w:eastAsia="Arial" w:hAnsi="Arial"/>
          <w:sz w:val="18"/>
          <w:szCs w:val="18"/>
          <w:color w:val="auto"/>
        </w:rPr>
        <w:t>1.3</w:t>
        <w:tab/>
        <w:t>that each of the Documents and other such documentation which was received by electronic means is complete, intact and in conformity with the transmission as sent;</w:t>
      </w:r>
    </w:p>
    <w:p>
      <w:pPr>
        <w:spacing w:after="0" w:line="1913" w:lineRule="exact"/>
        <w:rPr>
          <w:sz w:val="20"/>
          <w:szCs w:val="20"/>
          <w:color w:val="auto"/>
        </w:rPr>
      </w:pPr>
    </w:p>
    <w:p>
      <w:pPr>
        <w:sectPr>
          <w:pgSz w:w="11900" w:h="16838" w:orient="portrait"/>
          <w:cols w:equalWidth="0" w:num="2">
            <w:col w:w="2040" w:space="320"/>
            <w:col w:w="8600"/>
          </w:cols>
          <w:pgMar w:left="500" w:top="175" w:right="439" w:bottom="1440" w:gutter="0" w:footer="0" w:header="0"/>
        </w:sectPr>
      </w:pPr>
    </w:p>
    <w:p>
      <w:pPr>
        <w:spacing w:after="0" w:line="44" w:lineRule="exact"/>
        <w:rPr>
          <w:sz w:val="20"/>
          <w:szCs w:val="20"/>
          <w:color w:val="auto"/>
        </w:rPr>
      </w:pPr>
    </w:p>
    <w:p>
      <w:pPr>
        <w:jc w:val="center"/>
        <w:ind w:right="60"/>
        <w:spacing w:after="0"/>
        <w:rPr>
          <w:sz w:val="20"/>
          <w:szCs w:val="20"/>
          <w:color w:val="auto"/>
        </w:rPr>
      </w:pPr>
      <w:r>
        <w:rPr>
          <w:rFonts w:ascii="Arial" w:cs="Arial" w:eastAsia="Arial" w:hAnsi="Arial"/>
          <w:sz w:val="10"/>
          <w:szCs w:val="10"/>
          <w:color w:val="auto"/>
        </w:rPr>
        <w:t>Bermuda ● British Virgin Islands ● Cayman Islands ● Guernsey ● Hong Kong ● Isle of Man ● Jersey ● London ● Mauritius ● Seychelles ● Shanghai ● Zurich</w:t>
      </w:r>
    </w:p>
    <w:p>
      <w:pPr>
        <w:sectPr>
          <w:pgSz w:w="11900" w:h="16838" w:orient="portrait"/>
          <w:cols w:equalWidth="0" w:num="1">
            <w:col w:w="10960"/>
          </w:cols>
          <w:pgMar w:left="500" w:top="175" w:right="439" w:bottom="1440" w:gutter="0" w:footer="0" w:header="0"/>
          <w:type w:val="continuous"/>
        </w:sectPr>
      </w:pPr>
    </w:p>
    <w:bookmarkStart w:id="4" w:name="page5"/>
    <w:bookmarkEnd w:id="4"/>
    <w:p>
      <w:pPr>
        <w:ind w:left="1880" w:right="60" w:hanging="458"/>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1.4</w:t>
        <w:tab/>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1880" w:right="460" w:hanging="458"/>
        <w:spacing w:after="0" w:line="342" w:lineRule="auto"/>
        <w:tabs>
          <w:tab w:leader="none" w:pos="186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6"/>
          <w:szCs w:val="16"/>
          <w:color w:val="auto"/>
        </w:rPr>
        <w:t>that all representations and factual statements appearing in the Registration Statement, the Plan and the Resolutions, other than as to the laws of Bermuda, are true, accurate and complete in all material respects;</w:t>
      </w:r>
    </w:p>
    <w:p>
      <w:pPr>
        <w:spacing w:after="0" w:line="29" w:lineRule="exact"/>
        <w:rPr>
          <w:sz w:val="20"/>
          <w:szCs w:val="20"/>
          <w:color w:val="auto"/>
        </w:rPr>
      </w:pPr>
    </w:p>
    <w:p>
      <w:pPr>
        <w:ind w:left="1880" w:hanging="458"/>
        <w:spacing w:after="0" w:line="270" w:lineRule="auto"/>
        <w:tabs>
          <w:tab w:leader="none" w:pos="186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7"/>
          <w:szCs w:val="17"/>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maintained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83" w:lineRule="exact"/>
        <w:rPr>
          <w:sz w:val="20"/>
          <w:szCs w:val="20"/>
          <w:color w:val="auto"/>
        </w:rPr>
      </w:pPr>
    </w:p>
    <w:p>
      <w:pPr>
        <w:ind w:left="1880" w:right="240" w:hanging="458"/>
        <w:spacing w:after="0" w:line="266" w:lineRule="auto"/>
        <w:tabs>
          <w:tab w:leader="none" w:pos="1860" w:val="left"/>
        </w:tabs>
        <w:rPr>
          <w:sz w:val="20"/>
          <w:szCs w:val="20"/>
          <w:color w:val="auto"/>
        </w:rPr>
      </w:pPr>
      <w:r>
        <w:rPr>
          <w:rFonts w:ascii="Arial" w:cs="Arial" w:eastAsia="Arial" w:hAnsi="Arial"/>
          <w:sz w:val="18"/>
          <w:szCs w:val="18"/>
          <w:color w:val="auto"/>
        </w:rPr>
        <w:t>1.7</w:t>
        <w:tab/>
        <w:t xml:space="preserve">that any purchase rights under the Plan relevant to this opinion (each a </w:t>
      </w:r>
      <w:r>
        <w:rPr>
          <w:rFonts w:ascii="Arial" w:cs="Arial" w:eastAsia="Arial" w:hAnsi="Arial"/>
          <w:sz w:val="18"/>
          <w:szCs w:val="18"/>
          <w:b w:val="1"/>
          <w:bCs w:val="1"/>
          <w:color w:val="auto"/>
        </w:rPr>
        <w:t>Purchase Right</w:t>
      </w:r>
      <w:r>
        <w:rPr>
          <w:rFonts w:ascii="Arial" w:cs="Arial" w:eastAsia="Arial" w:hAnsi="Arial"/>
          <w:sz w:val="18"/>
          <w:szCs w:val="18"/>
          <w:color w:val="auto"/>
        </w:rPr>
        <w:t xml:space="preserve"> and collectively, </w:t>
      </w:r>
      <w:r>
        <w:rPr>
          <w:rFonts w:ascii="Arial" w:cs="Arial" w:eastAsia="Arial" w:hAnsi="Arial"/>
          <w:sz w:val="18"/>
          <w:szCs w:val="18"/>
          <w:b w:val="1"/>
          <w:bCs w:val="1"/>
          <w:color w:val="auto"/>
        </w:rPr>
        <w:t>Purchase Rights</w:t>
      </w:r>
      <w:r>
        <w:rPr>
          <w:rFonts w:ascii="Arial" w:cs="Arial" w:eastAsia="Arial" w:hAnsi="Arial"/>
          <w:sz w:val="18"/>
          <w:szCs w:val="18"/>
          <w:color w:val="auto"/>
        </w:rPr>
        <w:t>) will constitute the legal, valid and binding obligations of the parties thereto, other than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w:t>
      </w:r>
    </w:p>
    <w:p>
      <w:pPr>
        <w:spacing w:after="0" w:line="86" w:lineRule="exact"/>
        <w:rPr>
          <w:sz w:val="20"/>
          <w:szCs w:val="20"/>
          <w:color w:val="auto"/>
        </w:rPr>
      </w:pPr>
    </w:p>
    <w:p>
      <w:pPr>
        <w:jc w:val="both"/>
        <w:ind w:left="1880" w:right="40" w:hanging="458"/>
        <w:spacing w:after="0" w:line="264" w:lineRule="auto"/>
        <w:tabs>
          <w:tab w:leader="none" w:pos="1860" w:val="left"/>
        </w:tabs>
        <w:rPr>
          <w:sz w:val="20"/>
          <w:szCs w:val="20"/>
          <w:color w:val="auto"/>
        </w:rPr>
      </w:pPr>
      <w:r>
        <w:rPr>
          <w:rFonts w:ascii="Arial" w:cs="Arial" w:eastAsia="Arial" w:hAnsi="Arial"/>
          <w:sz w:val="18"/>
          <w:szCs w:val="18"/>
          <w:color w:val="auto"/>
        </w:rPr>
        <w:t>1.8</w:t>
        <w:tab/>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87" w:lineRule="exact"/>
        <w:rPr>
          <w:sz w:val="20"/>
          <w:szCs w:val="20"/>
          <w:color w:val="auto"/>
        </w:rPr>
      </w:pPr>
    </w:p>
    <w:p>
      <w:pPr>
        <w:ind w:left="1880" w:right="100" w:hanging="458"/>
        <w:spacing w:after="0" w:line="264" w:lineRule="auto"/>
        <w:tabs>
          <w:tab w:leader="none" w:pos="1860" w:val="left"/>
        </w:tabs>
        <w:rPr>
          <w:sz w:val="20"/>
          <w:szCs w:val="20"/>
          <w:color w:val="auto"/>
        </w:rPr>
      </w:pPr>
      <w:r>
        <w:rPr>
          <w:rFonts w:ascii="Arial" w:cs="Arial" w:eastAsia="Arial" w:hAnsi="Arial"/>
          <w:sz w:val="18"/>
          <w:szCs w:val="18"/>
          <w:color w:val="auto"/>
        </w:rPr>
        <w:t>1.9</w:t>
        <w:tab/>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83" w:lineRule="exact"/>
        <w:rPr>
          <w:sz w:val="20"/>
          <w:szCs w:val="20"/>
          <w:color w:val="auto"/>
        </w:rPr>
      </w:pPr>
    </w:p>
    <w:p>
      <w:pPr>
        <w:ind w:left="1880" w:right="100" w:hanging="458"/>
        <w:spacing w:after="0" w:line="277" w:lineRule="auto"/>
        <w:tabs>
          <w:tab w:leader="none" w:pos="186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7"/>
          <w:szCs w:val="17"/>
          <w:color w:val="auto"/>
        </w:rPr>
        <w:t>that at the time of issue by the Executive Compensation Committee of the Board of Directors (</w:t>
      </w:r>
      <w:r>
        <w:rPr>
          <w:rFonts w:ascii="Arial" w:cs="Arial" w:eastAsia="Arial" w:hAnsi="Arial"/>
          <w:sz w:val="17"/>
          <w:szCs w:val="17"/>
          <w:b w:val="1"/>
          <w:bCs w:val="1"/>
          <w:color w:val="auto"/>
        </w:rPr>
        <w:t>Committee</w:t>
      </w:r>
      <w:r>
        <w:rPr>
          <w:rFonts w:ascii="Arial" w:cs="Arial" w:eastAsia="Arial" w:hAnsi="Arial"/>
          <w:sz w:val="17"/>
          <w:szCs w:val="17"/>
          <w:color w:val="auto"/>
        </w:rPr>
        <w:t>)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253"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9980"/>
          </w:cols>
          <w:pgMar w:left="1440" w:top="449" w:right="479" w:bottom="1440" w:gutter="0" w:footer="0" w:header="0"/>
        </w:sectPr>
      </w:pPr>
    </w:p>
    <w:bookmarkStart w:id="5" w:name="page6"/>
    <w:bookmarkEnd w:id="5"/>
    <w:p>
      <w:pPr>
        <w:ind w:left="1880" w:right="80" w:hanging="458"/>
        <w:spacing w:after="0" w:line="259"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1.11</w:t>
        <w:tab/>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1880" w:right="40" w:hanging="458"/>
        <w:spacing w:after="0" w:line="312" w:lineRule="auto"/>
        <w:tabs>
          <w:tab w:leader="none" w:pos="1860" w:val="left"/>
        </w:tabs>
        <w:rPr>
          <w:sz w:val="20"/>
          <w:szCs w:val="20"/>
          <w:color w:val="auto"/>
        </w:rPr>
      </w:pPr>
      <w:r>
        <w:rPr>
          <w:rFonts w:ascii="Arial" w:cs="Arial" w:eastAsia="Arial" w:hAnsi="Arial"/>
          <w:sz w:val="18"/>
          <w:szCs w:val="18"/>
          <w:color w:val="auto"/>
        </w:rPr>
        <w:t>1.12</w:t>
      </w:r>
      <w:r>
        <w:rPr>
          <w:sz w:val="20"/>
          <w:szCs w:val="20"/>
          <w:color w:val="auto"/>
        </w:rPr>
        <w:tab/>
      </w:r>
      <w:r>
        <w:rPr>
          <w:rFonts w:ascii="Arial" w:cs="Arial" w:eastAsia="Arial" w:hAnsi="Arial"/>
          <w:sz w:val="16"/>
          <w:szCs w:val="16"/>
          <w:color w:val="auto"/>
        </w:rPr>
        <w:t>that in any case where Common Shares are issued by the Company pursuant to the Plan on the terms of a Purchase Right, the Company will receive prior to the allotment of shares a transfer to it of an amount of cash at least equivalent to the aggregate par value of the Common Shares issued pursuant to that Purchase Right;</w:t>
      </w:r>
    </w:p>
    <w:p>
      <w:pPr>
        <w:spacing w:after="0" w:line="52" w:lineRule="exact"/>
        <w:rPr>
          <w:sz w:val="20"/>
          <w:szCs w:val="20"/>
          <w:color w:val="auto"/>
        </w:rPr>
      </w:pPr>
    </w:p>
    <w:p>
      <w:pPr>
        <w:ind w:left="1880" w:right="20" w:hanging="458"/>
        <w:spacing w:after="0" w:line="308" w:lineRule="auto"/>
        <w:tabs>
          <w:tab w:leader="none" w:pos="186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7"/>
          <w:szCs w:val="17"/>
          <w:color w:val="auto"/>
        </w:rPr>
        <w:t>that when filed with the United States Securities and Exchange Commission, the Registration Statement will not differ in any material respect from the electronic copy referred to in paragraph 1 of the Schedule;</w:t>
      </w:r>
    </w:p>
    <w:p>
      <w:pPr>
        <w:spacing w:after="0" w:line="52" w:lineRule="exact"/>
        <w:rPr>
          <w:sz w:val="20"/>
          <w:szCs w:val="20"/>
          <w:color w:val="auto"/>
        </w:rPr>
      </w:pPr>
    </w:p>
    <w:p>
      <w:pPr>
        <w:ind w:left="1880" w:right="60" w:hanging="458"/>
        <w:spacing w:after="0" w:line="286" w:lineRule="auto"/>
        <w:tabs>
          <w:tab w:leader="none" w:pos="186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7"/>
          <w:szCs w:val="17"/>
          <w:color w:val="auto"/>
        </w:rPr>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71" w:lineRule="exact"/>
        <w:rPr>
          <w:sz w:val="20"/>
          <w:szCs w:val="20"/>
          <w:color w:val="auto"/>
        </w:rPr>
      </w:pPr>
    </w:p>
    <w:p>
      <w:pPr>
        <w:ind w:left="1880" w:right="60" w:hanging="458"/>
        <w:spacing w:after="0" w:line="286" w:lineRule="auto"/>
        <w:tabs>
          <w:tab w:leader="none" w:pos="1860" w:val="left"/>
        </w:tabs>
        <w:rPr>
          <w:sz w:val="20"/>
          <w:szCs w:val="20"/>
          <w:color w:val="auto"/>
        </w:rPr>
      </w:pPr>
      <w:r>
        <w:rPr>
          <w:rFonts w:ascii="Arial" w:cs="Arial" w:eastAsia="Arial" w:hAnsi="Arial"/>
          <w:sz w:val="18"/>
          <w:szCs w:val="18"/>
          <w:color w:val="auto"/>
        </w:rPr>
        <w:t>1.15</w:t>
      </w:r>
      <w:r>
        <w:rPr>
          <w:sz w:val="20"/>
          <w:szCs w:val="20"/>
          <w:color w:val="auto"/>
        </w:rPr>
        <w:tab/>
      </w:r>
      <w:r>
        <w:rPr>
          <w:rFonts w:ascii="Arial" w:cs="Arial" w:eastAsia="Arial" w:hAnsi="Arial"/>
          <w:sz w:val="17"/>
          <w:szCs w:val="17"/>
          <w:color w:val="auto"/>
        </w:rPr>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310" w:lineRule="exact"/>
        <w:rPr>
          <w:sz w:val="20"/>
          <w:szCs w:val="20"/>
          <w:color w:val="auto"/>
        </w:rPr>
      </w:pPr>
    </w:p>
    <w:p>
      <w:pPr>
        <w:ind w:left="1880" w:hanging="452"/>
        <w:spacing w:after="0"/>
        <w:tabs>
          <w:tab w:leader="none" w:pos="1880"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1420" w:right="8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76" w:lineRule="exact"/>
        <w:rPr>
          <w:sz w:val="20"/>
          <w:szCs w:val="20"/>
          <w:color w:val="auto"/>
        </w:rPr>
      </w:pPr>
    </w:p>
    <w:p>
      <w:pPr>
        <w:jc w:val="both"/>
        <w:ind w:left="1880" w:right="240" w:hanging="458"/>
        <w:spacing w:after="0" w:line="264" w:lineRule="auto"/>
        <w:tabs>
          <w:tab w:leader="none" w:pos="1860"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7" w:lineRule="exact"/>
        <w:rPr>
          <w:sz w:val="20"/>
          <w:szCs w:val="20"/>
          <w:color w:val="auto"/>
        </w:rPr>
      </w:pPr>
    </w:p>
    <w:p>
      <w:pPr>
        <w:ind w:left="1880" w:hanging="458"/>
        <w:spacing w:after="0" w:line="302" w:lineRule="auto"/>
        <w:tabs>
          <w:tab w:leader="none" w:pos="1860" w:val="left"/>
        </w:tabs>
        <w:rPr>
          <w:sz w:val="20"/>
          <w:szCs w:val="20"/>
          <w:color w:val="auto"/>
        </w:rPr>
      </w:pPr>
      <w:r>
        <w:rPr>
          <w:rFonts w:ascii="Arial" w:cs="Arial" w:eastAsia="Arial" w:hAnsi="Arial"/>
          <w:sz w:val="18"/>
          <w:szCs w:val="18"/>
          <w:color w:val="auto"/>
        </w:rPr>
        <w:t>2.2</w:t>
      </w:r>
      <w:r>
        <w:rPr>
          <w:sz w:val="20"/>
          <w:szCs w:val="20"/>
          <w:color w:val="auto"/>
        </w:rPr>
        <w:tab/>
      </w:r>
      <w:r>
        <w:rPr>
          <w:rFonts w:ascii="Arial" w:cs="Arial" w:eastAsia="Arial" w:hAnsi="Arial"/>
          <w:sz w:val="16"/>
          <w:szCs w:val="16"/>
          <w:color w:val="auto"/>
        </w:rPr>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60" w:lineRule="exact"/>
        <w:rPr>
          <w:sz w:val="20"/>
          <w:szCs w:val="20"/>
          <w:color w:val="auto"/>
        </w:rPr>
      </w:pPr>
    </w:p>
    <w:p>
      <w:pPr>
        <w:ind w:left="1880" w:right="280" w:hanging="458"/>
        <w:spacing w:after="0" w:line="286" w:lineRule="auto"/>
        <w:tabs>
          <w:tab w:leader="none" w:pos="1860" w:val="left"/>
        </w:tabs>
        <w:rPr>
          <w:sz w:val="20"/>
          <w:szCs w:val="20"/>
          <w:color w:val="auto"/>
        </w:rPr>
      </w:pPr>
      <w:r>
        <w:rPr>
          <w:rFonts w:ascii="Arial" w:cs="Arial" w:eastAsia="Arial" w:hAnsi="Arial"/>
          <w:sz w:val="18"/>
          <w:szCs w:val="18"/>
          <w:color w:val="auto"/>
        </w:rPr>
        <w:t>2.3</w:t>
      </w:r>
      <w:r>
        <w:rPr>
          <w:sz w:val="20"/>
          <w:szCs w:val="20"/>
          <w:color w:val="auto"/>
        </w:rPr>
        <w:tab/>
      </w:r>
      <w:r>
        <w:rPr>
          <w:rFonts w:ascii="Arial" w:cs="Arial" w:eastAsia="Arial" w:hAnsi="Arial"/>
          <w:sz w:val="17"/>
          <w:szCs w:val="17"/>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24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000"/>
          </w:cols>
          <w:pgMar w:left="1440" w:top="449" w:right="459" w:bottom="1440" w:gutter="0" w:footer="0" w:header="0"/>
        </w:sectPr>
      </w:pPr>
    </w:p>
    <w:bookmarkStart w:id="6" w:name="page7"/>
    <w:bookmarkEnd w:id="6"/>
    <w:p>
      <w:pPr>
        <w:ind w:left="1880" w:right="400" w:hanging="458"/>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2.4</w:t>
        <w:tab/>
        <w:t>There are no taxes, duties or other charges payable to or chargeable by the Government of Bermuda, or any authority or agency thereof, in respect of the issue of the Common Shares.</w:t>
      </w:r>
    </w:p>
    <w:p>
      <w:pPr>
        <w:spacing w:after="0" w:line="315" w:lineRule="exact"/>
        <w:rPr>
          <w:sz w:val="20"/>
          <w:szCs w:val="20"/>
          <w:color w:val="auto"/>
        </w:rPr>
      </w:pPr>
    </w:p>
    <w:p>
      <w:pPr>
        <w:ind w:left="1880" w:hanging="452"/>
        <w:spacing w:after="0"/>
        <w:tabs>
          <w:tab w:leader="none" w:pos="1880"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jc w:val="both"/>
        <w:ind w:left="1880" w:right="100" w:hanging="458"/>
        <w:spacing w:after="0" w:line="286" w:lineRule="auto"/>
        <w:tabs>
          <w:tab w:leader="none" w:pos="186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7"/>
          <w:szCs w:val="17"/>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71" w:lineRule="exact"/>
        <w:rPr>
          <w:sz w:val="20"/>
          <w:szCs w:val="20"/>
          <w:color w:val="auto"/>
        </w:rPr>
      </w:pPr>
    </w:p>
    <w:p>
      <w:pPr>
        <w:ind w:left="1880" w:right="20" w:hanging="458"/>
        <w:spacing w:after="0" w:line="293" w:lineRule="auto"/>
        <w:tabs>
          <w:tab w:leader="none" w:pos="186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0" w:lineRule="exact"/>
        <w:rPr>
          <w:sz w:val="20"/>
          <w:szCs w:val="20"/>
          <w:color w:val="auto"/>
        </w:rPr>
      </w:pPr>
    </w:p>
    <w:p>
      <w:pPr>
        <w:ind w:left="1880" w:right="420" w:hanging="458"/>
        <w:spacing w:after="0" w:line="277" w:lineRule="auto"/>
        <w:tabs>
          <w:tab w:leader="none" w:pos="1860" w:val="left"/>
        </w:tabs>
        <w:rPr>
          <w:sz w:val="20"/>
          <w:szCs w:val="20"/>
          <w:color w:val="auto"/>
        </w:rPr>
      </w:pPr>
      <w:r>
        <w:rPr>
          <w:rFonts w:ascii="Arial" w:cs="Arial" w:eastAsia="Arial" w:hAnsi="Arial"/>
          <w:sz w:val="18"/>
          <w:szCs w:val="18"/>
          <w:color w:val="auto"/>
        </w:rPr>
        <w:t>3.3</w:t>
        <w:tab/>
        <w:t>Searches of the Register of Companies at the office of the Registrar of Companies are not conclusive and it should be noted that the Register of Companies does not reveal:</w:t>
      </w:r>
    </w:p>
    <w:p>
      <w:pPr>
        <w:spacing w:after="0" w:line="76" w:lineRule="exact"/>
        <w:rPr>
          <w:sz w:val="20"/>
          <w:szCs w:val="20"/>
          <w:color w:val="auto"/>
        </w:rPr>
      </w:pPr>
    </w:p>
    <w:p>
      <w:pPr>
        <w:ind w:left="2340" w:hanging="458"/>
        <w:spacing w:after="0" w:line="279" w:lineRule="auto"/>
        <w:rPr>
          <w:sz w:val="20"/>
          <w:szCs w:val="20"/>
          <w:color w:val="auto"/>
        </w:rPr>
      </w:pPr>
      <w:r>
        <w:rPr>
          <w:rFonts w:ascii="Arial" w:cs="Arial" w:eastAsia="Arial" w:hAnsi="Arial"/>
          <w:sz w:val="17"/>
          <w:szCs w:val="17"/>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77" w:lineRule="exact"/>
        <w:rPr>
          <w:sz w:val="20"/>
          <w:szCs w:val="20"/>
          <w:color w:val="auto"/>
        </w:rPr>
      </w:pPr>
    </w:p>
    <w:p>
      <w:pPr>
        <w:ind w:left="2340" w:right="20" w:hanging="458"/>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76" w:lineRule="exact"/>
        <w:rPr>
          <w:sz w:val="20"/>
          <w:szCs w:val="20"/>
          <w:color w:val="auto"/>
        </w:rPr>
      </w:pPr>
    </w:p>
    <w:p>
      <w:pPr>
        <w:ind w:left="1880" w:right="540" w:hanging="458"/>
        <w:spacing w:after="0" w:line="342" w:lineRule="auto"/>
        <w:tabs>
          <w:tab w:leader="none" w:pos="1860" w:val="left"/>
        </w:tabs>
        <w:rPr>
          <w:sz w:val="20"/>
          <w:szCs w:val="20"/>
          <w:color w:val="auto"/>
        </w:rPr>
      </w:pPr>
      <w:r>
        <w:rPr>
          <w:rFonts w:ascii="Arial" w:cs="Arial" w:eastAsia="Arial" w:hAnsi="Arial"/>
          <w:sz w:val="18"/>
          <w:szCs w:val="18"/>
          <w:color w:val="auto"/>
        </w:rPr>
        <w:t>3.4</w:t>
      </w:r>
      <w:r>
        <w:rPr>
          <w:sz w:val="20"/>
          <w:szCs w:val="20"/>
          <w:color w:val="auto"/>
        </w:rPr>
        <w:tab/>
      </w:r>
      <w:r>
        <w:rPr>
          <w:rFonts w:ascii="Arial" w:cs="Arial" w:eastAsia="Arial" w:hAnsi="Arial"/>
          <w:sz w:val="16"/>
          <w:szCs w:val="16"/>
          <w:color w:val="auto"/>
        </w:rPr>
        <w:t>In order to issue this opinion we have carried out the Searches as referred to in the Schedule and have not enquired as to whether there has been any change since the date and time of the Searches.</w:t>
      </w:r>
    </w:p>
    <w:p>
      <w:pPr>
        <w:spacing w:after="0" w:line="205"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4</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020"/>
          </w:cols>
          <w:pgMar w:left="1440" w:top="449" w:right="439" w:bottom="1440" w:gutter="0" w:footer="0" w:header="0"/>
        </w:sectPr>
      </w:pPr>
    </w:p>
    <w:bookmarkStart w:id="7" w:name="page8"/>
    <w:bookmarkEnd w:id="7"/>
    <w:p>
      <w:pPr>
        <w:ind w:left="1880" w:right="60" w:hanging="458"/>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3.5</w:t>
        <w:tab/>
        <w:t>In opinion paragraph 2.1 above the term “good standing” means that the Company has received a Certificate of Compliance issued by the Registrar of Companies.</w:t>
      </w:r>
    </w:p>
    <w:p>
      <w:pPr>
        <w:spacing w:after="0" w:line="315" w:lineRule="exact"/>
        <w:rPr>
          <w:sz w:val="20"/>
          <w:szCs w:val="20"/>
          <w:color w:val="auto"/>
        </w:rPr>
      </w:pPr>
    </w:p>
    <w:p>
      <w:pPr>
        <w:ind w:left="1880" w:hanging="452"/>
        <w:spacing w:after="0"/>
        <w:tabs>
          <w:tab w:leader="none" w:pos="188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1420" w:right="180"/>
        <w:spacing w:after="0" w:line="25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8" w:lineRule="exact"/>
        <w:rPr>
          <w:sz w:val="20"/>
          <w:szCs w:val="20"/>
          <w:color w:val="auto"/>
        </w:rPr>
      </w:pPr>
    </w:p>
    <w:p>
      <w:pPr>
        <w:ind w:left="142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1420"/>
        <w:spacing w:after="0"/>
        <w:rPr>
          <w:sz w:val="20"/>
          <w:szCs w:val="20"/>
          <w:color w:val="auto"/>
        </w:rPr>
      </w:pPr>
      <w:r>
        <w:rPr>
          <w:rFonts w:ascii="Arial" w:cs="Arial" w:eastAsia="Arial" w:hAnsi="Arial"/>
          <w:sz w:val="18"/>
          <w:szCs w:val="18"/>
          <w:b w:val="1"/>
          <w:bCs w:val="1"/>
          <w:color w:val="auto"/>
        </w:rPr>
        <w:t>Appleby (Bermuda) Limited</w:t>
      </w:r>
    </w:p>
    <w:p>
      <w:pPr>
        <w:spacing w:after="0" w:line="310"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5</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9960"/>
          </w:cols>
          <w:pgMar w:left="1440" w:top="449" w:right="499" w:bottom="1440" w:gutter="0" w:footer="0" w:header="0"/>
        </w:sectPr>
      </w:pPr>
    </w:p>
    <w:bookmarkStart w:id="8" w:name="page9"/>
    <w:bookmarkEnd w:id="8"/>
    <w:p>
      <w:pPr>
        <w:ind w:left="52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w:t>
      </w:r>
    </w:p>
    <w:p>
      <w:pPr>
        <w:spacing w:after="0" w:line="256" w:lineRule="exact"/>
        <w:rPr>
          <w:sz w:val="20"/>
          <w:szCs w:val="20"/>
          <w:color w:val="auto"/>
        </w:rPr>
      </w:pPr>
    </w:p>
    <w:p>
      <w:pPr>
        <w:ind w:left="1880" w:right="160" w:hanging="452"/>
        <w:spacing w:after="0" w:line="27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29 March 2019 (excluding the exhibits and excluding the documents incorporated by reference).</w:t>
      </w:r>
    </w:p>
    <w:p>
      <w:pPr>
        <w:spacing w:after="0" w:line="75" w:lineRule="exact"/>
        <w:rPr>
          <w:rFonts w:ascii="Arial" w:cs="Arial" w:eastAsia="Arial" w:hAnsi="Arial"/>
          <w:sz w:val="18"/>
          <w:szCs w:val="18"/>
          <w:color w:val="auto"/>
        </w:rPr>
      </w:pPr>
    </w:p>
    <w:p>
      <w:pPr>
        <w:ind w:left="1880" w:hanging="452"/>
        <w:spacing w:after="0" w:line="27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2000 Employee Stock Purchase Plan (as amended and restated as of 31 October 2011).</w:t>
      </w:r>
    </w:p>
    <w:p>
      <w:pPr>
        <w:spacing w:after="0" w:line="75" w:lineRule="exact"/>
        <w:rPr>
          <w:rFonts w:ascii="Arial" w:cs="Arial" w:eastAsia="Arial" w:hAnsi="Arial"/>
          <w:sz w:val="18"/>
          <w:szCs w:val="18"/>
          <w:color w:val="auto"/>
        </w:rPr>
      </w:pPr>
    </w:p>
    <w:p>
      <w:pPr>
        <w:ind w:left="1880" w:right="240" w:hanging="452"/>
        <w:spacing w:after="0" w:line="27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certified extract of the Minutes of the Meeting of the Board of Directors of the Company held on 25 March 2019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880" w:right="380" w:hanging="452"/>
        <w:spacing w:after="0" w:line="27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Certificate of Incumbency dated 26 March 2019 signed by Mitchell L. Gaynor, Chief Administration and Legal Officers and Secretary to the Company.</w:t>
      </w:r>
    </w:p>
    <w:p>
      <w:pPr>
        <w:spacing w:after="0" w:line="75" w:lineRule="exact"/>
        <w:rPr>
          <w:rFonts w:ascii="Arial" w:cs="Arial" w:eastAsia="Arial" w:hAnsi="Arial"/>
          <w:sz w:val="18"/>
          <w:szCs w:val="18"/>
          <w:color w:val="auto"/>
        </w:rPr>
      </w:pPr>
    </w:p>
    <w:p>
      <w:pPr>
        <w:ind w:left="1880" w:right="140" w:hanging="452"/>
        <w:spacing w:after="0" w:line="286" w:lineRule="auto"/>
        <w:tabs>
          <w:tab w:leader="none" w:pos="1880" w:val="left"/>
        </w:tabs>
        <w:numPr>
          <w:ilvl w:val="0"/>
          <w:numId w:val="6"/>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conducted on 28 March 2019 at 10:40 am (Bermuda time) (</w:t>
      </w:r>
      <w:r>
        <w:rPr>
          <w:rFonts w:ascii="Arial" w:cs="Arial" w:eastAsia="Arial" w:hAnsi="Arial"/>
          <w:sz w:val="17"/>
          <w:szCs w:val="17"/>
          <w:b w:val="1"/>
          <w:bCs w:val="1"/>
          <w:color w:val="auto"/>
        </w:rPr>
        <w:t>Company Search</w:t>
      </w:r>
      <w:r>
        <w:rPr>
          <w:rFonts w:ascii="Arial" w:cs="Arial" w:eastAsia="Arial" w:hAnsi="Arial"/>
          <w:sz w:val="17"/>
          <w:szCs w:val="17"/>
          <w:color w:val="auto"/>
        </w:rPr>
        <w:t>).</w:t>
      </w:r>
    </w:p>
    <w:p>
      <w:pPr>
        <w:spacing w:after="0" w:line="70" w:lineRule="exact"/>
        <w:rPr>
          <w:rFonts w:ascii="Arial" w:cs="Arial" w:eastAsia="Arial" w:hAnsi="Arial"/>
          <w:sz w:val="17"/>
          <w:szCs w:val="17"/>
          <w:color w:val="auto"/>
        </w:rPr>
      </w:pPr>
    </w:p>
    <w:p>
      <w:pPr>
        <w:ind w:left="1880" w:right="20" w:hanging="452"/>
        <w:spacing w:after="0" w:line="264"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and Judgment Book maintained at the Registry of the Supreme Court in Hamilton, Bermuda, as revealed by a search conducted on 28 March 2019 at 10:45 am (Bermuda time)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82" w:lineRule="exact"/>
        <w:rPr>
          <w:rFonts w:ascii="Arial" w:cs="Arial" w:eastAsia="Arial" w:hAnsi="Arial"/>
          <w:sz w:val="18"/>
          <w:szCs w:val="18"/>
          <w:color w:val="auto"/>
        </w:rPr>
      </w:pPr>
    </w:p>
    <w:p>
      <w:pPr>
        <w:ind w:left="1880"/>
        <w:spacing w:after="0"/>
        <w:rPr>
          <w:rFonts w:ascii="Arial" w:cs="Arial" w:eastAsia="Arial" w:hAnsi="Arial"/>
          <w:sz w:val="18"/>
          <w:szCs w:val="18"/>
          <w:color w:val="auto"/>
        </w:rPr>
      </w:pPr>
      <w:r>
        <w:rPr>
          <w:rFonts w:ascii="Arial" w:cs="Arial" w:eastAsia="Arial" w:hAnsi="Arial"/>
          <w:sz w:val="18"/>
          <w:szCs w:val="18"/>
          <w:color w:val="auto"/>
        </w:rPr>
        <w:t xml:space="preserve">(The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1880" w:right="140" w:hanging="452"/>
        <w:spacing w:after="0" w:line="264"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A certified copy of the Certificate of Incorporation, Memorandum of Association and the Fourth Amended and Restated Bye-laws of the Company adopted at the annual general meeting on 8 November 2016 (collectively referred to as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880" w:right="260" w:hanging="452"/>
        <w:spacing w:after="0" w:line="308" w:lineRule="auto"/>
        <w:tabs>
          <w:tab w:leader="none" w:pos="1880" w:val="left"/>
        </w:tabs>
        <w:numPr>
          <w:ilvl w:val="0"/>
          <w:numId w:val="6"/>
        </w:numPr>
        <w:rPr>
          <w:rFonts w:ascii="Arial" w:cs="Arial" w:eastAsia="Arial" w:hAnsi="Arial"/>
          <w:sz w:val="17"/>
          <w:szCs w:val="17"/>
          <w:color w:val="auto"/>
        </w:rPr>
      </w:pPr>
      <w:r>
        <w:rPr>
          <w:rFonts w:ascii="Arial" w:cs="Arial" w:eastAsia="Arial" w:hAnsi="Arial"/>
          <w:sz w:val="17"/>
          <w:szCs w:val="17"/>
          <w:color w:val="auto"/>
        </w:rPr>
        <w:t>A copy of the permission dated 31 May 2000 given by the Bermuda Monetary Authority under the Exchange Control Act 1972 and related regulations for the issue of shares in the capital of the Company.</w:t>
      </w:r>
    </w:p>
    <w:p>
      <w:pPr>
        <w:spacing w:after="0" w:line="51" w:lineRule="exact"/>
        <w:rPr>
          <w:rFonts w:ascii="Arial" w:cs="Arial" w:eastAsia="Arial" w:hAnsi="Arial"/>
          <w:sz w:val="17"/>
          <w:szCs w:val="17"/>
          <w:color w:val="auto"/>
        </w:rPr>
      </w:pPr>
    </w:p>
    <w:p>
      <w:pPr>
        <w:ind w:left="1880" w:right="260" w:hanging="452"/>
        <w:spacing w:after="0" w:line="257" w:lineRule="auto"/>
        <w:tabs>
          <w:tab w:leader="none" w:pos="18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26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6</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020"/>
          </w:cols>
          <w:pgMar w:left="1440" w:top="324" w:right="439" w:bottom="1440" w:gutter="0" w:footer="0" w:header="0"/>
        </w:sectPr>
      </w:pPr>
    </w:p>
    <w:bookmarkStart w:id="9" w:name="page10"/>
    <w:bookmarkEnd w:id="9"/>
    <w:p>
      <w:pPr>
        <w:ind w:left="1880" w:hanging="452"/>
        <w:spacing w:after="0"/>
        <w:tabs>
          <w:tab w:leader="none" w:pos="1880" w:val="left"/>
        </w:tabs>
        <w:numPr>
          <w:ilvl w:val="0"/>
          <w:numId w:val="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Certificate of Compliance issued by the Registrar of Companies and dated 28 March 2019.</w:t>
      </w:r>
    </w:p>
    <w:p>
      <w:pPr>
        <w:spacing w:after="0" w:line="153" w:lineRule="exact"/>
        <w:rPr>
          <w:rFonts w:ascii="Arial" w:cs="Arial" w:eastAsia="Arial" w:hAnsi="Arial"/>
          <w:sz w:val="16"/>
          <w:szCs w:val="16"/>
          <w:color w:val="auto"/>
        </w:rPr>
      </w:pPr>
    </w:p>
    <w:p>
      <w:pPr>
        <w:ind w:left="1880" w:hanging="452"/>
        <w:spacing w:after="0"/>
        <w:tabs>
          <w:tab w:leader="none" w:pos="188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25 March 2019.</w:t>
      </w:r>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30" w:lineRule="exact"/>
        <w:rPr>
          <w:sz w:val="20"/>
          <w:szCs w:val="20"/>
          <w:color w:val="auto"/>
        </w:rPr>
      </w:pPr>
    </w:p>
    <w:p>
      <w:pPr>
        <w:jc w:val="center"/>
        <w:spacing w:after="0"/>
        <w:rPr>
          <w:sz w:val="20"/>
          <w:szCs w:val="20"/>
          <w:color w:val="auto"/>
        </w:rPr>
      </w:pPr>
      <w:r>
        <w:rPr>
          <w:rFonts w:ascii="Arial" w:cs="Arial" w:eastAsia="Arial" w:hAnsi="Arial"/>
          <w:sz w:val="10"/>
          <w:szCs w:val="10"/>
          <w:color w:val="auto"/>
        </w:rPr>
        <w:t>Bermuda ● British Virgin Islands ● Cayman Islands ● Guernsey ● Hong Kong ● Isle of Man ● Jersey ● London ● Mauritius ● Seychelles ● Shanghai ● Zurich</w:t>
      </w:r>
    </w:p>
    <w:p>
      <w:pPr>
        <w:sectPr>
          <w:pgSz w:w="11900" w:h="16838" w:orient="portrait"/>
          <w:cols w:equalWidth="0" w:num="1">
            <w:col w:w="9019"/>
          </w:cols>
          <w:pgMar w:left="1440" w:top="449" w:right="1440"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jc w:val="both"/>
        <w:ind w:right="240"/>
        <w:spacing w:after="0" w:line="259" w:lineRule="auto"/>
        <w:rPr>
          <w:sz w:val="20"/>
          <w:szCs w:val="20"/>
          <w:color w:val="auto"/>
        </w:rPr>
      </w:pPr>
      <w:r>
        <w:rPr>
          <w:rFonts w:ascii="Arial" w:cs="Arial" w:eastAsia="Arial" w:hAnsi="Arial"/>
          <w:sz w:val="18"/>
          <w:szCs w:val="18"/>
          <w:color w:val="auto"/>
        </w:rPr>
        <w:t>We consent to the incorporation by reference in this Registration Statement on Form S-8 of our reports dated March 28, 2019, relating to the financial statements and financial statement schedule of Marvell Technology Group Ltd. and subsidiaries, and the effectiveness of Marvell Technology Group Ltd. and subsidiaries’ internal control over financial reporting, appearing in the Annual Report on Form 10-K of Marvell Technology Group Ltd. and subsidiaries for the year ended February 2, 2019.</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Deloitte &amp; Touche LLP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March 28, 2019</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1"/>
    </w:lvl>
  </w:abstractNum>
  <w:abstractNum w:abstractNumId="1">
    <w:nsid w:val="238E1F29"/>
    <w:multiLevelType w:val="hybridMultilevel"/>
    <w:lvl w:ilvl="0">
      <w:lvlJc w:val="left"/>
      <w:lvlText w:val="%1."/>
      <w:numFmt w:val="decimal"/>
      <w:start w:val="1"/>
    </w:lvl>
  </w:abstractNum>
  <w:abstractNum w:abstractNumId="2">
    <w:nsid w:val="46E87CCD"/>
    <w:multiLevelType w:val="hybridMultilevel"/>
    <w:lvl w:ilvl="0">
      <w:lvlJc w:val="left"/>
      <w:lvlText w:val="%1."/>
      <w:numFmt w:val="decimal"/>
      <w:start w:val="2"/>
    </w:lvl>
  </w:abstractNum>
  <w:abstractNum w:abstractNumId="3">
    <w:nsid w:val="3D1B58BA"/>
    <w:multiLevelType w:val="hybridMultilevel"/>
    <w:lvl w:ilvl="0">
      <w:lvlJc w:val="left"/>
      <w:lvlText w:val="%1."/>
      <w:numFmt w:val="decimal"/>
      <w:start w:val="3"/>
    </w:lvl>
  </w:abstractNum>
  <w:abstractNum w:abstractNumId="4">
    <w:nsid w:val="507ED7AB"/>
    <w:multiLevelType w:val="hybridMultilevel"/>
    <w:lvl w:ilvl="0">
      <w:lvlJc w:val="left"/>
      <w:lvlText w:val="%1."/>
      <w:numFmt w:val="decimal"/>
      <w:start w:val="4"/>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decimal"/>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29" Type="http://schemas.openxmlformats.org/officeDocument/2006/relationships/image" Target="media/image20.png"/><Relationship Id="rId19" Type="http://schemas.openxmlformats.org/officeDocument/2006/relationships/hyperlink" Target="http://www.sec.gov/Archives/edgar/data/1058057/000119312511327713/d242470dex101.htm" TargetMode="External"/><Relationship Id="rId20" Type="http://schemas.openxmlformats.org/officeDocument/2006/relationships/hyperlink" Target="http://www.sec.gov/Archives/edgar/data/1058057/000119312513134707/d469362dex10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2019-12-03T17:53:04Z</dcterms:created>
  <dcterms:modified xsi:type="dcterms:W3CDTF">2019-12-03T17:53:04Z</dcterms:modified>
</cp:coreProperties>
</file>