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27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27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79"/>
        <w:spacing w:after="0"/>
        <w:rPr>
          <w:sz w:val="20"/>
          <w:szCs w:val="20"/>
          <w:color w:val="auto"/>
        </w:rPr>
      </w:pPr>
      <w:r>
        <w:rPr>
          <w:rFonts w:ascii="Arial" w:cs="Arial" w:eastAsia="Arial" w:hAnsi="Arial"/>
          <w:sz w:val="22"/>
          <w:szCs w:val="22"/>
          <w:b w:val="1"/>
          <w:bCs w:val="1"/>
          <w:color w:val="auto"/>
        </w:rPr>
        <w:t>Pursuant to Section 13 or 15(d)</w:t>
      </w:r>
    </w:p>
    <w:p>
      <w:pPr>
        <w:jc w:val="center"/>
        <w:ind w:right="-27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2620"/>
        <w:spacing w:after="0"/>
        <w:rPr>
          <w:sz w:val="20"/>
          <w:szCs w:val="20"/>
          <w:color w:val="auto"/>
        </w:rPr>
      </w:pPr>
      <w:r>
        <w:rPr>
          <w:rFonts w:ascii="Arial" w:cs="Arial" w:eastAsia="Arial" w:hAnsi="Arial"/>
          <w:sz w:val="22"/>
          <w:szCs w:val="22"/>
          <w:b w:val="1"/>
          <w:bCs w:val="1"/>
          <w:color w:val="auto"/>
        </w:rPr>
        <w:t>Date of Report (Date of earliest event reported): April 10,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234315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27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7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1920"/>
          </w:cols>
          <w:pgMar w:left="440" w:top="368" w:right="719" w:bottom="1440" w:gutter="0" w:footer="0" w:header="0"/>
          <w:type w:val="continuous"/>
        </w:sectPr>
      </w:pPr>
    </w:p>
    <w:p>
      <w:pPr>
        <w:spacing w:after="0" w:line="12" w:lineRule="exact"/>
        <w:rPr>
          <w:sz w:val="24"/>
          <w:szCs w:val="24"/>
          <w:color w:val="auto"/>
        </w:rPr>
      </w:pPr>
    </w:p>
    <w:p>
      <w:pPr>
        <w:jc w:val="center"/>
        <w:ind w:right="740"/>
        <w:spacing w:after="0"/>
        <w:rPr>
          <w:sz w:val="20"/>
          <w:szCs w:val="20"/>
          <w:color w:val="auto"/>
        </w:rPr>
      </w:pPr>
      <w:r>
        <w:rPr>
          <w:rFonts w:ascii="Arial" w:cs="Arial" w:eastAsia="Arial" w:hAnsi="Arial"/>
          <w:sz w:val="13"/>
          <w:szCs w:val="13"/>
          <w:b w:val="1"/>
          <w:bCs w:val="1"/>
          <w:color w:val="auto"/>
        </w:rPr>
        <w:t>(State or other jurisdiction</w:t>
      </w: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0" w:space="720"/>
            <w:col w:w="2760" w:space="720"/>
            <w:col w:w="2040"/>
          </w:cols>
          <w:pgMar w:left="440" w:top="368" w:right="719" w:bottom="1440" w:gutter="0" w:footer="0" w:header="0"/>
          <w:type w:val="continuous"/>
        </w:sectPr>
      </w:pPr>
    </w:p>
    <w:p>
      <w:pPr>
        <w:spacing w:after="0" w:line="6"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9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9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9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73660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116205</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type w:val="continuous"/>
        </w:sectPr>
      </w:pPr>
    </w:p>
    <w:bookmarkStart w:id="1" w:name="page2"/>
    <w:bookmarkEnd w:id="1"/>
    <w:p>
      <w:pPr>
        <w:ind w:left="980" w:right="40" w:hanging="985"/>
        <w:spacing w:after="0" w:line="282" w:lineRule="auto"/>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tab/>
        <w:t>Departure of Directors or Certain Officers; Election of Directors; Appointment of Certain Officers; Compensatory Arrangements of Certain Officers.</w:t>
      </w:r>
    </w:p>
    <w:p>
      <w:pPr>
        <w:spacing w:after="0" w:line="54" w:lineRule="exact"/>
        <w:rPr>
          <w:sz w:val="20"/>
          <w:szCs w:val="20"/>
          <w:color w:val="auto"/>
        </w:rPr>
      </w:pPr>
    </w:p>
    <w:p>
      <w:pPr>
        <w:spacing w:after="0" w:line="291" w:lineRule="auto"/>
        <w:rPr>
          <w:sz w:val="20"/>
          <w:szCs w:val="20"/>
          <w:color w:val="auto"/>
        </w:rPr>
      </w:pPr>
      <w:r>
        <w:rPr>
          <w:rFonts w:ascii="Arial" w:cs="Arial" w:eastAsia="Arial" w:hAnsi="Arial"/>
          <w:sz w:val="16"/>
          <w:szCs w:val="16"/>
          <w:b w:val="1"/>
          <w:bCs w:val="1"/>
          <w:color w:val="auto"/>
        </w:rPr>
        <w:t>Executive Compensation</w:t>
      </w:r>
      <w:r>
        <w:rPr>
          <w:rFonts w:ascii="Arial" w:cs="Arial" w:eastAsia="Arial" w:hAnsi="Arial"/>
          <w:sz w:val="16"/>
          <w:szCs w:val="16"/>
          <w:color w:val="auto"/>
        </w:rPr>
        <w:t>. As part of its annual compensation process on April 10, 2019, the Executive Compensation Committee (the “Committee”) of</w:t>
      </w:r>
      <w:r>
        <w:rPr>
          <w:rFonts w:ascii="Arial" w:cs="Arial" w:eastAsia="Arial" w:hAnsi="Arial"/>
          <w:sz w:val="16"/>
          <w:szCs w:val="16"/>
          <w:b w:val="1"/>
          <w:bCs w:val="1"/>
          <w:color w:val="auto"/>
        </w:rPr>
        <w:t xml:space="preserve"> </w:t>
      </w:r>
      <w:r>
        <w:rPr>
          <w:rFonts w:ascii="Arial" w:cs="Arial" w:eastAsia="Arial" w:hAnsi="Arial"/>
          <w:sz w:val="16"/>
          <w:szCs w:val="16"/>
          <w:color w:val="auto"/>
        </w:rPr>
        <w:t>the Board of Directors of Marvell Technology Group Ltd. (the “Company”) determined the annual base salaries of certain of the Company’s named executive officers for fiscal year 2020. The Committee increased Mr. Murphy’s base salary by 12.5% to $900,000, which will align his base salary with the 50</w:t>
      </w:r>
      <w:r>
        <w:rPr>
          <w:rFonts w:ascii="Arial" w:cs="Arial" w:eastAsia="Arial" w:hAnsi="Arial"/>
          <w:sz w:val="13"/>
          <w:szCs w:val="13"/>
          <w:color w:val="auto"/>
        </w:rPr>
        <w:t>th</w:t>
      </w:r>
      <w:r>
        <w:rPr>
          <w:rFonts w:ascii="Arial" w:cs="Arial" w:eastAsia="Arial" w:hAnsi="Arial"/>
          <w:sz w:val="16"/>
          <w:szCs w:val="16"/>
          <w:color w:val="auto"/>
        </w:rPr>
        <w:t xml:space="preserve"> percentile of the peer group. The Committee determined that this adjustment was appropriate considering Mr. Murphy’s individual performance in the prior fiscal year and after a review of the relevant market data, which placed his prior salary at the 22</w:t>
      </w:r>
      <w:r>
        <w:rPr>
          <w:rFonts w:ascii="Arial" w:cs="Arial" w:eastAsia="Arial" w:hAnsi="Arial"/>
          <w:sz w:val="13"/>
          <w:szCs w:val="13"/>
          <w:color w:val="auto"/>
        </w:rPr>
        <w:t>nd</w:t>
      </w:r>
      <w:r>
        <w:rPr>
          <w:rFonts w:ascii="Arial" w:cs="Arial" w:eastAsia="Arial" w:hAnsi="Arial"/>
          <w:sz w:val="16"/>
          <w:szCs w:val="16"/>
          <w:color w:val="auto"/>
        </w:rPr>
        <w:t xml:space="preserve"> percentile of the peer group. The annual base salary changes are effective as of April 1, 2019. The Committee has also approved in March, 2019 the annual incentive payments under the Company’s Annual Incentive Plan for fiscal year 2019 for the named executive officers for the 2019 fiscal year. Based on the Company’s performance against its financial objectives, a bonus payout of 68% of the target was approved as set forth in the table below (in 000’s):</w:t>
      </w:r>
    </w:p>
    <w:p>
      <w:pPr>
        <w:spacing w:after="0" w:line="187" w:lineRule="exact"/>
        <w:rPr>
          <w:sz w:val="20"/>
          <w:szCs w:val="20"/>
          <w:color w:val="auto"/>
        </w:rPr>
      </w:pPr>
    </w:p>
    <w:tbl>
      <w:tblPr>
        <w:tblLayout w:type="fixed"/>
        <w:tblInd w:w="132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00" w:type="dxa"/>
            <w:vAlign w:val="bottom"/>
          </w:tcPr>
          <w:p>
            <w:pPr>
              <w:jc w:val="center"/>
              <w:spacing w:after="0"/>
              <w:rPr>
                <w:sz w:val="20"/>
                <w:szCs w:val="20"/>
                <w:color w:val="auto"/>
              </w:rPr>
            </w:pPr>
            <w:r>
              <w:rPr>
                <w:rFonts w:ascii="Arial" w:cs="Arial" w:eastAsia="Arial" w:hAnsi="Arial"/>
                <w:sz w:val="18"/>
                <w:szCs w:val="18"/>
                <w:b w:val="1"/>
                <w:bCs w:val="1"/>
                <w:color w:val="auto"/>
                <w:w w:val="97"/>
              </w:rPr>
              <w:t>FY19</w:t>
            </w:r>
          </w:p>
        </w:tc>
        <w:tc>
          <w:tcPr>
            <w:tcW w:w="4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580" w:type="dxa"/>
            <w:vAlign w:val="bottom"/>
          </w:tcPr>
          <w:p>
            <w:pPr>
              <w:jc w:val="right"/>
              <w:ind w:right="10"/>
              <w:spacing w:after="0"/>
              <w:rPr>
                <w:sz w:val="20"/>
                <w:szCs w:val="20"/>
                <w:color w:val="auto"/>
              </w:rPr>
            </w:pPr>
            <w:r>
              <w:rPr>
                <w:rFonts w:ascii="Arial" w:cs="Arial" w:eastAsia="Arial" w:hAnsi="Arial"/>
                <w:sz w:val="18"/>
                <w:szCs w:val="18"/>
                <w:b w:val="1"/>
                <w:bCs w:val="1"/>
                <w:color w:val="auto"/>
              </w:rPr>
              <w:t>FY20</w:t>
            </w:r>
          </w:p>
        </w:tc>
        <w:tc>
          <w:tcPr>
            <w:tcW w:w="440" w:type="dxa"/>
            <w:vAlign w:val="bottom"/>
          </w:tcPr>
          <w:p>
            <w:pPr>
              <w:spacing w:after="0"/>
              <w:rPr>
                <w:sz w:val="18"/>
                <w:szCs w:val="18"/>
                <w:color w:val="auto"/>
              </w:rPr>
            </w:pPr>
          </w:p>
        </w:tc>
        <w:tc>
          <w:tcPr>
            <w:tcW w:w="1100" w:type="dxa"/>
            <w:vAlign w:val="bottom"/>
            <w:gridSpan w:val="2"/>
          </w:tcPr>
          <w:p>
            <w:pPr>
              <w:jc w:val="center"/>
              <w:ind w:right="400"/>
              <w:spacing w:after="0"/>
              <w:rPr>
                <w:sz w:val="20"/>
                <w:szCs w:val="20"/>
                <w:color w:val="auto"/>
              </w:rPr>
            </w:pPr>
            <w:r>
              <w:rPr>
                <w:rFonts w:ascii="Arial" w:cs="Arial" w:eastAsia="Arial" w:hAnsi="Arial"/>
                <w:sz w:val="18"/>
                <w:szCs w:val="18"/>
                <w:b w:val="1"/>
                <w:bCs w:val="1"/>
                <w:color w:val="auto"/>
                <w:w w:val="97"/>
              </w:rPr>
              <w:t>FY20</w:t>
            </w:r>
          </w:p>
        </w:tc>
        <w:tc>
          <w:tcPr>
            <w:tcW w:w="700" w:type="dxa"/>
            <w:vAlign w:val="bottom"/>
          </w:tcPr>
          <w:p>
            <w:pPr>
              <w:jc w:val="center"/>
              <w:spacing w:after="0"/>
              <w:rPr>
                <w:sz w:val="20"/>
                <w:szCs w:val="20"/>
                <w:color w:val="auto"/>
              </w:rPr>
            </w:pPr>
            <w:r>
              <w:rPr>
                <w:rFonts w:ascii="Arial" w:cs="Arial" w:eastAsia="Arial" w:hAnsi="Arial"/>
                <w:sz w:val="18"/>
                <w:szCs w:val="18"/>
                <w:b w:val="1"/>
                <w:bCs w:val="1"/>
                <w:color w:val="auto"/>
                <w:w w:val="90"/>
              </w:rPr>
              <w:t>Target</w:t>
            </w:r>
          </w:p>
        </w:tc>
        <w:tc>
          <w:tcPr>
            <w:tcW w:w="440" w:type="dxa"/>
            <w:vAlign w:val="bottom"/>
          </w:tcPr>
          <w:p>
            <w:pPr>
              <w:spacing w:after="0"/>
              <w:rPr>
                <w:sz w:val="18"/>
                <w:szCs w:val="18"/>
                <w:color w:val="auto"/>
              </w:rPr>
            </w:pPr>
          </w:p>
        </w:tc>
        <w:tc>
          <w:tcPr>
            <w:tcW w:w="660" w:type="dxa"/>
            <w:vAlign w:val="bottom"/>
          </w:tcPr>
          <w:p>
            <w:pPr>
              <w:jc w:val="center"/>
              <w:spacing w:after="0"/>
              <w:rPr>
                <w:sz w:val="20"/>
                <w:szCs w:val="20"/>
                <w:color w:val="auto"/>
              </w:rPr>
            </w:pPr>
            <w:r>
              <w:rPr>
                <w:rFonts w:ascii="Arial" w:cs="Arial" w:eastAsia="Arial" w:hAnsi="Arial"/>
                <w:sz w:val="18"/>
                <w:szCs w:val="18"/>
                <w:b w:val="1"/>
                <w:bCs w:val="1"/>
                <w:color w:val="auto"/>
                <w:w w:val="97"/>
              </w:rPr>
              <w:t>FY19</w:t>
            </w:r>
          </w:p>
        </w:tc>
        <w:tc>
          <w:tcPr>
            <w:tcW w:w="380" w:type="dxa"/>
            <w:vAlign w:val="bottom"/>
          </w:tcPr>
          <w:p>
            <w:pPr>
              <w:spacing w:after="0"/>
              <w:rPr>
                <w:sz w:val="18"/>
                <w:szCs w:val="18"/>
                <w:color w:val="auto"/>
              </w:rPr>
            </w:pPr>
          </w:p>
        </w:tc>
        <w:tc>
          <w:tcPr>
            <w:tcW w:w="600" w:type="dxa"/>
            <w:vAlign w:val="bottom"/>
            <w:gridSpan w:val="2"/>
          </w:tcPr>
          <w:p>
            <w:pPr>
              <w:ind w:left="60"/>
              <w:spacing w:after="0"/>
              <w:rPr>
                <w:sz w:val="20"/>
                <w:szCs w:val="20"/>
                <w:color w:val="auto"/>
              </w:rPr>
            </w:pPr>
            <w:r>
              <w:rPr>
                <w:rFonts w:ascii="Arial" w:cs="Arial" w:eastAsia="Arial" w:hAnsi="Arial"/>
                <w:sz w:val="18"/>
                <w:szCs w:val="18"/>
                <w:b w:val="1"/>
                <w:bCs w:val="1"/>
                <w:color w:val="auto"/>
              </w:rPr>
              <w:t>FY19</w:t>
            </w:r>
          </w:p>
        </w:tc>
        <w:tc>
          <w:tcPr>
            <w:tcW w:w="0" w:type="dxa"/>
            <w:vAlign w:val="bottom"/>
          </w:tcPr>
          <w:p>
            <w:pPr>
              <w:spacing w:after="0"/>
              <w:rPr>
                <w:sz w:val="1"/>
                <w:szCs w:val="1"/>
                <w:color w:val="auto"/>
              </w:rPr>
            </w:pPr>
          </w:p>
        </w:tc>
      </w:tr>
      <w:tr>
        <w:trPr>
          <w:trHeight w:val="216"/>
        </w:trPr>
        <w:tc>
          <w:tcPr>
            <w:tcW w:w="242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Executives</w:t>
            </w:r>
          </w:p>
        </w:tc>
        <w:tc>
          <w:tcPr>
            <w:tcW w:w="1640" w:type="dxa"/>
            <w:vAlign w:val="bottom"/>
            <w:gridSpan w:val="2"/>
          </w:tcPr>
          <w:p>
            <w:pPr>
              <w:jc w:val="right"/>
              <w:spacing w:after="0"/>
              <w:rPr>
                <w:sz w:val="20"/>
                <w:szCs w:val="20"/>
                <w:color w:val="auto"/>
              </w:rPr>
            </w:pPr>
            <w:r>
              <w:rPr>
                <w:rFonts w:ascii="Arial" w:cs="Arial" w:eastAsia="Arial" w:hAnsi="Arial"/>
                <w:sz w:val="18"/>
                <w:szCs w:val="18"/>
                <w:b w:val="1"/>
                <w:bCs w:val="1"/>
                <w:color w:val="auto"/>
              </w:rPr>
              <w:t>Annual</w:t>
            </w:r>
          </w:p>
        </w:tc>
        <w:tc>
          <w:tcPr>
            <w:tcW w:w="154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Salary %</w:t>
            </w:r>
          </w:p>
        </w:tc>
        <w:tc>
          <w:tcPr>
            <w:tcW w:w="700" w:type="dxa"/>
            <w:vAlign w:val="bottom"/>
          </w:tcPr>
          <w:p>
            <w:pPr>
              <w:jc w:val="center"/>
              <w:spacing w:after="0"/>
              <w:rPr>
                <w:sz w:val="20"/>
                <w:szCs w:val="20"/>
                <w:color w:val="auto"/>
              </w:rPr>
            </w:pPr>
            <w:r>
              <w:rPr>
                <w:rFonts w:ascii="Arial" w:cs="Arial" w:eastAsia="Arial" w:hAnsi="Arial"/>
                <w:sz w:val="18"/>
                <w:szCs w:val="18"/>
                <w:b w:val="1"/>
                <w:bCs w:val="1"/>
                <w:color w:val="auto"/>
                <w:w w:val="91"/>
              </w:rPr>
              <w:t>Annual</w:t>
            </w:r>
          </w:p>
        </w:tc>
        <w:tc>
          <w:tcPr>
            <w:tcW w:w="1100" w:type="dxa"/>
            <w:vAlign w:val="bottom"/>
            <w:gridSpan w:val="2"/>
          </w:tcPr>
          <w:p>
            <w:pPr>
              <w:jc w:val="center"/>
              <w:ind w:left="330"/>
              <w:spacing w:after="0"/>
              <w:rPr>
                <w:sz w:val="20"/>
                <w:szCs w:val="20"/>
                <w:color w:val="auto"/>
              </w:rPr>
            </w:pPr>
            <w:r>
              <w:rPr>
                <w:rFonts w:ascii="Arial" w:cs="Arial" w:eastAsia="Arial" w:hAnsi="Arial"/>
                <w:sz w:val="18"/>
                <w:szCs w:val="18"/>
                <w:b w:val="1"/>
                <w:bCs w:val="1"/>
                <w:color w:val="auto"/>
                <w:w w:val="90"/>
              </w:rPr>
              <w:t>Funding</w:t>
            </w:r>
          </w:p>
        </w:tc>
        <w:tc>
          <w:tcPr>
            <w:tcW w:w="380" w:type="dxa"/>
            <w:vAlign w:val="bottom"/>
          </w:tcPr>
          <w:p>
            <w:pPr>
              <w:spacing w:after="0"/>
              <w:rPr>
                <w:sz w:val="18"/>
                <w:szCs w:val="18"/>
                <w:color w:val="auto"/>
              </w:rPr>
            </w:pPr>
          </w:p>
        </w:tc>
        <w:tc>
          <w:tcPr>
            <w:tcW w:w="600" w:type="dxa"/>
            <w:vAlign w:val="bottom"/>
            <w:gridSpan w:val="2"/>
          </w:tcPr>
          <w:p>
            <w:pPr>
              <w:ind w:left="20"/>
              <w:spacing w:after="0"/>
              <w:rPr>
                <w:sz w:val="20"/>
                <w:szCs w:val="20"/>
                <w:color w:val="auto"/>
              </w:rPr>
            </w:pPr>
            <w:r>
              <w:rPr>
                <w:rFonts w:ascii="Arial" w:cs="Arial" w:eastAsia="Arial" w:hAnsi="Arial"/>
                <w:sz w:val="18"/>
                <w:szCs w:val="18"/>
                <w:b w:val="1"/>
                <w:bCs w:val="1"/>
                <w:color w:val="auto"/>
              </w:rPr>
              <w:t>Actual</w:t>
            </w:r>
          </w:p>
        </w:tc>
        <w:tc>
          <w:tcPr>
            <w:tcW w:w="0" w:type="dxa"/>
            <w:vAlign w:val="bottom"/>
          </w:tcPr>
          <w:p>
            <w:pPr>
              <w:spacing w:after="0"/>
              <w:rPr>
                <w:sz w:val="1"/>
                <w:szCs w:val="1"/>
                <w:color w:val="auto"/>
              </w:rPr>
            </w:pPr>
          </w:p>
        </w:tc>
      </w:tr>
      <w:tr>
        <w:trPr>
          <w:trHeight w:val="221"/>
        </w:trPr>
        <w:tc>
          <w:tcPr>
            <w:tcW w:w="2420" w:type="dxa"/>
            <w:vAlign w:val="bottom"/>
            <w:gridSpan w:val="3"/>
            <w:vMerge w:val="continue"/>
          </w:tcPr>
          <w:p>
            <w:pPr>
              <w:spacing w:after="0"/>
              <w:rPr>
                <w:sz w:val="19"/>
                <w:szCs w:val="19"/>
                <w:color w:val="auto"/>
              </w:rPr>
            </w:pPr>
          </w:p>
        </w:tc>
        <w:tc>
          <w:tcPr>
            <w:tcW w:w="10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b w:val="1"/>
                <w:bCs w:val="1"/>
                <w:color w:val="auto"/>
                <w:w w:val="92"/>
              </w:rPr>
              <w:t>Salary</w:t>
            </w:r>
          </w:p>
        </w:tc>
        <w:tc>
          <w:tcPr>
            <w:tcW w:w="440" w:type="dxa"/>
            <w:vAlign w:val="bottom"/>
          </w:tcPr>
          <w:p>
            <w:pPr>
              <w:spacing w:after="0"/>
              <w:rPr>
                <w:sz w:val="19"/>
                <w:szCs w:val="19"/>
                <w:color w:val="auto"/>
              </w:rPr>
            </w:pPr>
          </w:p>
        </w:tc>
        <w:tc>
          <w:tcPr>
            <w:tcW w:w="1100" w:type="dxa"/>
            <w:vAlign w:val="bottom"/>
            <w:gridSpan w:val="2"/>
          </w:tcPr>
          <w:p>
            <w:pPr>
              <w:jc w:val="center"/>
              <w:ind w:right="380"/>
              <w:spacing w:after="0"/>
              <w:rPr>
                <w:sz w:val="20"/>
                <w:szCs w:val="20"/>
                <w:color w:val="auto"/>
              </w:rPr>
            </w:pPr>
            <w:r>
              <w:rPr>
                <w:rFonts w:ascii="Arial" w:cs="Arial" w:eastAsia="Arial" w:hAnsi="Arial"/>
                <w:sz w:val="18"/>
                <w:szCs w:val="18"/>
                <w:b w:val="1"/>
                <w:bCs w:val="1"/>
                <w:color w:val="auto"/>
                <w:w w:val="87"/>
              </w:rPr>
              <w:t>Increase</w:t>
            </w:r>
          </w:p>
        </w:tc>
        <w:tc>
          <w:tcPr>
            <w:tcW w:w="700" w:type="dxa"/>
            <w:vAlign w:val="bottom"/>
          </w:tcPr>
          <w:p>
            <w:pPr>
              <w:jc w:val="center"/>
              <w:spacing w:after="0"/>
              <w:rPr>
                <w:sz w:val="20"/>
                <w:szCs w:val="20"/>
                <w:color w:val="auto"/>
              </w:rPr>
            </w:pPr>
            <w:r>
              <w:rPr>
                <w:rFonts w:ascii="Arial" w:cs="Arial" w:eastAsia="Arial" w:hAnsi="Arial"/>
                <w:sz w:val="18"/>
                <w:szCs w:val="18"/>
                <w:b w:val="1"/>
                <w:bCs w:val="1"/>
                <w:color w:val="auto"/>
                <w:w w:val="85"/>
              </w:rPr>
              <w:t>Bonus</w:t>
            </w:r>
          </w:p>
        </w:tc>
        <w:tc>
          <w:tcPr>
            <w:tcW w:w="440" w:type="dxa"/>
            <w:vAlign w:val="bottom"/>
          </w:tcPr>
          <w:p>
            <w:pPr>
              <w:spacing w:after="0"/>
              <w:rPr>
                <w:sz w:val="19"/>
                <w:szCs w:val="19"/>
                <w:color w:val="auto"/>
              </w:rPr>
            </w:pPr>
          </w:p>
        </w:tc>
        <w:tc>
          <w:tcPr>
            <w:tcW w:w="660" w:type="dxa"/>
            <w:vAlign w:val="bottom"/>
          </w:tcPr>
          <w:p>
            <w:pPr>
              <w:jc w:val="center"/>
              <w:spacing w:after="0"/>
              <w:rPr>
                <w:sz w:val="20"/>
                <w:szCs w:val="20"/>
                <w:color w:val="auto"/>
              </w:rPr>
            </w:pPr>
            <w:r>
              <w:rPr>
                <w:rFonts w:ascii="Arial" w:cs="Arial" w:eastAsia="Arial" w:hAnsi="Arial"/>
                <w:sz w:val="18"/>
                <w:szCs w:val="18"/>
                <w:b w:val="1"/>
                <w:bCs w:val="1"/>
                <w:color w:val="auto"/>
                <w:w w:val="94"/>
              </w:rPr>
              <w:t>Factor</w:t>
            </w:r>
          </w:p>
        </w:tc>
        <w:tc>
          <w:tcPr>
            <w:tcW w:w="980" w:type="dxa"/>
            <w:vAlign w:val="bottom"/>
            <w:gridSpan w:val="3"/>
          </w:tcPr>
          <w:p>
            <w:pPr>
              <w:ind w:left="380"/>
              <w:spacing w:after="0"/>
              <w:rPr>
                <w:sz w:val="20"/>
                <w:szCs w:val="20"/>
                <w:color w:val="auto"/>
              </w:rPr>
            </w:pPr>
            <w:r>
              <w:rPr>
                <w:rFonts w:ascii="Arial" w:cs="Arial" w:eastAsia="Arial" w:hAnsi="Arial"/>
                <w:sz w:val="18"/>
                <w:szCs w:val="18"/>
                <w:b w:val="1"/>
                <w:bCs w:val="1"/>
                <w:color w:val="auto"/>
                <w:w w:val="96"/>
              </w:rPr>
              <w:t>Payout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 w:type="dxa"/>
            <w:vAlign w:val="bottom"/>
            <w:tcBorders>
              <w:bottom w:val="single" w:sz="8" w:color="CCEEFF"/>
            </w:tcBorders>
            <w:shd w:val="clear" w:color="auto" w:fill="000000"/>
          </w:tcPr>
          <w:p>
            <w:pPr>
              <w:spacing w:after="0" w:line="20" w:lineRule="exact"/>
              <w:rPr>
                <w:sz w:val="1"/>
                <w:szCs w:val="1"/>
                <w:color w:val="auto"/>
              </w:rPr>
            </w:pPr>
          </w:p>
        </w:tc>
        <w:tc>
          <w:tcPr>
            <w:tcW w:w="1580" w:type="dxa"/>
            <w:vAlign w:val="bottom"/>
            <w:tcBorders>
              <w:bottom w:val="single" w:sz="8" w:color="CCEEFF"/>
            </w:tcBorders>
          </w:tcPr>
          <w:p>
            <w:pPr>
              <w:spacing w:after="0" w:line="20" w:lineRule="exact"/>
              <w:rPr>
                <w:sz w:val="1"/>
                <w:szCs w:val="1"/>
                <w:color w:val="auto"/>
              </w:rPr>
            </w:pPr>
          </w:p>
        </w:tc>
        <w:tc>
          <w:tcPr>
            <w:tcW w:w="106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240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b w:val="1"/>
                <w:bCs w:val="1"/>
                <w:color w:val="auto"/>
              </w:rPr>
              <w:t>Matthew Murphy</w:t>
            </w:r>
          </w:p>
        </w:tc>
        <w:tc>
          <w:tcPr>
            <w:tcW w:w="10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$900</w:t>
            </w:r>
          </w:p>
        </w:tc>
        <w:tc>
          <w:tcPr>
            <w:tcW w:w="440" w:type="dxa"/>
            <w:vAlign w:val="bottom"/>
            <w:shd w:val="clear" w:color="auto" w:fill="CCEEFF"/>
          </w:tcPr>
          <w:p>
            <w:pPr>
              <w:spacing w:after="0"/>
              <w:rPr>
                <w:sz w:val="17"/>
                <w:szCs w:val="17"/>
                <w:color w:val="auto"/>
              </w:rPr>
            </w:pPr>
          </w:p>
        </w:tc>
        <w:tc>
          <w:tcPr>
            <w:tcW w:w="72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90"/>
              </w:rPr>
              <w:t>12.5%</w:t>
            </w:r>
          </w:p>
        </w:tc>
        <w:tc>
          <w:tcPr>
            <w:tcW w:w="38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$1,200.0</w:t>
            </w:r>
          </w:p>
        </w:tc>
        <w:tc>
          <w:tcPr>
            <w:tcW w:w="4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68%</w:t>
            </w:r>
          </w:p>
        </w:tc>
        <w:tc>
          <w:tcPr>
            <w:tcW w:w="380" w:type="dxa"/>
            <w:vAlign w:val="bottom"/>
            <w:shd w:val="clear" w:color="auto" w:fill="CCEEFF"/>
          </w:tcPr>
          <w:p>
            <w:pPr>
              <w:spacing w:after="0"/>
              <w:rPr>
                <w:sz w:val="17"/>
                <w:szCs w:val="17"/>
                <w:color w:val="auto"/>
              </w:rPr>
            </w:pPr>
          </w:p>
        </w:tc>
        <w:tc>
          <w:tcPr>
            <w:tcW w:w="5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w w:val="87"/>
              </w:rPr>
              <w:t>$816.0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00" w:type="dxa"/>
            <w:vAlign w:val="bottom"/>
            <w:gridSpan w:val="2"/>
          </w:tcPr>
          <w:p>
            <w:pPr>
              <w:spacing w:after="0"/>
              <w:rPr>
                <w:sz w:val="20"/>
                <w:szCs w:val="20"/>
                <w:color w:val="auto"/>
              </w:rPr>
            </w:pPr>
            <w:r>
              <w:rPr>
                <w:rFonts w:ascii="Arial" w:cs="Arial" w:eastAsia="Arial" w:hAnsi="Arial"/>
                <w:sz w:val="18"/>
                <w:szCs w:val="18"/>
                <w:b w:val="1"/>
                <w:bCs w:val="1"/>
                <w:color w:val="auto"/>
              </w:rPr>
              <w:t>Jean Hu</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$500</w:t>
            </w:r>
          </w:p>
        </w:tc>
        <w:tc>
          <w:tcPr>
            <w:tcW w:w="1160" w:type="dxa"/>
            <w:vAlign w:val="bottom"/>
            <w:gridSpan w:val="2"/>
          </w:tcPr>
          <w:p>
            <w:pPr>
              <w:jc w:val="center"/>
              <w:ind w:left="350"/>
              <w:spacing w:after="0"/>
              <w:rPr>
                <w:sz w:val="20"/>
                <w:szCs w:val="20"/>
                <w:color w:val="auto"/>
              </w:rPr>
            </w:pPr>
            <w:r>
              <w:rPr>
                <w:rFonts w:ascii="Arial" w:cs="Arial" w:eastAsia="Arial" w:hAnsi="Arial"/>
                <w:sz w:val="18"/>
                <w:szCs w:val="18"/>
                <w:color w:val="auto"/>
                <w:w w:val="92"/>
              </w:rPr>
              <w:t>4%</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$480.0</w:t>
            </w:r>
          </w:p>
        </w:tc>
        <w:tc>
          <w:tcPr>
            <w:tcW w:w="1100" w:type="dxa"/>
            <w:vAlign w:val="bottom"/>
            <w:gridSpan w:val="2"/>
          </w:tcPr>
          <w:p>
            <w:pPr>
              <w:jc w:val="center"/>
              <w:ind w:left="330"/>
              <w:spacing w:after="0"/>
              <w:rPr>
                <w:sz w:val="20"/>
                <w:szCs w:val="20"/>
                <w:color w:val="auto"/>
              </w:rPr>
            </w:pPr>
            <w:r>
              <w:rPr>
                <w:rFonts w:ascii="Arial" w:cs="Arial" w:eastAsia="Arial" w:hAnsi="Arial"/>
                <w:sz w:val="18"/>
                <w:szCs w:val="18"/>
                <w:color w:val="auto"/>
                <w:w w:val="88"/>
              </w:rPr>
              <w:t>68%</w:t>
            </w:r>
          </w:p>
        </w:tc>
        <w:tc>
          <w:tcPr>
            <w:tcW w:w="940" w:type="dxa"/>
            <w:vAlign w:val="bottom"/>
            <w:gridSpan w:val="2"/>
          </w:tcPr>
          <w:p>
            <w:pPr>
              <w:ind w:left="440"/>
              <w:spacing w:after="0"/>
              <w:rPr>
                <w:sz w:val="20"/>
                <w:szCs w:val="20"/>
                <w:color w:val="auto"/>
              </w:rPr>
            </w:pPr>
            <w:r>
              <w:rPr>
                <w:rFonts w:ascii="Arial" w:cs="Arial" w:eastAsia="Arial" w:hAnsi="Arial"/>
                <w:sz w:val="18"/>
                <w:szCs w:val="18"/>
                <w:color w:val="auto"/>
                <w:w w:val="87"/>
              </w:rPr>
              <w:t>$326.4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Neil Kim</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160" w:type="dxa"/>
            <w:vAlign w:val="bottom"/>
            <w:gridSpan w:val="2"/>
            <w:shd w:val="clear" w:color="auto" w:fill="CCEEFF"/>
          </w:tcPr>
          <w:p>
            <w:pPr>
              <w:jc w:val="center"/>
              <w:ind w:left="350"/>
              <w:spacing w:after="0"/>
              <w:rPr>
                <w:sz w:val="20"/>
                <w:szCs w:val="20"/>
                <w:color w:val="auto"/>
              </w:rPr>
            </w:pPr>
            <w:r>
              <w:rPr>
                <w:rFonts w:ascii="Arial" w:cs="Arial" w:eastAsia="Arial" w:hAnsi="Arial"/>
                <w:sz w:val="18"/>
                <w:szCs w:val="18"/>
                <w:color w:val="auto"/>
                <w:w w:val="92"/>
              </w:rPr>
              <w:t>0%</w:t>
            </w: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1100" w:type="dxa"/>
            <w:vAlign w:val="bottom"/>
            <w:gridSpan w:val="2"/>
            <w:shd w:val="clear" w:color="auto" w:fill="CCEEFF"/>
          </w:tcPr>
          <w:p>
            <w:pPr>
              <w:jc w:val="center"/>
              <w:ind w:left="330"/>
              <w:spacing w:after="0"/>
              <w:rPr>
                <w:sz w:val="20"/>
                <w:szCs w:val="20"/>
                <w:color w:val="auto"/>
              </w:rPr>
            </w:pPr>
            <w:r>
              <w:rPr>
                <w:rFonts w:ascii="Arial" w:cs="Arial" w:eastAsia="Arial" w:hAnsi="Arial"/>
                <w:sz w:val="18"/>
                <w:szCs w:val="18"/>
                <w:color w:val="auto"/>
                <w:w w:val="88"/>
              </w:rPr>
              <w:t>68%</w:t>
            </w: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87"/>
              </w:rPr>
              <w:t>$229.5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00" w:type="dxa"/>
            <w:vAlign w:val="bottom"/>
            <w:gridSpan w:val="2"/>
          </w:tcPr>
          <w:p>
            <w:pPr>
              <w:spacing w:after="0"/>
              <w:rPr>
                <w:sz w:val="20"/>
                <w:szCs w:val="20"/>
                <w:color w:val="auto"/>
              </w:rPr>
            </w:pPr>
            <w:r>
              <w:rPr>
                <w:rFonts w:ascii="Arial" w:cs="Arial" w:eastAsia="Arial" w:hAnsi="Arial"/>
                <w:sz w:val="18"/>
                <w:szCs w:val="18"/>
                <w:b w:val="1"/>
                <w:bCs w:val="1"/>
                <w:color w:val="auto"/>
              </w:rPr>
              <w:t>Mitchell Gaynor</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$480</w:t>
            </w:r>
          </w:p>
        </w:tc>
        <w:tc>
          <w:tcPr>
            <w:tcW w:w="1160" w:type="dxa"/>
            <w:vAlign w:val="bottom"/>
            <w:gridSpan w:val="2"/>
          </w:tcPr>
          <w:p>
            <w:pPr>
              <w:jc w:val="center"/>
              <w:ind w:left="350"/>
              <w:spacing w:after="0"/>
              <w:rPr>
                <w:sz w:val="20"/>
                <w:szCs w:val="20"/>
                <w:color w:val="auto"/>
              </w:rPr>
            </w:pPr>
            <w:r>
              <w:rPr>
                <w:rFonts w:ascii="Arial" w:cs="Arial" w:eastAsia="Arial" w:hAnsi="Arial"/>
                <w:sz w:val="18"/>
                <w:szCs w:val="18"/>
                <w:color w:val="auto"/>
                <w:w w:val="92"/>
              </w:rPr>
              <w:t>2%</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$352.5</w:t>
            </w:r>
          </w:p>
        </w:tc>
        <w:tc>
          <w:tcPr>
            <w:tcW w:w="1100" w:type="dxa"/>
            <w:vAlign w:val="bottom"/>
            <w:gridSpan w:val="2"/>
          </w:tcPr>
          <w:p>
            <w:pPr>
              <w:jc w:val="center"/>
              <w:ind w:left="330"/>
              <w:spacing w:after="0"/>
              <w:rPr>
                <w:sz w:val="20"/>
                <w:szCs w:val="20"/>
                <w:color w:val="auto"/>
              </w:rPr>
            </w:pPr>
            <w:r>
              <w:rPr>
                <w:rFonts w:ascii="Arial" w:cs="Arial" w:eastAsia="Arial" w:hAnsi="Arial"/>
                <w:sz w:val="18"/>
                <w:szCs w:val="18"/>
                <w:color w:val="auto"/>
                <w:w w:val="88"/>
              </w:rPr>
              <w:t>68%</w:t>
            </w:r>
          </w:p>
        </w:tc>
        <w:tc>
          <w:tcPr>
            <w:tcW w:w="940" w:type="dxa"/>
            <w:vAlign w:val="bottom"/>
            <w:gridSpan w:val="2"/>
          </w:tcPr>
          <w:p>
            <w:pPr>
              <w:ind w:left="440"/>
              <w:spacing w:after="0"/>
              <w:rPr>
                <w:sz w:val="20"/>
                <w:szCs w:val="20"/>
                <w:color w:val="auto"/>
              </w:rPr>
            </w:pPr>
            <w:r>
              <w:rPr>
                <w:rFonts w:ascii="Arial" w:cs="Arial" w:eastAsia="Arial" w:hAnsi="Arial"/>
                <w:sz w:val="18"/>
                <w:szCs w:val="18"/>
                <w:color w:val="auto"/>
                <w:w w:val="87"/>
              </w:rPr>
              <w:t>$239.7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Thomas Lagatta</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160" w:type="dxa"/>
            <w:vAlign w:val="bottom"/>
            <w:gridSpan w:val="2"/>
            <w:shd w:val="clear" w:color="auto" w:fill="CCEEFF"/>
          </w:tcPr>
          <w:p>
            <w:pPr>
              <w:jc w:val="center"/>
              <w:ind w:left="350"/>
              <w:spacing w:after="0"/>
              <w:rPr>
                <w:sz w:val="20"/>
                <w:szCs w:val="20"/>
                <w:color w:val="auto"/>
              </w:rPr>
            </w:pPr>
            <w:r>
              <w:rPr>
                <w:rFonts w:ascii="Arial" w:cs="Arial" w:eastAsia="Arial" w:hAnsi="Arial"/>
                <w:sz w:val="18"/>
                <w:szCs w:val="18"/>
                <w:color w:val="auto"/>
                <w:w w:val="92"/>
              </w:rPr>
              <w:t>0%</w:t>
            </w:r>
          </w:p>
        </w:tc>
        <w:tc>
          <w:tcPr>
            <w:tcW w:w="3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1100" w:type="dxa"/>
            <w:vAlign w:val="bottom"/>
            <w:gridSpan w:val="2"/>
            <w:shd w:val="clear" w:color="auto" w:fill="CCEEFF"/>
          </w:tcPr>
          <w:p>
            <w:pPr>
              <w:jc w:val="center"/>
              <w:ind w:left="330"/>
              <w:spacing w:after="0"/>
              <w:rPr>
                <w:sz w:val="20"/>
                <w:szCs w:val="20"/>
                <w:color w:val="auto"/>
              </w:rPr>
            </w:pPr>
            <w:r>
              <w:rPr>
                <w:rFonts w:ascii="Arial" w:cs="Arial" w:eastAsia="Arial" w:hAnsi="Arial"/>
                <w:sz w:val="18"/>
                <w:szCs w:val="18"/>
                <w:color w:val="auto"/>
                <w:w w:val="88"/>
              </w:rPr>
              <w:t>68%</w:t>
            </w: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87"/>
              </w:rPr>
              <w:t>$229.5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b w:val="1"/>
          <w:bCs w:val="1"/>
          <w:color w:val="auto"/>
        </w:rPr>
        <w:t>FY20 Equity Compensation</w:t>
      </w:r>
      <w:r>
        <w:rPr>
          <w:rFonts w:ascii="Arial" w:cs="Arial" w:eastAsia="Arial" w:hAnsi="Arial"/>
          <w:sz w:val="17"/>
          <w:szCs w:val="17"/>
          <w:color w:val="auto"/>
        </w:rPr>
        <w:t>. In addition to granting executive officers time-based restricted stock awards and awards based on the Company’s relative</w:t>
      </w:r>
      <w:r>
        <w:rPr>
          <w:rFonts w:ascii="Arial" w:cs="Arial" w:eastAsia="Arial" w:hAnsi="Arial"/>
          <w:sz w:val="17"/>
          <w:szCs w:val="17"/>
          <w:b w:val="1"/>
          <w:bCs w:val="1"/>
          <w:color w:val="auto"/>
        </w:rPr>
        <w:t xml:space="preserve"> </w:t>
      </w:r>
      <w:r>
        <w:rPr>
          <w:rFonts w:ascii="Arial" w:cs="Arial" w:eastAsia="Arial" w:hAnsi="Arial"/>
          <w:sz w:val="17"/>
          <w:szCs w:val="17"/>
          <w:color w:val="auto"/>
        </w:rPr>
        <w:t>total shareholder return, the Committee granted certain executives and employees Value Creation Awards that have been designed to provide them with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ectPr>
          <w:pgSz w:w="11900" w:h="16838" w:orient="portrait"/>
          <w:cols w:equalWidth="0" w:num="1">
            <w:col w:w="11000"/>
          </w:cols>
          <w:pgMar w:left="440" w:top="270" w:right="459" w:bottom="1440" w:gutter="0" w:footer="0" w:header="0"/>
        </w:sectPr>
      </w:pPr>
    </w:p>
    <w:bookmarkStart w:id="2" w:name="page3"/>
    <w:bookmarkEnd w:id="2"/>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April 16, 2019</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30"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Mitchell Gaynor</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7"/>
          <w:szCs w:val="17"/>
          <w:i w:val="1"/>
          <w:iCs w:val="1"/>
          <w:color w:val="auto"/>
        </w:rPr>
        <w:t>Executive Vice President, Chief Administration and</w:t>
      </w:r>
    </w:p>
    <w:p>
      <w:pPr>
        <w:spacing w:after="0" w:line="21"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Legal Officer and Secretary</w:t>
      </w:r>
    </w:p>
    <w:sectPr>
      <w:pgSz w:w="11900" w:h="16838" w:orient="portrait"/>
      <w:cols w:equalWidth="0" w:num="1">
        <w:col w:w="10960"/>
      </w:cols>
      <w:pgMar w:left="440" w:top="270"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2019-12-03T11:15:21Z</dcterms:created>
  <dcterms:modified xsi:type="dcterms:W3CDTF">2019-12-03T11:15:21Z</dcterms:modified>
</cp:coreProperties>
</file>