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278130</wp:posOffset>
            </wp:positionH>
            <wp:positionV relativeFrom="page">
              <wp:posOffset>115570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278130</wp:posOffset>
            </wp:positionH>
            <wp:positionV relativeFrom="page">
              <wp:posOffset>158115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ind w:right="-1"/>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1"/>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210185</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59" w:lineRule="exact"/>
        <w:rPr>
          <w:sz w:val="24"/>
          <w:szCs w:val="24"/>
          <w:color w:val="auto"/>
        </w:rPr>
      </w:pPr>
    </w:p>
    <w:p>
      <w:pPr>
        <w:jc w:val="center"/>
        <w:ind w:right="-1"/>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229870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17" w:lineRule="exact"/>
        <w:rPr>
          <w:sz w:val="24"/>
          <w:szCs w:val="24"/>
          <w:color w:val="auto"/>
        </w:rPr>
      </w:pPr>
    </w:p>
    <w:p>
      <w:pPr>
        <w:jc w:val="center"/>
        <w:ind w:right="-1"/>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1"/>
        <w:spacing w:after="0"/>
        <w:rPr>
          <w:sz w:val="20"/>
          <w:szCs w:val="20"/>
          <w:color w:val="auto"/>
        </w:rPr>
      </w:pPr>
      <w:r>
        <w:rPr>
          <w:rFonts w:ascii="Arial" w:cs="Arial" w:eastAsia="Arial" w:hAnsi="Arial"/>
          <w:sz w:val="22"/>
          <w:szCs w:val="22"/>
          <w:b w:val="1"/>
          <w:bCs w:val="1"/>
          <w:color w:val="auto"/>
        </w:rPr>
        <w:t>Pursuant to Section 13 or 15(d)</w:t>
      </w:r>
    </w:p>
    <w:p>
      <w:pPr>
        <w:jc w:val="center"/>
        <w:ind w:right="-1"/>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42" w:lineRule="exact"/>
        <w:rPr>
          <w:sz w:val="24"/>
          <w:szCs w:val="24"/>
          <w:color w:val="auto"/>
        </w:rPr>
      </w:pPr>
    </w:p>
    <w:p>
      <w:pPr>
        <w:jc w:val="center"/>
        <w:ind w:right="-1"/>
        <w:spacing w:after="0"/>
        <w:rPr>
          <w:sz w:val="20"/>
          <w:szCs w:val="20"/>
          <w:color w:val="auto"/>
        </w:rPr>
      </w:pPr>
      <w:r>
        <w:rPr>
          <w:rFonts w:ascii="Arial" w:cs="Arial" w:eastAsia="Arial" w:hAnsi="Arial"/>
          <w:sz w:val="22"/>
          <w:szCs w:val="22"/>
          <w:b w:val="1"/>
          <w:bCs w:val="1"/>
          <w:color w:val="auto"/>
        </w:rPr>
        <w:t>Date of Report (Date of earliest event reported): May 1, 2019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216535</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81" w:lineRule="exact"/>
        <w:rPr>
          <w:sz w:val="24"/>
          <w:szCs w:val="24"/>
          <w:color w:val="auto"/>
        </w:rPr>
      </w:pPr>
    </w:p>
    <w:p>
      <w:pPr>
        <w:jc w:val="center"/>
        <w:ind w:right="-1"/>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1"/>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210185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2"/>
          </w:cols>
          <w:pgMar w:left="438" w:top="288" w:right="439" w:bottom="1440" w:gutter="0" w:footer="0" w:header="0"/>
        </w:sectPr>
      </w:pPr>
    </w:p>
    <w:p>
      <w:pPr>
        <w:spacing w:after="0" w:line="200" w:lineRule="exact"/>
        <w:rPr>
          <w:sz w:val="24"/>
          <w:szCs w:val="24"/>
          <w:color w:val="auto"/>
        </w:rPr>
      </w:pPr>
    </w:p>
    <w:p>
      <w:pPr>
        <w:spacing w:after="0" w:line="383" w:lineRule="exact"/>
        <w:rPr>
          <w:sz w:val="24"/>
          <w:szCs w:val="24"/>
          <w:color w:val="auto"/>
        </w:rPr>
      </w:pPr>
    </w:p>
    <w:p>
      <w:pPr>
        <w:ind w:left="1502"/>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63" w:lineRule="exact"/>
        <w:rPr>
          <w:sz w:val="24"/>
          <w:szCs w:val="24"/>
          <w:color w:val="auto"/>
        </w:rPr>
      </w:pPr>
    </w:p>
    <w:p>
      <w:pPr>
        <w:jc w:val="center"/>
        <w:ind w:right="208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63"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522" w:space="720"/>
            <w:col w:w="2860" w:space="720"/>
            <w:col w:w="2200"/>
          </w:cols>
          <w:pgMar w:left="438" w:top="288" w:right="439" w:bottom="1440" w:gutter="0" w:footer="0" w:header="0"/>
          <w:type w:val="continuous"/>
        </w:sectPr>
      </w:pPr>
    </w:p>
    <w:p>
      <w:pPr>
        <w:spacing w:after="0" w:line="12" w:lineRule="exact"/>
        <w:rPr>
          <w:sz w:val="24"/>
          <w:szCs w:val="24"/>
          <w:color w:val="auto"/>
        </w:rPr>
      </w:pPr>
    </w:p>
    <w:p>
      <w:pPr>
        <w:jc w:val="center"/>
        <w:ind w:right="758"/>
        <w:spacing w:after="0"/>
        <w:rPr>
          <w:sz w:val="20"/>
          <w:szCs w:val="20"/>
          <w:color w:val="auto"/>
        </w:rPr>
      </w:pPr>
      <w:r>
        <w:rPr>
          <w:rFonts w:ascii="Arial" w:cs="Arial" w:eastAsia="Arial" w:hAnsi="Arial"/>
          <w:sz w:val="13"/>
          <w:szCs w:val="13"/>
          <w:b w:val="1"/>
          <w:bCs w:val="1"/>
          <w:color w:val="auto"/>
        </w:rPr>
        <w:t>(State or other jurisdiction</w:t>
      </w:r>
    </w:p>
    <w:p>
      <w:pPr>
        <w:jc w:val="center"/>
        <w:ind w:right="758"/>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6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176" w:lineRule="exact"/>
        <w:rPr>
          <w:sz w:val="24"/>
          <w:szCs w:val="24"/>
          <w:color w:val="auto"/>
        </w:rPr>
      </w:pPr>
    </w:p>
    <w:p>
      <w:pPr>
        <w:sectPr>
          <w:pgSz w:w="11900" w:h="16838" w:orient="portrait"/>
          <w:cols w:equalWidth="0" w:num="3">
            <w:col w:w="4482" w:space="720"/>
            <w:col w:w="2760" w:space="720"/>
            <w:col w:w="2340"/>
          </w:cols>
          <w:pgMar w:left="438" w:top="288" w:right="439" w:bottom="1440" w:gutter="0" w:footer="0" w:header="0"/>
          <w:type w:val="continuous"/>
        </w:sectPr>
      </w:pPr>
    </w:p>
    <w:p>
      <w:pPr>
        <w:jc w:val="center"/>
        <w:ind w:right="18"/>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18"/>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18"/>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18"/>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18"/>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51" w:lineRule="exact"/>
        <w:rPr>
          <w:sz w:val="24"/>
          <w:szCs w:val="24"/>
          <w:color w:val="auto"/>
        </w:rPr>
      </w:pPr>
    </w:p>
    <w:p>
      <w:pPr>
        <w:jc w:val="center"/>
        <w:ind w:right="18"/>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18"/>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65" w:lineRule="exact"/>
        <w:rPr>
          <w:sz w:val="24"/>
          <w:szCs w:val="24"/>
          <w:color w:val="auto"/>
        </w:rPr>
      </w:pPr>
    </w:p>
    <w:p>
      <w:pPr>
        <w:jc w:val="center"/>
        <w:ind w:right="18"/>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18"/>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216535</wp:posOffset>
            </wp:positionV>
            <wp:extent cx="147447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ectPr>
          <w:pgSz w:w="11900" w:h="16838" w:orient="portrait"/>
          <w:cols w:equalWidth="0" w:num="1">
            <w:col w:w="11022"/>
          </w:cols>
          <w:pgMar w:left="438" w:top="288" w:right="439" w:bottom="1440" w:gutter="0" w:footer="0" w:header="0"/>
          <w:type w:val="continuous"/>
        </w:sectPr>
      </w:pPr>
    </w:p>
    <w:p>
      <w:pPr>
        <w:spacing w:after="0" w:line="200" w:lineRule="exact"/>
        <w:rPr>
          <w:sz w:val="24"/>
          <w:szCs w:val="24"/>
          <w:color w:val="auto"/>
        </w:rPr>
      </w:pPr>
    </w:p>
    <w:p>
      <w:pPr>
        <w:spacing w:after="0" w:line="316" w:lineRule="exact"/>
        <w:rPr>
          <w:sz w:val="24"/>
          <w:szCs w:val="24"/>
          <w:color w:val="auto"/>
        </w:rPr>
      </w:pPr>
    </w:p>
    <w:p>
      <w:pPr>
        <w:ind w:left="2" w:right="40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42" w:hanging="442"/>
        <w:spacing w:after="0"/>
        <w:tabs>
          <w:tab w:leader="none" w:pos="442"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42" w:hanging="442"/>
        <w:spacing w:after="0"/>
        <w:tabs>
          <w:tab w:leader="none" w:pos="442"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42" w:hanging="442"/>
        <w:spacing w:after="0"/>
        <w:tabs>
          <w:tab w:leader="none" w:pos="442"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42" w:hanging="442"/>
        <w:spacing w:after="0"/>
        <w:tabs>
          <w:tab w:leader="none" w:pos="442"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198" w:lineRule="exact"/>
        <w:rPr>
          <w:sz w:val="24"/>
          <w:szCs w:val="24"/>
          <w:color w:val="auto"/>
        </w:rPr>
      </w:pPr>
    </w:p>
    <w:p>
      <w:pPr>
        <w:ind w:left="2" w:right="300"/>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97" w:lineRule="exact"/>
        <w:rPr>
          <w:sz w:val="24"/>
          <w:szCs w:val="24"/>
          <w:color w:val="auto"/>
        </w:rPr>
      </w:pPr>
    </w:p>
    <w:p>
      <w:pPr>
        <w:ind w:left="2"/>
        <w:spacing w:after="0" w:line="207" w:lineRule="exact"/>
        <w:rPr>
          <w:sz w:val="20"/>
          <w:szCs w:val="20"/>
          <w:color w:val="auto"/>
        </w:rPr>
      </w:pPr>
      <w:r>
        <w:rPr>
          <w:rFonts w:ascii="Arial" w:cs="Arial" w:eastAsia="Arial" w:hAnsi="Arial"/>
          <w:sz w:val="18"/>
          <w:szCs w:val="18"/>
          <w:color w:val="auto"/>
        </w:rPr>
        <w:t xml:space="preserve">Emerging growth company  </w:t>
      </w:r>
      <w:r>
        <w:rPr>
          <w:rFonts w:ascii="MS PGothic" w:cs="MS PGothic" w:eastAsia="MS PGothic" w:hAnsi="MS PGothic"/>
          <w:sz w:val="18"/>
          <w:szCs w:val="18"/>
          <w:color w:val="auto"/>
        </w:rPr>
        <w:t>☐</w:t>
      </w:r>
    </w:p>
    <w:p>
      <w:pPr>
        <w:spacing w:after="0" w:line="217" w:lineRule="exact"/>
        <w:rPr>
          <w:sz w:val="24"/>
          <w:szCs w:val="24"/>
          <w:color w:val="auto"/>
        </w:rPr>
      </w:pPr>
    </w:p>
    <w:p>
      <w:pPr>
        <w:ind w:left="2"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155" w:lineRule="exact"/>
        <w:rPr>
          <w:sz w:val="24"/>
          <w:szCs w:val="24"/>
          <w:color w:val="auto"/>
        </w:rPr>
      </w:pPr>
    </w:p>
    <w:p>
      <w:pPr>
        <w:ind w:left="2"/>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04" w:lineRule="exact"/>
        <w:rPr>
          <w:sz w:val="24"/>
          <w:szCs w:val="24"/>
          <w:color w:val="auto"/>
        </w:rPr>
      </w:pPr>
    </w:p>
    <w:tbl>
      <w:tblPr>
        <w:tblLayout w:type="fixed"/>
        <w:tblInd w:w="2"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9"/>
              </w:rPr>
              <w:t>Title of each class</w:t>
            </w:r>
          </w:p>
        </w:tc>
        <w:tc>
          <w:tcPr>
            <w:tcW w:w="364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3"/>
              </w:rPr>
              <w:t>Trading</w:t>
            </w:r>
          </w:p>
        </w:tc>
        <w:tc>
          <w:tcPr>
            <w:tcW w:w="3520" w:type="dxa"/>
            <w:vAlign w:val="bottom"/>
          </w:tcPr>
          <w:p>
            <w:pPr>
              <w:jc w:val="center"/>
              <w:spacing w:after="0"/>
              <w:rPr>
                <w:sz w:val="20"/>
                <w:szCs w:val="20"/>
                <w:color w:val="auto"/>
              </w:rPr>
            </w:pPr>
            <w:r>
              <w:rPr>
                <w:rFonts w:ascii="Arial" w:cs="Arial" w:eastAsia="Arial" w:hAnsi="Arial"/>
                <w:sz w:val="14"/>
                <w:szCs w:val="14"/>
                <w:b w:val="1"/>
                <w:bCs w:val="1"/>
                <w:color w:val="auto"/>
                <w:w w:val="88"/>
              </w:rPr>
              <w:t>Name of each exchange</w:t>
            </w:r>
          </w:p>
        </w:tc>
        <w:tc>
          <w:tcPr>
            <w:tcW w:w="0" w:type="dxa"/>
            <w:vAlign w:val="bottom"/>
          </w:tcPr>
          <w:p>
            <w:pPr>
              <w:spacing w:after="0"/>
              <w:rPr>
                <w:sz w:val="1"/>
                <w:szCs w:val="1"/>
                <w:color w:val="auto"/>
              </w:rPr>
            </w:pPr>
          </w:p>
        </w:tc>
      </w:tr>
      <w:tr>
        <w:trPr>
          <w:trHeight w:val="185"/>
        </w:trPr>
        <w:tc>
          <w:tcPr>
            <w:tcW w:w="3860" w:type="dxa"/>
            <w:vAlign w:val="bottom"/>
            <w:gridSpan w:val="2"/>
            <w:vMerge w:val="continue"/>
          </w:tcPr>
          <w:p>
            <w:pPr>
              <w:spacing w:after="0"/>
              <w:rPr>
                <w:sz w:val="16"/>
                <w:szCs w:val="16"/>
                <w:color w:val="auto"/>
              </w:rPr>
            </w:pPr>
          </w:p>
        </w:tc>
        <w:tc>
          <w:tcPr>
            <w:tcW w:w="364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88"/>
              </w:rPr>
              <w:t>Symbol(s)</w:t>
            </w:r>
          </w:p>
        </w:tc>
        <w:tc>
          <w:tcPr>
            <w:tcW w:w="3520" w:type="dxa"/>
            <w:vAlign w:val="bottom"/>
          </w:tcPr>
          <w:p>
            <w:pPr>
              <w:jc w:val="center"/>
              <w:spacing w:after="0"/>
              <w:rPr>
                <w:sz w:val="20"/>
                <w:szCs w:val="20"/>
                <w:color w:val="auto"/>
              </w:rPr>
            </w:pPr>
            <w:r>
              <w:rPr>
                <w:rFonts w:ascii="Arial" w:cs="Arial" w:eastAsia="Arial" w:hAnsi="Arial"/>
                <w:sz w:val="14"/>
                <w:szCs w:val="14"/>
                <w:b w:val="1"/>
                <w:bCs w:val="1"/>
                <w:color w:val="auto"/>
                <w:w w:val="90"/>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8"/>
              </w:rPr>
              <w:t>Common Shares</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rPr>
              <w:t>MRVL</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93"/>
              </w:rPr>
              <w:t>The Nasdaq Stock Market, LLC</w:t>
            </w:r>
          </w:p>
        </w:tc>
        <w:tc>
          <w:tcPr>
            <w:tcW w:w="0" w:type="dxa"/>
            <w:vAlign w:val="bottom"/>
          </w:tcPr>
          <w:p>
            <w:pPr>
              <w:spacing w:after="0"/>
              <w:rPr>
                <w:sz w:val="1"/>
                <w:szCs w:val="1"/>
                <w:color w:val="auto"/>
              </w:rPr>
            </w:pPr>
          </w:p>
        </w:tc>
      </w:tr>
      <w:tr>
        <w:trPr>
          <w:trHeight w:val="211"/>
        </w:trPr>
        <w:tc>
          <w:tcPr>
            <w:tcW w:w="3740" w:type="dxa"/>
            <w:vAlign w:val="bottom"/>
            <w:tcBorders>
              <w:bottom w:val="single" w:sz="8" w:color="auto"/>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3520" w:type="dxa"/>
            <w:vAlign w:val="bottom"/>
            <w:tcBorders>
              <w:bottom w:val="single" w:sz="8" w:color="auto"/>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3520" w:type="dxa"/>
            <w:vAlign w:val="bottom"/>
            <w:tcBorders>
              <w:bottom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48"/>
        </w:trPr>
        <w:tc>
          <w:tcPr>
            <w:tcW w:w="3740" w:type="dxa"/>
            <w:vAlign w:val="bottom"/>
            <w:tcBorders>
              <w:bottom w:val="single" w:sz="8" w:color="auto"/>
            </w:tcBorders>
          </w:tcPr>
          <w:p>
            <w:pPr>
              <w:spacing w:after="0"/>
              <w:rPr>
                <w:sz w:val="4"/>
                <w:szCs w:val="4"/>
                <w:color w:val="auto"/>
              </w:rPr>
            </w:pPr>
          </w:p>
        </w:tc>
        <w:tc>
          <w:tcPr>
            <w:tcW w:w="120" w:type="dxa"/>
            <w:vAlign w:val="bottom"/>
            <w:tcBorders>
              <w:bottom w:val="single" w:sz="8" w:color="auto"/>
            </w:tcBorders>
          </w:tcPr>
          <w:p>
            <w:pPr>
              <w:spacing w:after="0"/>
              <w:rPr>
                <w:sz w:val="4"/>
                <w:szCs w:val="4"/>
                <w:color w:val="auto"/>
              </w:rPr>
            </w:pPr>
          </w:p>
        </w:tc>
        <w:tc>
          <w:tcPr>
            <w:tcW w:w="3520" w:type="dxa"/>
            <w:vAlign w:val="bottom"/>
            <w:tcBorders>
              <w:bottom w:val="single" w:sz="8" w:color="auto"/>
            </w:tcBorders>
          </w:tcPr>
          <w:p>
            <w:pPr>
              <w:spacing w:after="0"/>
              <w:rPr>
                <w:sz w:val="4"/>
                <w:szCs w:val="4"/>
                <w:color w:val="auto"/>
              </w:rPr>
            </w:pPr>
          </w:p>
        </w:tc>
        <w:tc>
          <w:tcPr>
            <w:tcW w:w="120" w:type="dxa"/>
            <w:vAlign w:val="bottom"/>
            <w:tcBorders>
              <w:bottom w:val="single" w:sz="8" w:color="auto"/>
            </w:tcBorders>
          </w:tcPr>
          <w:p>
            <w:pPr>
              <w:spacing w:after="0"/>
              <w:rPr>
                <w:sz w:val="4"/>
                <w:szCs w:val="4"/>
                <w:color w:val="auto"/>
              </w:rPr>
            </w:pPr>
          </w:p>
        </w:tc>
        <w:tc>
          <w:tcPr>
            <w:tcW w:w="3520" w:type="dxa"/>
            <w:vAlign w:val="bottom"/>
            <w:tcBorders>
              <w:bottom w:val="single" w:sz="8" w:color="auto"/>
            </w:tcBorders>
          </w:tcPr>
          <w:p>
            <w:pPr>
              <w:spacing w:after="0"/>
              <w:rPr>
                <w:sz w:val="4"/>
                <w:szCs w:val="4"/>
                <w:color w:val="auto"/>
              </w:rPr>
            </w:pPr>
          </w:p>
        </w:tc>
        <w:tc>
          <w:tcPr>
            <w:tcW w:w="0" w:type="dxa"/>
            <w:vAlign w:val="bottom"/>
          </w:tcPr>
          <w:p>
            <w:pPr>
              <w:spacing w:after="0"/>
              <w:rPr>
                <w:sz w:val="1"/>
                <w:szCs w:val="1"/>
                <w:color w:val="auto"/>
              </w:rPr>
            </w:pPr>
          </w:p>
        </w:tc>
      </w:tr>
    </w:tbl>
    <w:p>
      <w:pPr>
        <w:sectPr>
          <w:pgSz w:w="11900" w:h="16838" w:orient="portrait"/>
          <w:cols w:equalWidth="0" w:num="1">
            <w:col w:w="11022"/>
          </w:cols>
          <w:pgMar w:left="438" w:top="288" w:right="439" w:bottom="1440" w:gutter="0" w:footer="0" w:header="0"/>
          <w:type w:val="continuous"/>
        </w:sectPr>
      </w:pPr>
    </w:p>
    <w:bookmarkStart w:id="1" w:name="page2"/>
    <w:bookmarkEnd w:id="1"/>
    <w:p>
      <w:pPr>
        <w:ind w:left="980" w:hanging="984"/>
        <w:spacing w:after="0" w:line="282" w:lineRule="auto"/>
        <w:tabs>
          <w:tab w:leader="none" w:pos="96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93980</wp:posOffset>
            </wp:positionH>
            <wp:positionV relativeFrom="page">
              <wp:posOffset>38100</wp:posOffset>
            </wp:positionV>
            <wp:extent cx="7380605" cy="3810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380605" cy="38100"/>
                    </a:xfrm>
                    <a:prstGeom prst="rect">
                      <a:avLst/>
                    </a:prstGeom>
                    <a:noFill/>
                  </pic:spPr>
                </pic:pic>
              </a:graphicData>
            </a:graphic>
          </wp:anchor>
        </w:drawing>
        <w:t>Item 5.02</w:t>
        <w:tab/>
        <w:t>Departure of Directors or Certain Officers; Election of Directors; Appointment of Certain Officers; Compensatory Arrangements of Certain Officers.</w:t>
      </w:r>
    </w:p>
    <w:p>
      <w:pPr>
        <w:spacing w:after="0" w:line="58" w:lineRule="exact"/>
        <w:rPr>
          <w:sz w:val="20"/>
          <w:szCs w:val="20"/>
          <w:color w:val="auto"/>
        </w:rPr>
      </w:pPr>
    </w:p>
    <w:p>
      <w:pPr>
        <w:ind w:right="160" w:firstLine="440"/>
        <w:spacing w:after="0" w:line="277" w:lineRule="auto"/>
        <w:rPr>
          <w:sz w:val="20"/>
          <w:szCs w:val="20"/>
          <w:color w:val="auto"/>
        </w:rPr>
      </w:pPr>
      <w:r>
        <w:rPr>
          <w:rFonts w:ascii="Arial" w:cs="Arial" w:eastAsia="Arial" w:hAnsi="Arial"/>
          <w:sz w:val="18"/>
          <w:szCs w:val="18"/>
          <w:color w:val="auto"/>
        </w:rPr>
        <w:t>On May 1, 2019, Thomas Lagatta, Executive Vice President Sales and Marketing of Marvell Technology Group Ltd. (the “Company”), notified the Company of his decision to retire on December 31, 2019.</w:t>
      </w:r>
    </w:p>
    <w:p>
      <w:pPr>
        <w:sectPr>
          <w:pgSz w:w="11900" w:h="16838" w:orient="portrait"/>
          <w:cols w:equalWidth="0" w:num="1">
            <w:col w:w="10940"/>
          </w:cols>
          <w:pgMar w:left="440" w:top="190" w:right="519" w:bottom="1440" w:gutter="0" w:footer="0" w:header="0"/>
        </w:sectPr>
      </w:pPr>
    </w:p>
    <w:bookmarkStart w:id="2" w:name="page3"/>
    <w:bookmarkEnd w:id="2"/>
    <w:p>
      <w:pPr>
        <w:jc w:val="center"/>
        <w:ind w:right="-3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93980</wp:posOffset>
            </wp:positionH>
            <wp:positionV relativeFrom="page">
              <wp:posOffset>38100</wp:posOffset>
            </wp:positionV>
            <wp:extent cx="738060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380605" cy="38735"/>
                    </a:xfrm>
                    <a:prstGeom prst="rect">
                      <a:avLst/>
                    </a:prstGeom>
                    <a:noFill/>
                  </pic:spPr>
                </pic:pic>
              </a:graphicData>
            </a:graphic>
          </wp:anchor>
        </w:drawing>
        <w:t>SIGNATURE</w:t>
      </w:r>
    </w:p>
    <w:p>
      <w:pPr>
        <w:spacing w:after="0" w:line="229"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Dated: May 2, 2019</w:t>
      </w:r>
    </w:p>
    <w:p>
      <w:pPr>
        <w:spacing w:after="0" w:line="252"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4430395</wp:posOffset>
            </wp:positionH>
            <wp:positionV relativeFrom="paragraph">
              <wp:posOffset>14605</wp:posOffset>
            </wp:positionV>
            <wp:extent cx="256286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Mitchell Gaynor</w:t>
      </w:r>
    </w:p>
    <w:p>
      <w:pPr>
        <w:spacing w:after="0" w:line="23" w:lineRule="exact"/>
        <w:rPr>
          <w:sz w:val="20"/>
          <w:szCs w:val="20"/>
          <w:color w:val="auto"/>
        </w:rPr>
      </w:pPr>
    </w:p>
    <w:p>
      <w:pPr>
        <w:ind w:left="6620"/>
        <w:spacing w:after="0"/>
        <w:rPr>
          <w:sz w:val="20"/>
          <w:szCs w:val="20"/>
          <w:color w:val="auto"/>
        </w:rPr>
      </w:pPr>
      <w:r>
        <w:rPr>
          <w:rFonts w:ascii="Arial" w:cs="Arial" w:eastAsia="Arial" w:hAnsi="Arial"/>
          <w:sz w:val="18"/>
          <w:szCs w:val="18"/>
          <w:i w:val="1"/>
          <w:iCs w:val="1"/>
          <w:color w:val="auto"/>
        </w:rPr>
        <w:t>Executive Vice President, Chief Administration</w:t>
      </w:r>
    </w:p>
    <w:p>
      <w:pPr>
        <w:spacing w:after="0" w:line="9" w:lineRule="exact"/>
        <w:rPr>
          <w:sz w:val="20"/>
          <w:szCs w:val="20"/>
          <w:color w:val="auto"/>
        </w:rPr>
      </w:pPr>
    </w:p>
    <w:p>
      <w:pPr>
        <w:ind w:left="6620"/>
        <w:spacing w:after="0"/>
        <w:rPr>
          <w:sz w:val="20"/>
          <w:szCs w:val="20"/>
          <w:color w:val="auto"/>
        </w:rPr>
      </w:pPr>
      <w:r>
        <w:rPr>
          <w:rFonts w:ascii="Arial" w:cs="Arial" w:eastAsia="Arial" w:hAnsi="Arial"/>
          <w:sz w:val="18"/>
          <w:szCs w:val="18"/>
          <w:i w:val="1"/>
          <w:iCs w:val="1"/>
          <w:color w:val="auto"/>
        </w:rPr>
        <w:t>and Legal Officer and Secretary</w:t>
      </w:r>
    </w:p>
    <w:sectPr>
      <w:pgSz w:w="11900" w:h="16838" w:orient="portrait"/>
      <w:cols w:equalWidth="0" w:num="1">
        <w:col w:w="10660"/>
      </w:cols>
      <w:pgMar w:left="440" w:top="190" w:right="7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2019-12-14T19:20:33Z</dcterms:created>
  <dcterms:modified xsi:type="dcterms:W3CDTF">2019-12-14T19:20:33Z</dcterms:modified>
</cp:coreProperties>
</file>