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9"/>
          <w:szCs w:val="29"/>
          <w:b w:val="1"/>
          <w:bCs w:val="1"/>
          <w:color w:val="auto"/>
        </w:rPr>
        <w:t>SECURITIES AND EXCHANGE COMMISSION</w:t>
      </w:r>
    </w:p>
    <w:p>
      <w:pPr>
        <w:spacing w:after="0" w:line="7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0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9"/>
          <w:szCs w:val="29"/>
          <w:b w:val="1"/>
          <w:bCs w:val="1"/>
          <w:color w:val="auto"/>
        </w:rPr>
        <w:t>FORM 8-K</w:t>
      </w:r>
    </w:p>
    <w:p>
      <w:pPr>
        <w:spacing w:after="0" w:line="78" w:lineRule="exact"/>
        <w:rPr>
          <w:sz w:val="24"/>
          <w:szCs w:val="24"/>
          <w:color w:val="auto"/>
        </w:rPr>
      </w:pPr>
    </w:p>
    <w:p>
      <w:pPr>
        <w:ind w:left="458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36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Report: May 30, 2019</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8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8"/>
        </w:trPr>
        <w:tc>
          <w:tcPr>
            <w:tcW w:w="2340" w:type="dxa"/>
            <w:vAlign w:val="bottom"/>
          </w:tcPr>
          <w:p>
            <w:pPr>
              <w:jc w:val="center"/>
              <w:ind w:right="46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0-30877</w:t>
            </w:r>
          </w:p>
        </w:tc>
        <w:tc>
          <w:tcPr>
            <w:tcW w:w="2580" w:type="dxa"/>
            <w:vAlign w:val="bottom"/>
          </w:tcPr>
          <w:p>
            <w:pPr>
              <w:jc w:val="right"/>
              <w:ind w:right="519"/>
              <w:spacing w:after="0"/>
              <w:rPr>
                <w:sz w:val="20"/>
                <w:szCs w:val="20"/>
                <w:color w:val="auto"/>
              </w:rPr>
            </w:pPr>
            <w:r>
              <w:rPr>
                <w:rFonts w:ascii="Times New Roman" w:cs="Times New Roman" w:eastAsia="Times New Roman" w:hAnsi="Times New Roman"/>
                <w:sz w:val="18"/>
                <w:szCs w:val="18"/>
                <w:b w:val="1"/>
                <w:bCs w:val="1"/>
                <w:color w:val="auto"/>
              </w:rPr>
              <w:t>77-0481679</w:t>
            </w:r>
          </w:p>
        </w:tc>
      </w:tr>
      <w:tr>
        <w:trPr>
          <w:trHeight w:val="232"/>
        </w:trPr>
        <w:tc>
          <w:tcPr>
            <w:tcW w:w="2340" w:type="dxa"/>
            <w:vAlign w:val="bottom"/>
          </w:tcPr>
          <w:p>
            <w:pPr>
              <w:jc w:val="center"/>
              <w:ind w:right="462"/>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tc>
        <w:tc>
          <w:tcPr>
            <w:tcW w:w="46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(Commission File Number)</w:t>
            </w:r>
          </w:p>
        </w:tc>
        <w:tc>
          <w:tcPr>
            <w:tcW w:w="2580" w:type="dxa"/>
            <w:vAlign w:val="bottom"/>
          </w:tcPr>
          <w:p>
            <w:pPr>
              <w:jc w:val="center"/>
              <w:ind w:left="399"/>
              <w:spacing w:after="0"/>
              <w:rPr>
                <w:sz w:val="20"/>
                <w:szCs w:val="20"/>
                <w:color w:val="auto"/>
              </w:rPr>
            </w:pPr>
            <w:r>
              <w:rPr>
                <w:rFonts w:ascii="Times New Roman" w:cs="Times New Roman" w:eastAsia="Times New Roman" w:hAnsi="Times New Roman"/>
                <w:sz w:val="14"/>
                <w:szCs w:val="14"/>
                <w:b w:val="1"/>
                <w:bCs w:val="1"/>
                <w:color w:val="auto"/>
              </w:rPr>
              <w:t>(IRS Employer Identification No.)</w:t>
            </w:r>
          </w:p>
        </w:tc>
      </w:tr>
      <w:tr>
        <w:trPr>
          <w:trHeight w:val="190"/>
        </w:trPr>
        <w:tc>
          <w:tcPr>
            <w:tcW w:w="2340" w:type="dxa"/>
            <w:vAlign w:val="bottom"/>
          </w:tcPr>
          <w:p>
            <w:pPr>
              <w:jc w:val="center"/>
              <w:ind w:right="482"/>
              <w:spacing w:after="0"/>
              <w:rPr>
                <w:sz w:val="20"/>
                <w:szCs w:val="20"/>
                <w:color w:val="auto"/>
              </w:rPr>
            </w:pPr>
            <w:r>
              <w:rPr>
                <w:rFonts w:ascii="Times New Roman" w:cs="Times New Roman" w:eastAsia="Times New Roman" w:hAnsi="Times New Roman"/>
                <w:sz w:val="14"/>
                <w:szCs w:val="14"/>
                <w:b w:val="1"/>
                <w:bCs w:val="1"/>
                <w:color w:val="auto"/>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47"/>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Hamilton HM 12</w:t>
            </w:r>
          </w:p>
        </w:tc>
        <w:tc>
          <w:tcPr>
            <w:tcW w:w="2580" w:type="dxa"/>
            <w:vAlign w:val="bottom"/>
          </w:tcPr>
          <w:p>
            <w:pPr>
              <w:spacing w:after="0"/>
              <w:rPr>
                <w:sz w:val="18"/>
                <w:szCs w:val="18"/>
                <w:color w:val="auto"/>
              </w:rPr>
            </w:pPr>
          </w:p>
        </w:tc>
      </w:tr>
      <w:tr>
        <w:trPr>
          <w:trHeight w:val="238"/>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2580" w:type="dxa"/>
            <w:vAlign w:val="bottom"/>
          </w:tcPr>
          <w:p>
            <w:pPr>
              <w:spacing w:after="0"/>
              <w:rPr>
                <w:sz w:val="20"/>
                <w:szCs w:val="20"/>
                <w:color w:val="auto"/>
              </w:rPr>
            </w:pPr>
          </w:p>
        </w:tc>
      </w:tr>
      <w:tr>
        <w:trPr>
          <w:trHeight w:val="193"/>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tc>
        <w:tc>
          <w:tcPr>
            <w:tcW w:w="2580" w:type="dxa"/>
            <w:vAlign w:val="bottom"/>
          </w:tcPr>
          <w:p>
            <w:pPr>
              <w:spacing w:after="0"/>
              <w:rPr>
                <w:sz w:val="16"/>
                <w:szCs w:val="16"/>
                <w:color w:val="auto"/>
              </w:rPr>
            </w:pPr>
          </w:p>
        </w:tc>
      </w:tr>
      <w:tr>
        <w:trPr>
          <w:trHeight w:val="415"/>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(441) 296-6395</w:t>
            </w:r>
          </w:p>
        </w:tc>
        <w:tc>
          <w:tcPr>
            <w:tcW w:w="2580" w:type="dxa"/>
            <w:vAlign w:val="bottom"/>
          </w:tcPr>
          <w:p>
            <w:pPr>
              <w:spacing w:after="0"/>
              <w:rPr>
                <w:sz w:val="24"/>
                <w:szCs w:val="24"/>
                <w:color w:val="auto"/>
              </w:rPr>
            </w:pPr>
          </w:p>
        </w:tc>
      </w:tr>
      <w:tr>
        <w:trPr>
          <w:trHeight w:val="206"/>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tc>
        <w:tc>
          <w:tcPr>
            <w:tcW w:w="2580" w:type="dxa"/>
            <w:vAlign w:val="bottom"/>
          </w:tcPr>
          <w:p>
            <w:pPr>
              <w:spacing w:after="0"/>
              <w:rPr>
                <w:sz w:val="17"/>
                <w:szCs w:val="17"/>
                <w:color w:val="auto"/>
              </w:rPr>
            </w:pPr>
          </w:p>
        </w:tc>
      </w:tr>
    </w:tbl>
    <w:p>
      <w:pPr>
        <w:spacing w:after="0" w:line="19" w:lineRule="exact"/>
        <w:rPr>
          <w:sz w:val="24"/>
          <w:szCs w:val="24"/>
          <w:color w:val="auto"/>
        </w:rPr>
      </w:pPr>
    </w:p>
    <w:p>
      <w:pPr>
        <w:ind w:left="458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2" w:lineRule="exact"/>
        <w:rPr>
          <w:sz w:val="24"/>
          <w:szCs w:val="24"/>
          <w:color w:val="auto"/>
        </w:rPr>
      </w:pPr>
    </w:p>
    <w:p>
      <w:pPr>
        <w:ind w:right="120"/>
        <w:spacing w:after="0" w:line="329"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202"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w:t>
      </w:r>
    </w:p>
    <w:p>
      <w:pPr>
        <w:spacing w:after="0" w:line="22" w:lineRule="exact"/>
        <w:rPr>
          <w:sz w:val="24"/>
          <w:szCs w:val="24"/>
          <w:color w:val="auto"/>
        </w:rPr>
      </w:pPr>
    </w:p>
    <w:p>
      <w:pPr>
        <w:spacing w:after="0" w:line="207" w:lineRule="exact"/>
        <w:tabs>
          <w:tab w:leader="none" w:pos="6880" w:val="left"/>
          <w:tab w:leader="none" w:pos="9020" w:val="left"/>
        </w:tabs>
        <w:rPr>
          <w:sz w:val="20"/>
          <w:szCs w:val="20"/>
          <w:color w:val="auto"/>
        </w:rPr>
      </w:pPr>
      <w:r>
        <w:rPr>
          <w:rFonts w:ascii="Times New Roman" w:cs="Times New Roman" w:eastAsia="Times New Roman" w:hAnsi="Times New Roman"/>
          <w:sz w:val="18"/>
          <w:szCs w:val="18"/>
          <w:color w:val="auto"/>
        </w:rPr>
        <w:t>or Rule 12b-2 of the Securities Exchange Act of 1934 (§240.12b-2 of this chapter).</w:t>
      </w:r>
      <w:r>
        <w:rPr>
          <w:sz w:val="20"/>
          <w:szCs w:val="20"/>
          <w:color w:val="auto"/>
        </w:rPr>
        <w:tab/>
      </w:r>
      <w:r>
        <w:rPr>
          <w:rFonts w:ascii="Times New Roman" w:cs="Times New Roman" w:eastAsia="Times New Roman" w:hAnsi="Times New Roman"/>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1" w:lineRule="exact"/>
        <w:rPr>
          <w:sz w:val="24"/>
          <w:szCs w:val="24"/>
          <w:color w:val="auto"/>
        </w:rPr>
      </w:pPr>
    </w:p>
    <w:p>
      <w:pPr>
        <w:ind w:right="14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3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7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88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7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r>
      <w:tr>
        <w:trPr>
          <w:trHeight w:val="209"/>
        </w:trPr>
        <w:tc>
          <w:tcPr>
            <w:tcW w:w="366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120" w:type="dxa"/>
            <w:vAlign w:val="bottom"/>
          </w:tcPr>
          <w:p>
            <w:pPr>
              <w:spacing w:after="0"/>
              <w:rPr>
                <w:sz w:val="18"/>
                <w:szCs w:val="18"/>
                <w:color w:val="auto"/>
              </w:rPr>
            </w:pPr>
          </w:p>
        </w:tc>
        <w:tc>
          <w:tcPr>
            <w:tcW w:w="37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100" w:type="dxa"/>
            <w:vAlign w:val="bottom"/>
          </w:tcPr>
          <w:p>
            <w:pPr>
              <w:spacing w:after="0"/>
              <w:rPr>
                <w:sz w:val="18"/>
                <w:szCs w:val="18"/>
                <w:color w:val="auto"/>
              </w:rPr>
            </w:pPr>
          </w:p>
        </w:tc>
        <w:tc>
          <w:tcPr>
            <w:tcW w:w="376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r>
      <w:tr>
        <w:trPr>
          <w:trHeight w:val="242"/>
        </w:trPr>
        <w:tc>
          <w:tcPr>
            <w:tcW w:w="3780" w:type="dxa"/>
            <w:vAlign w:val="bottom"/>
            <w:gridSpan w:val="2"/>
          </w:tcPr>
          <w:p>
            <w:pPr>
              <w:jc w:val="center"/>
              <w:ind w:right="100"/>
              <w:spacing w:after="0"/>
              <w:rPr>
                <w:sz w:val="20"/>
                <w:szCs w:val="20"/>
                <w:color w:val="auto"/>
              </w:rPr>
            </w:pPr>
            <w:r>
              <w:rPr>
                <w:rFonts w:ascii="Times New Roman" w:cs="Times New Roman" w:eastAsia="Times New Roman" w:hAnsi="Times New Roman"/>
                <w:sz w:val="18"/>
                <w:szCs w:val="18"/>
                <w:b w:val="1"/>
                <w:bCs w:val="1"/>
                <w:color w:val="auto"/>
              </w:rPr>
              <w:t>Common Shares</w:t>
            </w:r>
          </w:p>
        </w:tc>
        <w:tc>
          <w:tcPr>
            <w:tcW w:w="3880" w:type="dxa"/>
            <w:vAlign w:val="bottom"/>
            <w:gridSpan w:val="2"/>
          </w:tcPr>
          <w:p>
            <w:pPr>
              <w:jc w:val="center"/>
              <w:ind w:right="100"/>
              <w:spacing w:after="0"/>
              <w:rPr>
                <w:sz w:val="20"/>
                <w:szCs w:val="20"/>
                <w:color w:val="auto"/>
              </w:rPr>
            </w:pPr>
            <w:r>
              <w:rPr>
                <w:rFonts w:ascii="Times New Roman" w:cs="Times New Roman" w:eastAsia="Times New Roman" w:hAnsi="Times New Roman"/>
                <w:sz w:val="18"/>
                <w:szCs w:val="18"/>
                <w:b w:val="1"/>
                <w:bCs w:val="1"/>
                <w:color w:val="auto"/>
                <w:w w:val="98"/>
              </w:rPr>
              <w:t>MRVL</w:t>
            </w:r>
          </w:p>
        </w:tc>
        <w:tc>
          <w:tcPr>
            <w:tcW w:w="376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The Nasdaq Stock Market, LLC</w:t>
            </w:r>
          </w:p>
        </w:tc>
      </w:tr>
      <w:tr>
        <w:trPr>
          <w:trHeight w:val="378"/>
        </w:trPr>
        <w:tc>
          <w:tcPr>
            <w:tcW w:w="36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7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760" w:type="dxa"/>
            <w:vAlign w:val="bottom"/>
            <w:tcBorders>
              <w:bottom w:val="single" w:sz="8" w:color="auto"/>
            </w:tcBorders>
          </w:tcPr>
          <w:p>
            <w:pPr>
              <w:spacing w:after="0"/>
              <w:rPr>
                <w:sz w:val="24"/>
                <w:szCs w:val="24"/>
                <w:color w:val="auto"/>
              </w:rPr>
            </w:pPr>
          </w:p>
        </w:tc>
      </w:tr>
      <w:tr>
        <w:trPr>
          <w:trHeight w:val="115"/>
        </w:trPr>
        <w:tc>
          <w:tcPr>
            <w:tcW w:w="3660" w:type="dxa"/>
            <w:vAlign w:val="bottom"/>
            <w:tcBorders>
              <w:bottom w:val="single" w:sz="8" w:color="auto"/>
            </w:tcBorders>
          </w:tcPr>
          <w:p>
            <w:pPr>
              <w:spacing w:after="0"/>
              <w:rPr>
                <w:sz w:val="10"/>
                <w:szCs w:val="10"/>
                <w:color w:val="auto"/>
              </w:rPr>
            </w:pPr>
          </w:p>
        </w:tc>
        <w:tc>
          <w:tcPr>
            <w:tcW w:w="120" w:type="dxa"/>
            <w:vAlign w:val="bottom"/>
            <w:tcBorders>
              <w:bottom w:val="single" w:sz="8" w:color="auto"/>
            </w:tcBorders>
          </w:tcPr>
          <w:p>
            <w:pPr>
              <w:spacing w:after="0"/>
              <w:rPr>
                <w:sz w:val="10"/>
                <w:szCs w:val="10"/>
                <w:color w:val="auto"/>
              </w:rPr>
            </w:pPr>
          </w:p>
        </w:tc>
        <w:tc>
          <w:tcPr>
            <w:tcW w:w="378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3760" w:type="dxa"/>
            <w:vAlign w:val="bottom"/>
            <w:tcBorders>
              <w:bottom w:val="single" w:sz="8" w:color="auto"/>
            </w:tcBorders>
          </w:tcPr>
          <w:p>
            <w:pPr>
              <w:spacing w:after="0"/>
              <w:rPr>
                <w:sz w:val="10"/>
                <w:szCs w:val="10"/>
                <w:color w:val="auto"/>
              </w:rPr>
            </w:pPr>
          </w:p>
        </w:tc>
      </w:tr>
    </w:tbl>
    <w:p>
      <w:pPr>
        <w:spacing w:after="0" w:line="200" w:lineRule="exact"/>
        <w:rPr>
          <w:sz w:val="24"/>
          <w:szCs w:val="24"/>
          <w:color w:val="auto"/>
        </w:rPr>
      </w:pPr>
    </w:p>
    <w:p>
      <w:pPr>
        <w:sectPr>
          <w:pgSz w:w="11900" w:h="16838" w:orient="portrait"/>
          <w:cols w:equalWidth="0" w:num="1">
            <w:col w:w="11420"/>
          </w:cols>
          <w:pgMar w:left="240" w:top="696" w:right="239" w:bottom="0" w:gutter="0" w:footer="0" w:header="0"/>
        </w:sectPr>
      </w:pP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2.02 Results of Operations and Financial Condition.</w:t>
      </w:r>
    </w:p>
    <w:p>
      <w:pPr>
        <w:sectPr>
          <w:pgSz w:w="11900" w:h="16838" w:orient="portrait"/>
          <w:cols w:equalWidth="0" w:num="1">
            <w:col w:w="11420"/>
          </w:cols>
          <w:pgMar w:left="240" w:top="696" w:right="239" w:bottom="0" w:gutter="0" w:footer="0" w:header="0"/>
          <w:type w:val="continuous"/>
        </w:sectPr>
      </w:pPr>
    </w:p>
    <w:bookmarkStart w:id="1" w:name="page2"/>
    <w:bookmarkEnd w:id="1"/>
    <w:p>
      <w:pPr>
        <w:ind w:firstLine="648"/>
        <w:spacing w:after="0" w:line="261" w:lineRule="auto"/>
        <w:rPr>
          <w:sz w:val="20"/>
          <w:szCs w:val="20"/>
          <w:color w:val="auto"/>
        </w:rPr>
      </w:pPr>
      <w:r>
        <w:rPr>
          <w:rFonts w:ascii="Times New Roman" w:cs="Times New Roman" w:eastAsia="Times New Roman" w:hAnsi="Times New Roman"/>
          <w:sz w:val="18"/>
          <w:szCs w:val="18"/>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2" w:lineRule="exact"/>
        <w:rPr>
          <w:sz w:val="20"/>
          <w:szCs w:val="20"/>
          <w:color w:val="auto"/>
        </w:rPr>
      </w:pPr>
    </w:p>
    <w:p>
      <w:pPr>
        <w:ind w:right="60" w:firstLine="648"/>
        <w:spacing w:after="0" w:line="282" w:lineRule="auto"/>
        <w:rPr>
          <w:sz w:val="20"/>
          <w:szCs w:val="20"/>
          <w:color w:val="auto"/>
        </w:rPr>
      </w:pPr>
      <w:r>
        <w:rPr>
          <w:rFonts w:ascii="Times New Roman" w:cs="Times New Roman" w:eastAsia="Times New Roman" w:hAnsi="Times New Roman"/>
          <w:sz w:val="18"/>
          <w:szCs w:val="18"/>
          <w:color w:val="auto"/>
        </w:rPr>
        <w:t>On May 30, 2019, Marvell Technology Group Ltd. (“Marvell”) issued a press release reporting its financial results for the first quarter of fiscal 2020 ended May 4, 2019. A copy of the press release is furnished herewith as Exhibit 99.1 and is incorporated by reference herein.</w:t>
      </w:r>
    </w:p>
    <w:p>
      <w:pPr>
        <w:spacing w:after="0" w:line="162" w:lineRule="exact"/>
        <w:rPr>
          <w:sz w:val="20"/>
          <w:szCs w:val="20"/>
          <w:color w:val="auto"/>
        </w:rPr>
      </w:pPr>
    </w:p>
    <w:p>
      <w:pPr>
        <w:ind w:right="220" w:firstLine="648"/>
        <w:spacing w:after="0" w:line="261" w:lineRule="auto"/>
        <w:rPr>
          <w:sz w:val="20"/>
          <w:szCs w:val="20"/>
          <w:color w:val="auto"/>
        </w:rPr>
      </w:pPr>
      <w:r>
        <w:rPr>
          <w:rFonts w:ascii="Times New Roman" w:cs="Times New Roman" w:eastAsia="Times New Roman" w:hAnsi="Times New Roman"/>
          <w:sz w:val="18"/>
          <w:szCs w:val="18"/>
          <w:color w:val="auto"/>
        </w:rPr>
        <w:t xml:space="preserve">Marvell will conduct a conference call on Thursday, May 30, 2019 at 1:45 p.m. Pacific Time to discuss results for the first quarter of fiscal 2020. Interested parties may join the conference call by dialing 1-844-647-5488 or 1-615-247-0258, pass-code </w:t>
      </w:r>
      <w:r>
        <w:rPr>
          <w:rFonts w:ascii="Times New Roman" w:cs="Times New Roman" w:eastAsia="Times New Roman" w:hAnsi="Times New Roman"/>
          <w:sz w:val="18"/>
          <w:szCs w:val="18"/>
          <w:b w:val="1"/>
          <w:bCs w:val="1"/>
          <w:color w:val="auto"/>
        </w:rPr>
        <w:t>3160468</w:t>
      </w:r>
      <w:r>
        <w:rPr>
          <w:rFonts w:ascii="Times New Roman" w:cs="Times New Roman" w:eastAsia="Times New Roman" w:hAnsi="Times New Roman"/>
          <w:sz w:val="18"/>
          <w:szCs w:val="18"/>
          <w:color w:val="auto"/>
        </w:rPr>
        <w:t>. The call will be webcast by Thomson Reuters and can be accessed at the Marvell Investor Relations website at http://investor.marvell.com/ with a replay available following the call until Friday, June 7, 2019.</w:t>
      </w:r>
    </w:p>
    <w:p>
      <w:pPr>
        <w:spacing w:after="0" w:line="392" w:lineRule="exact"/>
        <w:rPr>
          <w:sz w:val="20"/>
          <w:szCs w:val="20"/>
          <w:color w:val="auto"/>
        </w:rPr>
      </w:pPr>
    </w:p>
    <w:p>
      <w:pPr>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Times New Roman" w:cs="Times New Roman" w:eastAsia="Times New Roman" w:hAnsi="Times New Roman"/>
          <w:sz w:val="18"/>
          <w:szCs w:val="18"/>
          <w:color w:val="auto"/>
        </w:rPr>
        <w:t>(d)</w:t>
        <w:tab/>
        <w:t>Exhibits.</w:t>
      </w:r>
    </w:p>
    <w:p>
      <w:pPr>
        <w:spacing w:after="0" w:line="225" w:lineRule="exact"/>
        <w:rPr>
          <w:sz w:val="20"/>
          <w:szCs w:val="20"/>
          <w:color w:val="auto"/>
        </w:rPr>
      </w:pPr>
    </w:p>
    <w:p>
      <w:pPr>
        <w:ind w:left="1960" w:right="360" w:hanging="647"/>
        <w:spacing w:after="0" w:line="282" w:lineRule="auto"/>
        <w:tabs>
          <w:tab w:leader="none" w:pos="1940" w:val="left"/>
        </w:tabs>
        <w:rPr>
          <w:rFonts w:ascii="Times New Roman" w:cs="Times New Roman" w:eastAsia="Times New Roman" w:hAnsi="Times New Roman"/>
          <w:sz w:val="18"/>
          <w:szCs w:val="18"/>
          <w:u w:val="single" w:color="auto"/>
          <w:color w:val="0000FF"/>
        </w:rPr>
      </w:pPr>
      <w:r>
        <w:rPr>
          <w:rFonts w:ascii="Times New Roman" w:cs="Times New Roman" w:eastAsia="Times New Roman" w:hAnsi="Times New Roman"/>
          <w:sz w:val="18"/>
          <w:szCs w:val="18"/>
          <w:color w:val="auto"/>
        </w:rPr>
        <w:t>99.1</w:t>
      </w:r>
      <w:r>
        <w:rPr>
          <w:sz w:val="20"/>
          <w:szCs w:val="20"/>
          <w:color w:val="auto"/>
        </w:rPr>
        <w:tab/>
      </w:r>
      <w:hyperlink w:anchor="page4">
        <w:r>
          <w:rPr>
            <w:rFonts w:ascii="Times New Roman" w:cs="Times New Roman" w:eastAsia="Times New Roman" w:hAnsi="Times New Roman"/>
            <w:sz w:val="18"/>
            <w:szCs w:val="18"/>
            <w:u w:val="single" w:color="auto"/>
            <w:color w:val="0000FF"/>
          </w:rPr>
          <w:t>Press Release dated May 30, 2019, titled “Marvell Technology Group Ltd. Reports First Quarter of Fiscal Year 2020 Financial</w:t>
        </w:r>
      </w:hyperlink>
      <w:r>
        <w:rPr>
          <w:rFonts w:ascii="Times New Roman" w:cs="Times New Roman" w:eastAsia="Times New Roman" w:hAnsi="Times New Roman"/>
          <w:sz w:val="18"/>
          <w:szCs w:val="18"/>
          <w:u w:val="single" w:color="auto"/>
          <w:color w:val="0000FF"/>
        </w:rPr>
        <w:t xml:space="preserve"> </w:t>
      </w:r>
      <w:hyperlink w:anchor="page4">
        <w:r>
          <w:rPr>
            <w:rFonts w:ascii="Times New Roman" w:cs="Times New Roman" w:eastAsia="Times New Roman" w:hAnsi="Times New Roman"/>
            <w:sz w:val="18"/>
            <w:szCs w:val="18"/>
            <w:u w:val="single" w:color="auto"/>
            <w:color w:val="0000FF"/>
          </w:rPr>
          <w:t>Results”</w:t>
        </w:r>
      </w:hyperlink>
    </w:p>
    <w:p>
      <w:pPr>
        <w:sectPr>
          <w:pgSz w:w="11900" w:h="16838" w:orient="portrait"/>
          <w:cols w:equalWidth="0" w:num="1">
            <w:col w:w="11420"/>
          </w:cols>
          <w:pgMar w:left="240" w:top="335" w:right="239" w:bottom="1440" w:gutter="0" w:footer="0" w:header="0"/>
        </w:sectPr>
      </w:pPr>
    </w:p>
    <w:bookmarkStart w:id="2" w:name="page3"/>
    <w:bookmarkEnd w:id="2"/>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left="654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387" w:lineRule="exact"/>
        <w:rPr>
          <w:sz w:val="20"/>
          <w:szCs w:val="20"/>
          <w:color w:val="auto"/>
        </w:rPr>
      </w:pPr>
    </w:p>
    <w:p>
      <w:pPr>
        <w:ind w:left="840"/>
        <w:spacing w:after="0"/>
        <w:tabs>
          <w:tab w:leader="none" w:pos="6520" w:val="left"/>
          <w:tab w:leader="none" w:pos="7020" w:val="left"/>
        </w:tabs>
        <w:rPr>
          <w:sz w:val="20"/>
          <w:szCs w:val="20"/>
          <w:color w:val="auto"/>
        </w:rPr>
      </w:pPr>
      <w:r>
        <w:rPr>
          <w:rFonts w:ascii="Times New Roman" w:cs="Times New Roman" w:eastAsia="Times New Roman" w:hAnsi="Times New Roman"/>
          <w:sz w:val="18"/>
          <w:szCs w:val="18"/>
          <w:color w:val="auto"/>
        </w:rPr>
        <w:t>Date: May 30, 2019</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4447540</wp:posOffset>
            </wp:positionH>
            <wp:positionV relativeFrom="paragraph">
              <wp:posOffset>34290</wp:posOffset>
            </wp:positionV>
            <wp:extent cx="229806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298065" cy="8890"/>
                    </a:xfrm>
                    <a:prstGeom prst="rect">
                      <a:avLst/>
                    </a:prstGeom>
                    <a:noFill/>
                  </pic:spPr>
                </pic:pic>
              </a:graphicData>
            </a:graphic>
          </wp:anchor>
        </w:drawing>
      </w:r>
    </w:p>
    <w:p>
      <w:pPr>
        <w:spacing w:after="0" w:line="53" w:lineRule="exact"/>
        <w:rPr>
          <w:sz w:val="20"/>
          <w:szCs w:val="20"/>
          <w:color w:val="auto"/>
        </w:rPr>
      </w:pPr>
    </w:p>
    <w:p>
      <w:pPr>
        <w:ind w:left="704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63" w:lineRule="exact"/>
        <w:rPr>
          <w:sz w:val="20"/>
          <w:szCs w:val="20"/>
          <w:color w:val="auto"/>
        </w:rPr>
      </w:pPr>
    </w:p>
    <w:p>
      <w:pPr>
        <w:ind w:left="704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1380"/>
          </w:cols>
          <w:pgMar w:left="240" w:top="576" w:right="27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5467985</wp:posOffset>
            </wp:positionH>
            <wp:positionV relativeFrom="paragraph">
              <wp:posOffset>182880</wp:posOffset>
            </wp:positionV>
            <wp:extent cx="1783715" cy="1371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78371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Reports First Quarter of Fiscal Year 2020</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Financial Results</w:t>
      </w:r>
    </w:p>
    <w:p>
      <w:pPr>
        <w:spacing w:after="0" w:line="112" w:lineRule="exact"/>
        <w:rPr>
          <w:sz w:val="20"/>
          <w:szCs w:val="20"/>
          <w:color w:val="auto"/>
        </w:rPr>
      </w:pPr>
    </w:p>
    <w:p>
      <w:pPr>
        <w:ind w:left="660" w:hanging="328"/>
        <w:spacing w:after="0"/>
        <w:tabs>
          <w:tab w:leader="none" w:pos="6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Q1 Revenue: $662 million</w:t>
      </w:r>
    </w:p>
    <w:p>
      <w:pPr>
        <w:spacing w:after="0" w:line="27"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Q1 Gross Margin: 54.6% GAAP gross margin; 64.1% non-GAAP gross margin</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Q1 Diluted income (loss) per share: $(0.07) GAAP diluted loss per share; $0.16 non-GAAP diluted income per share</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 and short-term investments: $572 million</w:t>
      </w:r>
    </w:p>
    <w:p>
      <w:pPr>
        <w:spacing w:after="0" w:line="203" w:lineRule="exact"/>
        <w:rPr>
          <w:sz w:val="20"/>
          <w:szCs w:val="20"/>
          <w:color w:val="auto"/>
        </w:rPr>
      </w:pPr>
    </w:p>
    <w:p>
      <w:pPr>
        <w:ind w:right="2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Santa Clara, Calif. (May 30, 2019) </w:t>
      </w:r>
      <w:r>
        <w:rPr>
          <w:rFonts w:ascii="Times New Roman" w:cs="Times New Roman" w:eastAsia="Times New Roman" w:hAnsi="Times New Roman"/>
          <w:sz w:val="18"/>
          <w:szCs w:val="18"/>
          <w:color w:val="auto"/>
        </w:rPr>
        <w:t>- Marvell Technology Group Ltd. (NASDAQ: MRVL), a leader in infrastructure semiconductor solutions, today reported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financial results for the first quarter of fiscal year 2020. Revenue for the first quarter of fiscal 2020 was $662 million, which exceeded the midpoint of the Company's guidance provided on March 7, 2019.</w:t>
      </w:r>
    </w:p>
    <w:p>
      <w:pPr>
        <w:spacing w:after="0" w:line="67" w:lineRule="exact"/>
        <w:rPr>
          <w:sz w:val="20"/>
          <w:szCs w:val="20"/>
          <w:color w:val="auto"/>
        </w:rPr>
      </w:pPr>
    </w:p>
    <w:p>
      <w:pPr>
        <w:ind w:right="280"/>
        <w:spacing w:after="0" w:line="282" w:lineRule="auto"/>
        <w:rPr>
          <w:sz w:val="20"/>
          <w:szCs w:val="20"/>
          <w:color w:val="auto"/>
        </w:rPr>
      </w:pPr>
      <w:r>
        <w:rPr>
          <w:rFonts w:ascii="Times New Roman" w:cs="Times New Roman" w:eastAsia="Times New Roman" w:hAnsi="Times New Roman"/>
          <w:sz w:val="18"/>
          <w:szCs w:val="18"/>
          <w:color w:val="auto"/>
        </w:rPr>
        <w:t>GAAP net loss for the first quarter of fiscal 2020 was $(48) million, or $(0.07) per diluted share. Non-GAAP net income for the first quarter of fiscal 2020 was $105 million, or $0.16 per diluted share. Cash flow from operations for the first quarter was $166 million.</w:t>
      </w:r>
    </w:p>
    <w:p>
      <w:pPr>
        <w:spacing w:after="0" w:line="270" w:lineRule="exact"/>
        <w:rPr>
          <w:sz w:val="20"/>
          <w:szCs w:val="20"/>
          <w:color w:val="auto"/>
        </w:rPr>
      </w:pPr>
    </w:p>
    <w:p>
      <w:pPr>
        <w:ind w:right="280"/>
        <w:spacing w:after="0" w:line="266" w:lineRule="auto"/>
        <w:rPr>
          <w:sz w:val="20"/>
          <w:szCs w:val="20"/>
          <w:color w:val="auto"/>
        </w:rPr>
      </w:pPr>
      <w:r>
        <w:rPr>
          <w:rFonts w:ascii="Times New Roman" w:cs="Times New Roman" w:eastAsia="Times New Roman" w:hAnsi="Times New Roman"/>
          <w:sz w:val="18"/>
          <w:szCs w:val="18"/>
          <w:color w:val="auto"/>
        </w:rPr>
        <w:t>“Marvell continues to take bold steps despite a challenging near-term environment to improve our portfolio through strategic capital deployment and drive long term shareholder value” said Matt Murphy, Marvell’s President and CEO. “With the production ramp of our first 5G products later this year, and a growing pipeline of new wireless infrastructure design wins, Marvell is well positioned to becoming a leading silicon supplier to this market.”</w:t>
      </w:r>
    </w:p>
    <w:p>
      <w:pPr>
        <w:spacing w:after="0" w:line="392" w:lineRule="exact"/>
        <w:rPr>
          <w:sz w:val="20"/>
          <w:szCs w:val="20"/>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Marvell's second quarter guidance takes into account the estimated impact from the U.S. Government's recently announced export restriction to one of our customers.</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Second Quarter of Fiscal 2020 Financial Outlook</w:t>
      </w:r>
    </w:p>
    <w:p>
      <w:pPr>
        <w:spacing w:after="0" w:line="135" w:lineRule="exact"/>
        <w:rPr>
          <w:sz w:val="20"/>
          <w:szCs w:val="20"/>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Revenue is expected to be $650 million +/- 3%.</w:t>
      </w:r>
    </w:p>
    <w:p>
      <w:pPr>
        <w:spacing w:after="0" w:line="27"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gross margin is expected to be 53% to 54%.</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gross margin is expected to be 63% to 64%.</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operating expenses are expected to be $370 million to $380 million.</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expenses are expected to be $285 million to $290 million.</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diluted loss per share is expected to be $(0.09) to $(0.05) per share.</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diluted income per share is expected to be $0.13 to $0.17 per share.</w:t>
      </w:r>
    </w:p>
    <w:p>
      <w:pPr>
        <w:sectPr>
          <w:pgSz w:w="11900" w:h="16838" w:orient="portrait"/>
          <w:cols w:equalWidth="0" w:num="1">
            <w:col w:w="11420"/>
          </w:cols>
          <w:pgMar w:left="240" w:top="117" w:right="239" w:bottom="1440" w:gutter="0" w:footer="0" w:header="0"/>
        </w:sectPr>
      </w:pPr>
    </w:p>
    <w:bookmarkStart w:id="4" w:name="page5"/>
    <w:bookmarkEnd w:id="4"/>
    <w:p>
      <w:pPr>
        <w:ind w:right="280"/>
        <w:spacing w:after="0" w:line="261" w:lineRule="auto"/>
        <w:rPr>
          <w:sz w:val="20"/>
          <w:szCs w:val="20"/>
          <w:color w:val="auto"/>
        </w:rPr>
      </w:pPr>
      <w:r>
        <w:rPr>
          <w:rFonts w:ascii="Times New Roman" w:cs="Times New Roman" w:eastAsia="Times New Roman" w:hAnsi="Times New Roman"/>
          <w:sz w:val="18"/>
          <w:szCs w:val="18"/>
          <w:color w:val="auto"/>
        </w:rPr>
        <w:t>On May 6, 2019, Marvell announced its intent to acquire Aquantia, Corp. (“Aquantia”), a publicly traded company. Marvell anticipates that upon closing, this acquisition will position it to further capitalize on automotive in-vehicle networking and strengthen its Multi-Gig Ethernet portfolio for enterprise infrastructure, data center and access. The transaction is expected to close by December 2019, subject to regulatory approval as well as other customary closing conditions, including the adoption by Aquantia shareholders of the merger agreement.</w:t>
      </w:r>
    </w:p>
    <w:p>
      <w:pPr>
        <w:spacing w:after="0" w:line="180"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On May 20, 2019, Marvell announced definitive agreements to purchase Avera Semiconductor, the application specific integrated circuit (“ASIC”) business of GlobalFoundries Inc. Marvell expects that upon closing, this acquisition will bring together Avera Semiconductor's leading custom design capabilities with its advanced technology platform and scale, creating a leading ASIC supplier for wired and wireless infrastructure while extending its reach in 5G base stations. The transaction is expected to close by January 2020 pending receipt of regulatory approvals and other customary closing conditions.</w:t>
      </w:r>
    </w:p>
    <w:p>
      <w:pPr>
        <w:spacing w:after="0" w:line="180" w:lineRule="exact"/>
        <w:rPr>
          <w:sz w:val="20"/>
          <w:szCs w:val="20"/>
          <w:color w:val="auto"/>
        </w:rPr>
      </w:pPr>
    </w:p>
    <w:p>
      <w:pPr>
        <w:jc w:val="both"/>
        <w:ind w:right="140"/>
        <w:spacing w:after="0" w:line="266" w:lineRule="auto"/>
        <w:rPr>
          <w:sz w:val="20"/>
          <w:szCs w:val="20"/>
          <w:color w:val="auto"/>
        </w:rPr>
      </w:pPr>
      <w:r>
        <w:rPr>
          <w:rFonts w:ascii="Times New Roman" w:cs="Times New Roman" w:eastAsia="Times New Roman" w:hAnsi="Times New Roman"/>
          <w:sz w:val="18"/>
          <w:szCs w:val="18"/>
          <w:color w:val="auto"/>
        </w:rPr>
        <w:t>On May 29, 2019, Marvell announced a definitive agreement under which NXP will acquire Marvell's Wi-Fi Connectivity business. Marvell anticipates that this divestiture will unlock substantial value, enhance its margins upon closing and accelerate its transformation into a leading infrastructure semiconductor solution supplier. The transaction is expected to close by March 2020, subject to customary closing conditions and regulatory approvals.</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Conference Call</w:t>
      </w:r>
    </w:p>
    <w:p>
      <w:pPr>
        <w:spacing w:after="0" w:line="31" w:lineRule="exact"/>
        <w:rPr>
          <w:sz w:val="20"/>
          <w:szCs w:val="20"/>
          <w:color w:val="auto"/>
        </w:rPr>
      </w:pPr>
    </w:p>
    <w:p>
      <w:pPr>
        <w:jc w:val="both"/>
        <w:ind w:right="200"/>
        <w:spacing w:after="0" w:line="255" w:lineRule="auto"/>
        <w:rPr>
          <w:sz w:val="20"/>
          <w:szCs w:val="20"/>
          <w:color w:val="auto"/>
        </w:rPr>
      </w:pPr>
      <w:r>
        <w:rPr>
          <w:rFonts w:ascii="Times New Roman" w:cs="Times New Roman" w:eastAsia="Times New Roman" w:hAnsi="Times New Roman"/>
          <w:sz w:val="18"/>
          <w:szCs w:val="18"/>
          <w:color w:val="auto"/>
        </w:rPr>
        <w:t>Marvell will conduct a conference call on Thursday, May 30, 2019 at 1:45 p.m. Pacific Time to discuss results for the first quarter of fiscal 2020. Interested parties may join the conference call by dialing 1-844-647-5488 or 1-615-247-0258, pass-code 3160468. The call will be webcast and can be accessed at the Marvell Investor Relations website at http://investor.marvell.com/ with a replay available following the call until Friday, June 7, 2019.</w:t>
      </w:r>
    </w:p>
    <w:p>
      <w:pPr>
        <w:spacing w:after="0" w:line="18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Discussion of Non-GAAP Financial Measures</w:t>
      </w:r>
    </w:p>
    <w:p>
      <w:pPr>
        <w:spacing w:after="0" w:line="121" w:lineRule="exact"/>
        <w:rPr>
          <w:sz w:val="20"/>
          <w:szCs w:val="20"/>
          <w:color w:val="auto"/>
        </w:rPr>
      </w:pPr>
    </w:p>
    <w:p>
      <w:pPr>
        <w:ind w:right="280"/>
        <w:spacing w:after="0" w:line="266" w:lineRule="auto"/>
        <w:rPr>
          <w:sz w:val="20"/>
          <w:szCs w:val="20"/>
          <w:color w:val="auto"/>
        </w:rPr>
      </w:pPr>
      <w:r>
        <w:rPr>
          <w:rFonts w:ascii="Times New Roman" w:cs="Times New Roman" w:eastAsia="Times New Roman" w:hAnsi="Times New Roman"/>
          <w:sz w:val="18"/>
          <w:szCs w:val="18"/>
          <w:color w:val="auto"/>
        </w:rPr>
        <w:t>Non-GAAP financial measures exclude the effect of share-based compensation expense, amortization of the inventory fair value step up,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business.</w:t>
      </w:r>
    </w:p>
    <w:p>
      <w:pPr>
        <w:spacing w:after="0" w:line="68"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first quarter of fiscal 2020, a non-GAAP tax rate of 4.5% has been applied to the non-GAAP financial results.</w:t>
      </w:r>
    </w:p>
    <w:p>
      <w:pPr>
        <w:spacing w:after="0" w:line="80"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80" w:lineRule="exact"/>
        <w:rPr>
          <w:sz w:val="20"/>
          <w:szCs w:val="20"/>
          <w:color w:val="auto"/>
        </w:rPr>
      </w:pPr>
    </w:p>
    <w:p>
      <w:pPr>
        <w:ind w:right="780"/>
        <w:spacing w:after="0" w:line="282" w:lineRule="auto"/>
        <w:rPr>
          <w:sz w:val="20"/>
          <w:szCs w:val="20"/>
          <w:color w:val="auto"/>
        </w:rPr>
      </w:pPr>
      <w:r>
        <w:rPr>
          <w:rFonts w:ascii="Times New Roman" w:cs="Times New Roman" w:eastAsia="Times New Roman" w:hAnsi="Times New Roman"/>
          <w:sz w:val="18"/>
          <w:szCs w:val="18"/>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67" w:lineRule="exact"/>
        <w:rPr>
          <w:sz w:val="20"/>
          <w:szCs w:val="20"/>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evaluation of Marvell’s operating performance;</w:t>
      </w:r>
    </w:p>
    <w:p>
      <w:pPr>
        <w:spacing w:after="0" w:line="27"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establishment of internal operating budgets;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performance comparisons with internal forecasts and targeted business models; and</w:t>
      </w:r>
    </w:p>
    <w:p>
      <w:pPr>
        <w:spacing w:after="0" w:line="9" w:lineRule="exact"/>
        <w:rPr>
          <w:rFonts w:ascii="Times New Roman" w:cs="Times New Roman" w:eastAsia="Times New Roman" w:hAnsi="Times New Roman"/>
          <w:sz w:val="18"/>
          <w:szCs w:val="18"/>
          <w:color w:val="auto"/>
        </w:rPr>
      </w:pPr>
    </w:p>
    <w:p>
      <w:pPr>
        <w:ind w:left="660" w:right="140" w:hanging="328"/>
        <w:spacing w:after="0" w:line="261" w:lineRule="auto"/>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determination of the achievement and measurement of certain performance-based equity awards (adjustments may vary from award to award).</w:t>
      </w:r>
    </w:p>
    <w:p>
      <w:pPr>
        <w:sectPr>
          <w:pgSz w:w="11900" w:h="16838" w:orient="portrait"/>
          <w:cols w:equalWidth="0" w:num="1">
            <w:col w:w="11400"/>
          </w:cols>
          <w:pgMar w:left="240" w:top="364" w:right="259" w:bottom="1440" w:gutter="0" w:footer="0" w:header="0"/>
        </w:sectPr>
      </w:pPr>
    </w:p>
    <w:bookmarkStart w:id="5" w:name="page6"/>
    <w:bookmarkEnd w:id="5"/>
    <w:p>
      <w:pPr>
        <w:spacing w:after="0" w:line="261" w:lineRule="auto"/>
        <w:rPr>
          <w:sz w:val="20"/>
          <w:szCs w:val="20"/>
          <w:color w:val="auto"/>
        </w:rPr>
      </w:pPr>
      <w:r>
        <w:rPr>
          <w:rFonts w:ascii="Times New Roman" w:cs="Times New Roman" w:eastAsia="Times New Roman" w:hAnsi="Times New Roman"/>
          <w:sz w:val="18"/>
          <w:szCs w:val="18"/>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67" w:lineRule="auto"/>
        <w:rPr>
          <w:sz w:val="20"/>
          <w:szCs w:val="20"/>
          <w:color w:val="auto"/>
        </w:rPr>
      </w:pPr>
      <w:r>
        <w:rPr>
          <w:rFonts w:ascii="Times New Roman" w:cs="Times New Roman" w:eastAsia="Times New Roman" w:hAnsi="Times New Roman"/>
          <w:sz w:val="17"/>
          <w:szCs w:val="17"/>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risk that the proposed acquisitions of Aquantia, Corp. and the Application Specific Integrated Circuit (ASIC) business of GLOBALFOUNDRIES and the divestiture of Marvell's Wi-Fi Connectivity business to NXP (collectively, the “Transactions”) will not be completed; the risk that the company may not realize the anticipated benefits of the Transactions; the effect of the consummation of the Transactions on the company's business relationships, operating results, and business generally; potential difficulties in employee retention as a result of the Transactions; the ability of Marvell to successfully integrate operations and product lines related to the acquisitions; the ability of Marvell to implement its plans, forecasts, and other expectations with respect to the Transactions and realize the anticipated synergies and cost savings in the time frame anticipated or at all; the risk of downturns in the highly cyclical semiconductor industry; Marvell’s dependence upon the storage and networking markets, which are highly cyclical and intensely competitive; the outcome of pending or future litigation and legal and regulatory proceedings; Marvell’s dependence on a small number of customers; severe financial hardship or bankruptcy of one or more of Marvell’s major customers; Marvell's ability to define, design and develop products for the 5G market; Marvell's ability to market its 5G products to Tier 1 infrastructure customers;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the impact of international conflict and economic volatility in either domestic or foreign markets; the effects of transitioning to smaller geometry process technologies; the risks associated with manufacturing and selling products and customers’ products outside of the United States; risks associated with acquisition and consolidation activity in the semiconductor industry; the impact of any change in the income tax laws in jurisdictions where Marvell operates and the loss of any beneficial tax treatment that Marvell currently enjoys; the effects of any other potential acquisitions, divestitures or investments; Marvell’s ability to protect its intellectual property; the impact and costs associated with changes in international financial and regulatory conditions; Marvell’s maintenance of an effective system of internal controls; and other risks detailed in Marvell’s SEC filings from time to time. For other factors that could cause Marvell’s results to vary from expectations, please see the risk factors identified in Marvell’s Quarterly Report on Form 10-K for the fiscal year ended February 2, 2019 as filed with the SEC on March 28, 2019, and other factors detailed from time to time in Marvell’s filings with the SEC. Marvell undertakes no obligation to revise or update publicly any forward-looking statements.</w:t>
      </w:r>
    </w:p>
    <w:p>
      <w:pPr>
        <w:sectPr>
          <w:pgSz w:w="11900" w:h="16838" w:orient="portrait"/>
          <w:cols w:equalWidth="0" w:num="1">
            <w:col w:w="11400"/>
          </w:cols>
          <w:pgMar w:left="240" w:top="364" w:right="25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25"/>
          <w:szCs w:val="25"/>
          <w:i w:val="1"/>
          <w:iCs w:val="1"/>
          <w:color w:val="auto"/>
          <w:vertAlign w:val="superscript"/>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240" w:top="576" w:right="479" w:bottom="1440" w:gutter="0" w:footer="0" w:header="0"/>
        </w:sectPr>
      </w:pPr>
    </w:p>
    <w:bookmarkStart w:id="7" w:name="page8"/>
    <w:bookmarkEnd w:id="7"/>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602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2"/>
          </w:tcPr>
          <w:p>
            <w:pPr>
              <w:ind w:left="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3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spacing w:after="0"/>
              <w:rPr>
                <w:sz w:val="16"/>
                <w:szCs w:val="16"/>
                <w:color w:val="auto"/>
              </w:rPr>
            </w:pPr>
          </w:p>
        </w:tc>
      </w:tr>
      <w:tr>
        <w:trPr>
          <w:trHeight w:val="149"/>
        </w:trPr>
        <w:tc>
          <w:tcPr>
            <w:tcW w:w="60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40" w:type="dxa"/>
            <w:vAlign w:val="bottom"/>
            <w:gridSpan w:val="2"/>
          </w:tcPr>
          <w:p>
            <w:pPr>
              <w:ind w:left="260"/>
              <w:spacing w:after="0" w:line="149" w:lineRule="exact"/>
              <w:rPr>
                <w:sz w:val="20"/>
                <w:szCs w:val="20"/>
                <w:color w:val="auto"/>
              </w:rPr>
            </w:pPr>
            <w:r>
              <w:rPr>
                <w:rFonts w:ascii="Times New Roman" w:cs="Times New Roman" w:eastAsia="Times New Roman" w:hAnsi="Times New Roman"/>
                <w:sz w:val="14"/>
                <w:szCs w:val="14"/>
                <w:b w:val="1"/>
                <w:bCs w:val="1"/>
                <w:color w:val="auto"/>
              </w:rPr>
              <w:t>May 4,</w:t>
            </w:r>
          </w:p>
        </w:tc>
        <w:tc>
          <w:tcPr>
            <w:tcW w:w="180" w:type="dxa"/>
            <w:vAlign w:val="bottom"/>
          </w:tcPr>
          <w:p>
            <w:pPr>
              <w:spacing w:after="0"/>
              <w:rPr>
                <w:sz w:val="12"/>
                <w:szCs w:val="12"/>
                <w:color w:val="auto"/>
              </w:rPr>
            </w:pPr>
          </w:p>
        </w:tc>
        <w:tc>
          <w:tcPr>
            <w:tcW w:w="1640" w:type="dxa"/>
            <w:vAlign w:val="bottom"/>
            <w:gridSpan w:val="2"/>
          </w:tcPr>
          <w:p>
            <w:pPr>
              <w:ind w:left="300"/>
              <w:spacing w:after="0" w:line="149" w:lineRule="exact"/>
              <w:rPr>
                <w:sz w:val="20"/>
                <w:szCs w:val="20"/>
                <w:color w:val="auto"/>
              </w:rPr>
            </w:pPr>
            <w:r>
              <w:rPr>
                <w:rFonts w:ascii="Times New Roman" w:cs="Times New Roman" w:eastAsia="Times New Roman" w:hAnsi="Times New Roman"/>
                <w:sz w:val="14"/>
                <w:szCs w:val="14"/>
                <w:b w:val="1"/>
                <w:bCs w:val="1"/>
                <w:color w:val="auto"/>
              </w:rPr>
              <w:t>February 2,</w:t>
            </w:r>
          </w:p>
        </w:tc>
        <w:tc>
          <w:tcPr>
            <w:tcW w:w="360" w:type="dxa"/>
            <w:vAlign w:val="bottom"/>
          </w:tcPr>
          <w:p>
            <w:pPr>
              <w:spacing w:after="0"/>
              <w:rPr>
                <w:sz w:val="12"/>
                <w:szCs w:val="12"/>
                <w:color w:val="auto"/>
              </w:rPr>
            </w:pPr>
          </w:p>
        </w:tc>
        <w:tc>
          <w:tcPr>
            <w:tcW w:w="1340" w:type="dxa"/>
            <w:vAlign w:val="bottom"/>
          </w:tcPr>
          <w:p>
            <w:pPr>
              <w:jc w:val="right"/>
              <w:ind w:right="572"/>
              <w:spacing w:after="0" w:line="149" w:lineRule="exact"/>
              <w:rPr>
                <w:sz w:val="20"/>
                <w:szCs w:val="20"/>
                <w:color w:val="auto"/>
              </w:rPr>
            </w:pPr>
            <w:r>
              <w:rPr>
                <w:rFonts w:ascii="Times New Roman" w:cs="Times New Roman" w:eastAsia="Times New Roman" w:hAnsi="Times New Roman"/>
                <w:sz w:val="14"/>
                <w:szCs w:val="14"/>
                <w:b w:val="1"/>
                <w:bCs w:val="1"/>
                <w:color w:val="auto"/>
              </w:rPr>
              <w:t>May 5,</w:t>
            </w:r>
          </w:p>
        </w:tc>
      </w:tr>
      <w:tr>
        <w:trPr>
          <w:trHeight w:val="195"/>
        </w:trPr>
        <w:tc>
          <w:tcPr>
            <w:tcW w:w="6020" w:type="dxa"/>
            <w:vAlign w:val="bottom"/>
            <w:tcBorders>
              <w:bottom w:val="single" w:sz="8" w:color="CCEEFF"/>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612"/>
              <w:spacing w:after="0"/>
              <w:rPr>
                <w:sz w:val="20"/>
                <w:szCs w:val="20"/>
                <w:color w:val="auto"/>
              </w:rPr>
            </w:pPr>
            <w:r>
              <w:rPr>
                <w:rFonts w:ascii="Times New Roman" w:cs="Times New Roman" w:eastAsia="Times New Roman" w:hAnsi="Times New Roman"/>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tcPr>
          <w:p>
            <w:pPr>
              <w:jc w:val="right"/>
              <w:ind w:right="612"/>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612"/>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49"/>
        </w:trPr>
        <w:tc>
          <w:tcPr>
            <w:tcW w:w="60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revenue</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662,452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744,799</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604,631</w:t>
            </w:r>
          </w:p>
        </w:tc>
      </w:tr>
      <w:tr>
        <w:trPr>
          <w:trHeight w:val="243"/>
        </w:trPr>
        <w:tc>
          <w:tcPr>
            <w:tcW w:w="60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Cost of goods sold</w:t>
            </w: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301,024</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422,797</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228,938</w:t>
            </w:r>
          </w:p>
        </w:tc>
      </w:tr>
      <w:tr>
        <w:trPr>
          <w:trHeight w:val="27"/>
        </w:trPr>
        <w:tc>
          <w:tcPr>
            <w:tcW w:w="60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64"/>
        </w:trPr>
        <w:tc>
          <w:tcPr>
            <w:tcW w:w="60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profit</w:t>
            </w:r>
          </w:p>
        </w:tc>
        <w:tc>
          <w:tcPr>
            <w:tcW w:w="36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361,428</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322,002</w:t>
            </w:r>
          </w:p>
        </w:tc>
        <w:tc>
          <w:tcPr>
            <w:tcW w:w="1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375,693</w:t>
            </w:r>
          </w:p>
        </w:tc>
      </w:tr>
      <w:tr>
        <w:trPr>
          <w:trHeight w:val="318"/>
        </w:trPr>
        <w:tc>
          <w:tcPr>
            <w:tcW w:w="6020" w:type="dxa"/>
            <w:vAlign w:val="bottom"/>
          </w:tcPr>
          <w:p>
            <w:pPr>
              <w:spacing w:after="0"/>
              <w:rPr>
                <w:sz w:val="24"/>
                <w:szCs w:val="24"/>
                <w:color w:val="auto"/>
              </w:rPr>
            </w:pPr>
          </w:p>
        </w:tc>
        <w:tc>
          <w:tcPr>
            <w:tcW w:w="360" w:type="dxa"/>
            <w:vAlign w:val="bottom"/>
            <w:tcBorders>
              <w:top w:val="single" w:sz="8" w:color="auto"/>
            </w:tcBorders>
          </w:tcPr>
          <w:p>
            <w:pPr>
              <w:spacing w:after="0"/>
              <w:rPr>
                <w:sz w:val="24"/>
                <w:szCs w:val="24"/>
                <w:color w:val="auto"/>
              </w:rPr>
            </w:pPr>
          </w:p>
        </w:tc>
        <w:tc>
          <w:tcPr>
            <w:tcW w:w="134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52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Borders>
              <w:top w:val="single" w:sz="8" w:color="auto"/>
            </w:tcBorders>
          </w:tcPr>
          <w:p>
            <w:pPr>
              <w:spacing w:after="0"/>
              <w:rPr>
                <w:sz w:val="24"/>
                <w:szCs w:val="24"/>
                <w:color w:val="auto"/>
              </w:rPr>
            </w:pPr>
          </w:p>
        </w:tc>
        <w:tc>
          <w:tcPr>
            <w:tcW w:w="1340" w:type="dxa"/>
            <w:vAlign w:val="bottom"/>
            <w:tcBorders>
              <w:top w:val="single" w:sz="8" w:color="auto"/>
            </w:tcBorders>
          </w:tcPr>
          <w:p>
            <w:pPr>
              <w:spacing w:after="0"/>
              <w:rPr>
                <w:sz w:val="24"/>
                <w:szCs w:val="24"/>
                <w:color w:val="auto"/>
              </w:rPr>
            </w:pPr>
          </w:p>
        </w:tc>
      </w:tr>
      <w:tr>
        <w:trPr>
          <w:trHeight w:val="250"/>
        </w:trPr>
        <w:tc>
          <w:tcPr>
            <w:tcW w:w="60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Operating expenses:</w:t>
            </w: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r>
      <w:tr>
        <w:trPr>
          <w:trHeight w:val="243"/>
        </w:trPr>
        <w:tc>
          <w:tcPr>
            <w:tcW w:w="6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Research and development</w:t>
            </w: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266,867</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256,102</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176,734</w:t>
            </w:r>
          </w:p>
        </w:tc>
      </w:tr>
      <w:tr>
        <w:trPr>
          <w:trHeight w:val="27"/>
        </w:trPr>
        <w:tc>
          <w:tcPr>
            <w:tcW w:w="60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602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110,005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106,168</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72,313</w:t>
            </w:r>
          </w:p>
        </w:tc>
      </w:tr>
      <w:tr>
        <w:trPr>
          <w:trHeight w:val="243"/>
        </w:trPr>
        <w:tc>
          <w:tcPr>
            <w:tcW w:w="6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5,682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12,740</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1,567</w:t>
            </w:r>
          </w:p>
        </w:tc>
      </w:tr>
      <w:tr>
        <w:trPr>
          <w:trHeight w:val="27"/>
        </w:trPr>
        <w:tc>
          <w:tcPr>
            <w:tcW w:w="60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64"/>
        </w:trPr>
        <w:tc>
          <w:tcPr>
            <w:tcW w:w="602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Total operating expenses</w:t>
            </w:r>
          </w:p>
        </w:tc>
        <w:tc>
          <w:tcPr>
            <w:tcW w:w="36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382,554</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375,010</w:t>
            </w:r>
          </w:p>
        </w:tc>
        <w:tc>
          <w:tcPr>
            <w:tcW w:w="1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250,614</w:t>
            </w:r>
          </w:p>
        </w:tc>
      </w:tr>
      <w:tr>
        <w:trPr>
          <w:trHeight w:val="237"/>
        </w:trPr>
        <w:tc>
          <w:tcPr>
            <w:tcW w:w="60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Operating income (loss)</w:t>
            </w:r>
          </w:p>
        </w:tc>
        <w:tc>
          <w:tcPr>
            <w:tcW w:w="36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(21,126)</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5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(53,008)</w:t>
            </w:r>
          </w:p>
        </w:tc>
        <w:tc>
          <w:tcPr>
            <w:tcW w:w="12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125,079</w:t>
            </w:r>
          </w:p>
        </w:tc>
      </w:tr>
      <w:tr>
        <w:trPr>
          <w:trHeight w:val="27"/>
        </w:trPr>
        <w:tc>
          <w:tcPr>
            <w:tcW w:w="60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602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Interest income</w:t>
            </w: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1,268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1,236</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6,069</w:t>
            </w:r>
          </w:p>
        </w:tc>
      </w:tr>
      <w:tr>
        <w:trPr>
          <w:trHeight w:val="243"/>
        </w:trPr>
        <w:tc>
          <w:tcPr>
            <w:tcW w:w="6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Interest expense</w:t>
            </w:r>
          </w:p>
        </w:tc>
        <w:tc>
          <w:tcPr>
            <w:tcW w:w="36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(21,203)</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(21,953)</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(244)</w:t>
            </w:r>
          </w:p>
        </w:tc>
      </w:tr>
      <w:tr>
        <w:trPr>
          <w:trHeight w:val="27"/>
        </w:trPr>
        <w:tc>
          <w:tcPr>
            <w:tcW w:w="60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602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Other income (loss), net</w:t>
            </w:r>
          </w:p>
        </w:tc>
        <w:tc>
          <w:tcPr>
            <w:tcW w:w="36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(116)</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4,377</w:t>
            </w:r>
          </w:p>
        </w:tc>
        <w:tc>
          <w:tcPr>
            <w:tcW w:w="12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1,471</w:t>
            </w:r>
          </w:p>
        </w:tc>
      </w:tr>
      <w:tr>
        <w:trPr>
          <w:trHeight w:val="237"/>
        </w:trPr>
        <w:tc>
          <w:tcPr>
            <w:tcW w:w="602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Interest and other income (loss), net</w:t>
            </w:r>
          </w:p>
        </w:tc>
        <w:tc>
          <w:tcPr>
            <w:tcW w:w="36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(20,051)</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5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(16,340)</w:t>
            </w:r>
          </w:p>
        </w:tc>
        <w:tc>
          <w:tcPr>
            <w:tcW w:w="12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7,296</w:t>
            </w:r>
          </w:p>
        </w:tc>
      </w:tr>
      <w:tr>
        <w:trPr>
          <w:trHeight w:val="27"/>
        </w:trPr>
        <w:tc>
          <w:tcPr>
            <w:tcW w:w="60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44"/>
        </w:trPr>
        <w:tc>
          <w:tcPr>
            <w:tcW w:w="60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(loss) before income taxes</w:t>
            </w: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(41,177)</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(69,348)</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132,375</w:t>
            </w:r>
          </w:p>
        </w:tc>
      </w:tr>
      <w:tr>
        <w:trPr>
          <w:trHeight w:val="243"/>
        </w:trPr>
        <w:tc>
          <w:tcPr>
            <w:tcW w:w="60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7,273</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191,350</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3,763</w:t>
            </w:r>
          </w:p>
        </w:tc>
      </w:tr>
      <w:tr>
        <w:trPr>
          <w:trHeight w:val="27"/>
        </w:trPr>
        <w:tc>
          <w:tcPr>
            <w:tcW w:w="60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64"/>
        </w:trPr>
        <w:tc>
          <w:tcPr>
            <w:tcW w:w="60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w:t>
            </w:r>
          </w:p>
        </w:tc>
        <w:tc>
          <w:tcPr>
            <w:tcW w:w="36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(48,450)</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(260,698)</w:t>
            </w:r>
          </w:p>
        </w:tc>
        <w:tc>
          <w:tcPr>
            <w:tcW w:w="1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128,612</w:t>
            </w:r>
          </w:p>
        </w:tc>
      </w:tr>
      <w:tr>
        <w:trPr>
          <w:trHeight w:val="291"/>
        </w:trPr>
        <w:tc>
          <w:tcPr>
            <w:tcW w:w="6020" w:type="dxa"/>
            <w:vAlign w:val="bottom"/>
          </w:tcPr>
          <w:p>
            <w:pPr>
              <w:spacing w:after="0"/>
              <w:rPr>
                <w:sz w:val="24"/>
                <w:szCs w:val="24"/>
                <w:color w:val="auto"/>
              </w:rPr>
            </w:pPr>
          </w:p>
        </w:tc>
        <w:tc>
          <w:tcPr>
            <w:tcW w:w="360" w:type="dxa"/>
            <w:vAlign w:val="bottom"/>
            <w:tcBorders>
              <w:top w:val="single" w:sz="8" w:color="auto"/>
            </w:tcBorders>
          </w:tcPr>
          <w:p>
            <w:pPr>
              <w:spacing w:after="0"/>
              <w:rPr>
                <w:sz w:val="24"/>
                <w:szCs w:val="24"/>
                <w:color w:val="auto"/>
              </w:rPr>
            </w:pPr>
          </w:p>
        </w:tc>
        <w:tc>
          <w:tcPr>
            <w:tcW w:w="134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52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Borders>
              <w:top w:val="single" w:sz="8" w:color="auto"/>
            </w:tcBorders>
          </w:tcPr>
          <w:p>
            <w:pPr>
              <w:spacing w:after="0"/>
              <w:rPr>
                <w:sz w:val="24"/>
                <w:szCs w:val="24"/>
                <w:color w:val="auto"/>
              </w:rPr>
            </w:pPr>
          </w:p>
        </w:tc>
        <w:tc>
          <w:tcPr>
            <w:tcW w:w="1340" w:type="dxa"/>
            <w:vAlign w:val="bottom"/>
            <w:tcBorders>
              <w:top w:val="single" w:sz="8" w:color="auto"/>
            </w:tcBorders>
          </w:tcPr>
          <w:p>
            <w:pPr>
              <w:spacing w:after="0"/>
              <w:rPr>
                <w:sz w:val="24"/>
                <w:szCs w:val="24"/>
                <w:color w:val="auto"/>
              </w:rPr>
            </w:pPr>
          </w:p>
        </w:tc>
      </w:tr>
      <w:tr>
        <w:trPr>
          <w:trHeight w:val="275"/>
        </w:trPr>
        <w:tc>
          <w:tcPr>
            <w:tcW w:w="60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 per share — Basic:</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(0.07)</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5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(0.40)</w:t>
            </w:r>
          </w:p>
        </w:tc>
        <w:tc>
          <w:tcPr>
            <w:tcW w:w="12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0.26</w:t>
            </w:r>
          </w:p>
        </w:tc>
      </w:tr>
      <w:tr>
        <w:trPr>
          <w:trHeight w:val="20"/>
        </w:trPr>
        <w:tc>
          <w:tcPr>
            <w:tcW w:w="60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r>
      <w:tr>
        <w:trPr>
          <w:trHeight w:val="278"/>
        </w:trPr>
        <w:tc>
          <w:tcPr>
            <w:tcW w:w="60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275"/>
        </w:trPr>
        <w:tc>
          <w:tcPr>
            <w:tcW w:w="60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 per share — Diluted:</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(0.07)</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5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(0.40)</w:t>
            </w:r>
          </w:p>
        </w:tc>
        <w:tc>
          <w:tcPr>
            <w:tcW w:w="12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0.25</w:t>
            </w:r>
          </w:p>
        </w:tc>
      </w:tr>
      <w:tr>
        <w:trPr>
          <w:trHeight w:val="20"/>
        </w:trPr>
        <w:tc>
          <w:tcPr>
            <w:tcW w:w="60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r>
      <w:tr>
        <w:trPr>
          <w:trHeight w:val="278"/>
        </w:trPr>
        <w:tc>
          <w:tcPr>
            <w:tcW w:w="60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250"/>
        </w:trPr>
        <w:tc>
          <w:tcPr>
            <w:tcW w:w="60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Weighted average shares:</w:t>
            </w: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r>
      <w:tr>
        <w:trPr>
          <w:trHeight w:val="243"/>
        </w:trPr>
        <w:tc>
          <w:tcPr>
            <w:tcW w:w="602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Basic</w:t>
            </w: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658,963</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657,835</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3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497,335</w:t>
            </w:r>
          </w:p>
        </w:tc>
      </w:tr>
      <w:tr>
        <w:trPr>
          <w:trHeight w:val="27"/>
        </w:trPr>
        <w:tc>
          <w:tcPr>
            <w:tcW w:w="60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43"/>
        </w:trPr>
        <w:tc>
          <w:tcPr>
            <w:tcW w:w="6020" w:type="dxa"/>
            <w:vAlign w:val="bottom"/>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Diluted</w:t>
            </w:r>
          </w:p>
        </w:tc>
        <w:tc>
          <w:tcPr>
            <w:tcW w:w="360" w:type="dxa"/>
            <w:vAlign w:val="bottom"/>
            <w:shd w:val="clear" w:color="auto" w:fill="CCEEFF"/>
          </w:tcPr>
          <w:p>
            <w:pPr>
              <w:spacing w:after="0"/>
              <w:rPr>
                <w:sz w:val="21"/>
                <w:szCs w:val="21"/>
                <w:color w:val="auto"/>
              </w:rPr>
            </w:pPr>
          </w:p>
        </w:tc>
        <w:tc>
          <w:tcPr>
            <w:tcW w:w="13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658,963</w:t>
            </w:r>
          </w:p>
        </w:tc>
        <w:tc>
          <w:tcPr>
            <w:tcW w:w="10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52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657,835</w:t>
            </w:r>
          </w:p>
        </w:tc>
        <w:tc>
          <w:tcPr>
            <w:tcW w:w="120" w:type="dxa"/>
            <w:vAlign w:val="bottom"/>
            <w:shd w:val="clear" w:color="auto" w:fill="CCEEFF"/>
          </w:tcPr>
          <w:p>
            <w:pPr>
              <w:spacing w:after="0"/>
              <w:rPr>
                <w:sz w:val="21"/>
                <w:szCs w:val="21"/>
                <w:color w:val="auto"/>
              </w:rPr>
            </w:pPr>
          </w:p>
        </w:tc>
        <w:tc>
          <w:tcPr>
            <w:tcW w:w="360" w:type="dxa"/>
            <w:vAlign w:val="bottom"/>
            <w:shd w:val="clear" w:color="auto" w:fill="CCEEFF"/>
          </w:tcPr>
          <w:p>
            <w:pPr>
              <w:spacing w:after="0"/>
              <w:rPr>
                <w:sz w:val="21"/>
                <w:szCs w:val="21"/>
                <w:color w:val="auto"/>
              </w:rPr>
            </w:pPr>
          </w:p>
        </w:tc>
        <w:tc>
          <w:tcPr>
            <w:tcW w:w="134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508,716</w:t>
            </w:r>
          </w:p>
        </w:tc>
      </w:tr>
      <w:tr>
        <w:trPr>
          <w:trHeight w:val="27"/>
        </w:trPr>
        <w:tc>
          <w:tcPr>
            <w:tcW w:w="6020" w:type="dxa"/>
            <w:vAlign w:val="bottom"/>
            <w:shd w:val="clear" w:color="auto" w:fill="CCEEFF"/>
          </w:tcPr>
          <w:p>
            <w:pPr>
              <w:spacing w:after="0"/>
              <w:rPr>
                <w:sz w:val="2"/>
                <w:szCs w:val="2"/>
                <w:color w:val="auto"/>
              </w:rPr>
            </w:pPr>
          </w:p>
        </w:tc>
        <w:tc>
          <w:tcPr>
            <w:tcW w:w="360" w:type="dxa"/>
            <w:vAlign w:val="bottom"/>
            <w:shd w:val="clear" w:color="auto" w:fill="CCEEFF"/>
          </w:tcPr>
          <w:p>
            <w:pPr>
              <w:spacing w:after="0"/>
              <w:rPr>
                <w:sz w:val="2"/>
                <w:szCs w:val="2"/>
                <w:color w:val="auto"/>
              </w:rPr>
            </w:pPr>
          </w:p>
        </w:tc>
        <w:tc>
          <w:tcPr>
            <w:tcW w:w="13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5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360" w:type="dxa"/>
            <w:vAlign w:val="bottom"/>
            <w:shd w:val="clear" w:color="auto" w:fill="CCEEFF"/>
          </w:tcPr>
          <w:p>
            <w:pPr>
              <w:spacing w:after="0"/>
              <w:rPr>
                <w:sz w:val="2"/>
                <w:szCs w:val="2"/>
                <w:color w:val="auto"/>
              </w:rPr>
            </w:pPr>
          </w:p>
        </w:tc>
        <w:tc>
          <w:tcPr>
            <w:tcW w:w="1340" w:type="dxa"/>
            <w:vAlign w:val="bottom"/>
            <w:shd w:val="clear" w:color="auto" w:fill="CCEEFF"/>
          </w:tcPr>
          <w:p>
            <w:pPr>
              <w:spacing w:after="0"/>
              <w:rPr>
                <w:sz w:val="2"/>
                <w:szCs w:val="2"/>
                <w:color w:val="auto"/>
              </w:rPr>
            </w:pPr>
          </w:p>
        </w:tc>
      </w:tr>
    </w:tbl>
    <w:p>
      <w:pPr>
        <w:sectPr>
          <w:pgSz w:w="11900" w:h="16838" w:orient="portrait"/>
          <w:cols w:equalWidth="0" w:num="1">
            <w:col w:w="11340"/>
          </w:cols>
          <w:pgMar w:left="280" w:top="360" w:right="279" w:bottom="1440" w:gutter="0" w:footer="0" w:header="0"/>
        </w:sectPr>
      </w:pPr>
    </w:p>
    <w:bookmarkStart w:id="8" w:name="page9"/>
    <w:bookmarkEnd w:id="8"/>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Balance Sheets (Unaudited)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155" w:lineRule="exact"/>
        <w:rPr>
          <w:sz w:val="20"/>
          <w:szCs w:val="20"/>
          <w:color w:val="auto"/>
        </w:rPr>
      </w:pPr>
    </w:p>
    <w:tbl>
      <w:tblPr>
        <w:tblLayout w:type="fixed"/>
        <w:tblInd w:w="0" w:type="dxa"/>
        <w:tblCellMar>
          <w:top w:w="0" w:type="dxa"/>
          <w:left w:w="0" w:type="dxa"/>
          <w:bottom w:w="0" w:type="dxa"/>
          <w:right w:w="0" w:type="dxa"/>
        </w:tblCellMar>
      </w:tblPr>
      <w:tr>
        <w:trPr>
          <w:trHeight w:val="203"/>
        </w:trPr>
        <w:tc>
          <w:tcPr>
            <w:tcW w:w="79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480" w:type="dxa"/>
            <w:vAlign w:val="bottom"/>
            <w:gridSpan w:val="2"/>
          </w:tcPr>
          <w:p>
            <w:pPr>
              <w:ind w:left="200"/>
              <w:spacing w:after="0"/>
              <w:rPr>
                <w:sz w:val="20"/>
                <w:szCs w:val="20"/>
                <w:color w:val="auto"/>
              </w:rPr>
            </w:pPr>
            <w:r>
              <w:rPr>
                <w:rFonts w:ascii="Times New Roman" w:cs="Times New Roman" w:eastAsia="Times New Roman" w:hAnsi="Times New Roman"/>
                <w:sz w:val="16"/>
                <w:szCs w:val="16"/>
                <w:b w:val="1"/>
                <w:bCs w:val="1"/>
                <w:color w:val="auto"/>
              </w:rPr>
              <w:t>May 4,</w:t>
            </w:r>
          </w:p>
        </w:tc>
        <w:tc>
          <w:tcPr>
            <w:tcW w:w="240" w:type="dxa"/>
            <w:vAlign w:val="bottom"/>
          </w:tcPr>
          <w:p>
            <w:pPr>
              <w:spacing w:after="0"/>
              <w:rPr>
                <w:sz w:val="17"/>
                <w:szCs w:val="17"/>
                <w:color w:val="auto"/>
              </w:rPr>
            </w:pPr>
          </w:p>
        </w:tc>
        <w:tc>
          <w:tcPr>
            <w:tcW w:w="1340" w:type="dxa"/>
            <w:vAlign w:val="bottom"/>
          </w:tcPr>
          <w:p>
            <w:pPr>
              <w:jc w:val="right"/>
              <w:ind w:right="311"/>
              <w:spacing w:after="0"/>
              <w:rPr>
                <w:sz w:val="20"/>
                <w:szCs w:val="20"/>
                <w:color w:val="auto"/>
              </w:rPr>
            </w:pPr>
            <w:r>
              <w:rPr>
                <w:rFonts w:ascii="Times New Roman" w:cs="Times New Roman" w:eastAsia="Times New Roman" w:hAnsi="Times New Roman"/>
                <w:sz w:val="16"/>
                <w:szCs w:val="16"/>
                <w:b w:val="1"/>
                <w:bCs w:val="1"/>
                <w:color w:val="auto"/>
              </w:rPr>
              <w:t>February 2,</w:t>
            </w:r>
          </w:p>
        </w:tc>
      </w:tr>
      <w:tr>
        <w:trPr>
          <w:trHeight w:val="212"/>
        </w:trPr>
        <w:tc>
          <w:tcPr>
            <w:tcW w:w="79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60" w:type="dxa"/>
            <w:vAlign w:val="bottom"/>
          </w:tcPr>
          <w:p>
            <w:pPr>
              <w:jc w:val="right"/>
              <w:ind w:right="551"/>
              <w:spacing w:after="0"/>
              <w:rPr>
                <w:sz w:val="20"/>
                <w:szCs w:val="20"/>
                <w:color w:val="auto"/>
              </w:rPr>
            </w:pPr>
            <w:r>
              <w:rPr>
                <w:rFonts w:ascii="Times New Roman" w:cs="Times New Roman" w:eastAsia="Times New Roman" w:hAnsi="Times New Roman"/>
                <w:sz w:val="16"/>
                <w:szCs w:val="16"/>
                <w:b w:val="1"/>
                <w:bCs w:val="1"/>
                <w:color w:val="auto"/>
              </w:rPr>
              <w:t>2019</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40" w:type="dxa"/>
            <w:vAlign w:val="bottom"/>
          </w:tcPr>
          <w:p>
            <w:pPr>
              <w:jc w:val="right"/>
              <w:ind w:right="531"/>
              <w:spacing w:after="0"/>
              <w:rPr>
                <w:sz w:val="20"/>
                <w:szCs w:val="20"/>
                <w:color w:val="auto"/>
              </w:rPr>
            </w:pPr>
            <w:r>
              <w:rPr>
                <w:rFonts w:ascii="Times New Roman" w:cs="Times New Roman" w:eastAsia="Times New Roman" w:hAnsi="Times New Roman"/>
                <w:sz w:val="16"/>
                <w:szCs w:val="16"/>
                <w:b w:val="1"/>
                <w:bCs w:val="1"/>
                <w:color w:val="auto"/>
              </w:rPr>
              <w:t>2019</w:t>
            </w:r>
          </w:p>
        </w:tc>
      </w:tr>
      <w:tr>
        <w:trPr>
          <w:trHeight w:val="33"/>
        </w:trPr>
        <w:tc>
          <w:tcPr>
            <w:tcW w:w="79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44"/>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Current assets:</w:t>
            </w:r>
          </w:p>
        </w:tc>
        <w:tc>
          <w:tcPr>
            <w:tcW w:w="3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571,893</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582,410</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Accounts receivable, net</w:t>
            </w:r>
          </w:p>
        </w:tc>
        <w:tc>
          <w:tcPr>
            <w:tcW w:w="3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470,347</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493,122</w:t>
            </w: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Inventories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260,981</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276,005</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3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39,711</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43,721</w:t>
            </w:r>
          </w:p>
        </w:tc>
      </w:tr>
      <w:tr>
        <w:trPr>
          <w:trHeight w:val="27"/>
        </w:trPr>
        <w:tc>
          <w:tcPr>
            <w:tcW w:w="79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44"/>
        </w:trPr>
        <w:tc>
          <w:tcPr>
            <w:tcW w:w="798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Total current assets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1,342,932</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1,395,258</w:t>
            </w: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3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326,599</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318,978</w:t>
            </w: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Goodwill</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5,494,505</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5,494,505</w:t>
            </w: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3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2,480,942</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2,560,682</w:t>
            </w: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Other non-current assets</w:t>
            </w:r>
          </w:p>
        </w:tc>
        <w:tc>
          <w:tcPr>
            <w:tcW w:w="3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403,240</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247,329</w:t>
            </w:r>
          </w:p>
        </w:tc>
      </w:tr>
      <w:tr>
        <w:trPr>
          <w:trHeight w:val="237"/>
        </w:trPr>
        <w:tc>
          <w:tcPr>
            <w:tcW w:w="798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Total assets</w:t>
            </w:r>
          </w:p>
        </w:tc>
        <w:tc>
          <w:tcPr>
            <w:tcW w:w="340" w:type="dxa"/>
            <w:vAlign w:val="bottom"/>
            <w:tcBorders>
              <w:top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10,048,218</w:t>
            </w:r>
          </w:p>
        </w:tc>
        <w:tc>
          <w:tcPr>
            <w:tcW w:w="220" w:type="dxa"/>
            <w:vAlign w:val="bottom"/>
          </w:tcPr>
          <w:p>
            <w:pPr>
              <w:spacing w:after="0"/>
              <w:rPr>
                <w:sz w:val="20"/>
                <w:szCs w:val="20"/>
                <w:color w:val="auto"/>
              </w:rPr>
            </w:pPr>
          </w:p>
        </w:tc>
        <w:tc>
          <w:tcPr>
            <w:tcW w:w="240" w:type="dxa"/>
            <w:vAlign w:val="bottom"/>
            <w:tcBorders>
              <w:top w:val="single" w:sz="8" w:color="auto"/>
            </w:tcBorders>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10,016,752</w:t>
            </w:r>
          </w:p>
        </w:tc>
      </w:tr>
      <w:tr>
        <w:trPr>
          <w:trHeight w:val="67"/>
        </w:trPr>
        <w:tc>
          <w:tcPr>
            <w:tcW w:w="798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340" w:type="dxa"/>
            <w:vAlign w:val="bottom"/>
            <w:tcBorders>
              <w:bottom w:val="single" w:sz="8" w:color="auto"/>
            </w:tcBorders>
          </w:tcPr>
          <w:p>
            <w:pPr>
              <w:spacing w:after="0"/>
              <w:rPr>
                <w:sz w:val="5"/>
                <w:szCs w:val="5"/>
                <w:color w:val="auto"/>
              </w:rPr>
            </w:pPr>
          </w:p>
        </w:tc>
      </w:tr>
      <w:tr>
        <w:trPr>
          <w:trHeight w:val="264"/>
        </w:trPr>
        <w:tc>
          <w:tcPr>
            <w:tcW w:w="7980" w:type="dxa"/>
            <w:vAlign w:val="bottom"/>
            <w:shd w:val="clear" w:color="auto" w:fill="CCEEFF"/>
          </w:tcPr>
          <w:p>
            <w:pPr>
              <w:spacing w:after="0"/>
              <w:rPr>
                <w:sz w:val="22"/>
                <w:szCs w:val="22"/>
                <w:color w:val="auto"/>
              </w:rPr>
            </w:pPr>
          </w:p>
        </w:tc>
        <w:tc>
          <w:tcPr>
            <w:tcW w:w="340" w:type="dxa"/>
            <w:vAlign w:val="bottom"/>
            <w:shd w:val="clear" w:color="auto" w:fill="CCEEFF"/>
          </w:tcPr>
          <w:p>
            <w:pPr>
              <w:spacing w:after="0"/>
              <w:rPr>
                <w:sz w:val="22"/>
                <w:szCs w:val="22"/>
                <w:color w:val="auto"/>
              </w:rPr>
            </w:pPr>
          </w:p>
        </w:tc>
        <w:tc>
          <w:tcPr>
            <w:tcW w:w="126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340" w:type="dxa"/>
            <w:vAlign w:val="bottom"/>
            <w:shd w:val="clear" w:color="auto" w:fill="CCEEFF"/>
          </w:tcPr>
          <w:p>
            <w:pPr>
              <w:spacing w:after="0"/>
              <w:rPr>
                <w:sz w:val="22"/>
                <w:szCs w:val="22"/>
                <w:color w:val="auto"/>
              </w:rPr>
            </w:pP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3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Current liabilities: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Accounts payable</w:t>
            </w: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191,249</w:t>
            </w:r>
          </w:p>
        </w:tc>
        <w:tc>
          <w:tcPr>
            <w:tcW w:w="220" w:type="dxa"/>
            <w:vAlign w:val="bottom"/>
          </w:tcPr>
          <w:p>
            <w:pPr>
              <w:spacing w:after="0"/>
              <w:rPr>
                <w:sz w:val="21"/>
                <w:szCs w:val="21"/>
                <w:color w:val="auto"/>
              </w:rPr>
            </w:pPr>
          </w:p>
        </w:tc>
        <w:tc>
          <w:tcPr>
            <w:tcW w:w="2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185,362</w:t>
            </w: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Accrued liabilities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333,680</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335,509</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3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122,441</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115,925</w:t>
            </w:r>
          </w:p>
        </w:tc>
      </w:tr>
      <w:tr>
        <w:trPr>
          <w:trHeight w:val="27"/>
        </w:trPr>
        <w:tc>
          <w:tcPr>
            <w:tcW w:w="79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44"/>
        </w:trPr>
        <w:tc>
          <w:tcPr>
            <w:tcW w:w="798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647,370</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636,796</w:t>
            </w: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Long-term debt</w:t>
            </w:r>
          </w:p>
        </w:tc>
        <w:tc>
          <w:tcPr>
            <w:tcW w:w="3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1,684,281</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1,732,699</w:t>
            </w: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Non-current income taxes payable</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56,621</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59,221</w:t>
            </w: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Deferred tax liabilities</w:t>
            </w:r>
          </w:p>
        </w:tc>
        <w:tc>
          <w:tcPr>
            <w:tcW w:w="3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250,137</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246,252</w:t>
            </w: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79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3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179,677</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35,374</w:t>
            </w:r>
          </w:p>
        </w:tc>
      </w:tr>
      <w:tr>
        <w:trPr>
          <w:trHeight w:val="237"/>
        </w:trPr>
        <w:tc>
          <w:tcPr>
            <w:tcW w:w="798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Total liabilities</w:t>
            </w:r>
          </w:p>
        </w:tc>
        <w:tc>
          <w:tcPr>
            <w:tcW w:w="3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2,818,086</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2,710,342</w:t>
            </w:r>
          </w:p>
        </w:tc>
      </w:tr>
      <w:tr>
        <w:trPr>
          <w:trHeight w:val="27"/>
        </w:trPr>
        <w:tc>
          <w:tcPr>
            <w:tcW w:w="79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77"/>
        </w:trPr>
        <w:tc>
          <w:tcPr>
            <w:tcW w:w="798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12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340" w:type="dxa"/>
            <w:vAlign w:val="bottom"/>
            <w:shd w:val="clear" w:color="auto" w:fill="CCEEFF"/>
          </w:tcPr>
          <w:p>
            <w:pPr>
              <w:spacing w:after="0"/>
              <w:rPr>
                <w:sz w:val="24"/>
                <w:szCs w:val="24"/>
                <w:color w:val="auto"/>
              </w:rPr>
            </w:pPr>
          </w:p>
        </w:tc>
      </w:tr>
      <w:tr>
        <w:trPr>
          <w:trHeight w:val="243"/>
        </w:trPr>
        <w:tc>
          <w:tcPr>
            <w:tcW w:w="79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Shareholders’ equity:</w:t>
            </w:r>
          </w:p>
        </w:tc>
        <w:tc>
          <w:tcPr>
            <w:tcW w:w="3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Common stock</w:t>
            </w:r>
          </w:p>
        </w:tc>
        <w:tc>
          <w:tcPr>
            <w:tcW w:w="3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1,323</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1,317</w:t>
            </w:r>
          </w:p>
        </w:tc>
      </w:tr>
      <w:tr>
        <w:trPr>
          <w:trHeight w:val="243"/>
        </w:trPr>
        <w:tc>
          <w:tcPr>
            <w:tcW w:w="798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3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6,200,231</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6,188,598</w:t>
            </w:r>
          </w:p>
        </w:tc>
      </w:tr>
      <w:tr>
        <w:trPr>
          <w:trHeight w:val="27"/>
        </w:trPr>
        <w:tc>
          <w:tcPr>
            <w:tcW w:w="79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798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Retained earnings</w:t>
            </w:r>
          </w:p>
        </w:tc>
        <w:tc>
          <w:tcPr>
            <w:tcW w:w="3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1,028,578</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1,116,495</w:t>
            </w:r>
          </w:p>
        </w:tc>
      </w:tr>
      <w:tr>
        <w:trPr>
          <w:trHeight w:val="237"/>
        </w:trPr>
        <w:tc>
          <w:tcPr>
            <w:tcW w:w="798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3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7,230,132</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7,306,410</w:t>
            </w:r>
          </w:p>
        </w:tc>
      </w:tr>
      <w:tr>
        <w:trPr>
          <w:trHeight w:val="27"/>
        </w:trPr>
        <w:tc>
          <w:tcPr>
            <w:tcW w:w="79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69"/>
        </w:trPr>
        <w:tc>
          <w:tcPr>
            <w:tcW w:w="798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10,048,218</w:t>
            </w:r>
          </w:p>
        </w:tc>
        <w:tc>
          <w:tcPr>
            <w:tcW w:w="2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10,016,752</w:t>
            </w:r>
          </w:p>
        </w:tc>
      </w:tr>
      <w:tr>
        <w:trPr>
          <w:trHeight w:val="20"/>
        </w:trPr>
        <w:tc>
          <w:tcPr>
            <w:tcW w:w="798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380"/>
          </w:cols>
          <w:pgMar w:left="260" w:top="360" w:right="259" w:bottom="1440" w:gutter="0" w:footer="0" w:header="0"/>
        </w:sectPr>
      </w:pPr>
    </w:p>
    <w:bookmarkStart w:id="9" w:name="page10"/>
    <w:bookmarkEnd w:id="9"/>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6900" w:type="dxa"/>
            <w:vAlign w:val="bottom"/>
          </w:tcPr>
          <w:p>
            <w:pPr>
              <w:spacing w:after="0"/>
              <w:rPr>
                <w:sz w:val="16"/>
                <w:szCs w:val="16"/>
                <w:color w:val="auto"/>
              </w:rPr>
            </w:pPr>
          </w:p>
        </w:tc>
        <w:tc>
          <w:tcPr>
            <w:tcW w:w="134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gridSpan w:val="3"/>
          </w:tcPr>
          <w:p>
            <w:pPr>
              <w:jc w:val="right"/>
              <w:ind w:right="3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420" w:type="dxa"/>
            <w:vAlign w:val="bottom"/>
            <w:tcBorders>
              <w:bottom w:val="single" w:sz="8" w:color="auto"/>
            </w:tcBorders>
          </w:tcPr>
          <w:p>
            <w:pPr>
              <w:spacing w:after="0"/>
              <w:rPr>
                <w:sz w:val="16"/>
                <w:szCs w:val="16"/>
                <w:color w:val="auto"/>
              </w:rPr>
            </w:pPr>
          </w:p>
        </w:tc>
      </w:tr>
      <w:tr>
        <w:trPr>
          <w:trHeight w:val="149"/>
        </w:trPr>
        <w:tc>
          <w:tcPr>
            <w:tcW w:w="6900" w:type="dxa"/>
            <w:vAlign w:val="bottom"/>
          </w:tcPr>
          <w:p>
            <w:pPr>
              <w:spacing w:after="0"/>
              <w:rPr>
                <w:sz w:val="12"/>
                <w:szCs w:val="12"/>
                <w:color w:val="auto"/>
              </w:rPr>
            </w:pPr>
          </w:p>
        </w:tc>
        <w:tc>
          <w:tcPr>
            <w:tcW w:w="13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b w:val="1"/>
                <w:bCs w:val="1"/>
                <w:color w:val="auto"/>
              </w:rPr>
              <w:t>May 4,</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420" w:type="dxa"/>
            <w:vAlign w:val="bottom"/>
          </w:tcPr>
          <w:p>
            <w:pPr>
              <w:jc w:val="right"/>
              <w:ind w:right="791"/>
              <w:spacing w:after="0" w:line="149" w:lineRule="exact"/>
              <w:rPr>
                <w:sz w:val="20"/>
                <w:szCs w:val="20"/>
                <w:color w:val="auto"/>
              </w:rPr>
            </w:pPr>
            <w:r>
              <w:rPr>
                <w:rFonts w:ascii="Times New Roman" w:cs="Times New Roman" w:eastAsia="Times New Roman" w:hAnsi="Times New Roman"/>
                <w:sz w:val="14"/>
                <w:szCs w:val="14"/>
                <w:b w:val="1"/>
                <w:bCs w:val="1"/>
                <w:color w:val="auto"/>
              </w:rPr>
              <w:t>May 5,</w:t>
            </w:r>
          </w:p>
        </w:tc>
      </w:tr>
      <w:tr>
        <w:trPr>
          <w:trHeight w:val="195"/>
        </w:trPr>
        <w:tc>
          <w:tcPr>
            <w:tcW w:w="6900" w:type="dxa"/>
            <w:vAlign w:val="bottom"/>
            <w:tcBorders>
              <w:bottom w:val="single" w:sz="8" w:color="CCEEFF"/>
            </w:tcBorders>
          </w:tcPr>
          <w:p>
            <w:pPr>
              <w:spacing w:after="0"/>
              <w:rPr>
                <w:sz w:val="16"/>
                <w:szCs w:val="16"/>
                <w:color w:val="auto"/>
              </w:rPr>
            </w:pPr>
          </w:p>
        </w:tc>
        <w:tc>
          <w:tcPr>
            <w:tcW w:w="1340" w:type="dxa"/>
            <w:vAlign w:val="bottom"/>
            <w:tcBorders>
              <w:bottom w:val="single" w:sz="8" w:color="auto"/>
            </w:tcBorders>
          </w:tcPr>
          <w:p>
            <w:pPr>
              <w:jc w:val="right"/>
              <w:ind w:right="39"/>
              <w:spacing w:after="0"/>
              <w:rPr>
                <w:sz w:val="20"/>
                <w:szCs w:val="20"/>
                <w:color w:val="auto"/>
              </w:rPr>
            </w:pPr>
            <w:r>
              <w:rPr>
                <w:rFonts w:ascii="Times New Roman" w:cs="Times New Roman" w:eastAsia="Times New Roman" w:hAnsi="Times New Roman"/>
                <w:sz w:val="14"/>
                <w:szCs w:val="14"/>
                <w:b w:val="1"/>
                <w:bCs w:val="1"/>
                <w:color w:val="auto"/>
              </w:rPr>
              <w:t>2019</w:t>
            </w:r>
          </w:p>
        </w:tc>
        <w:tc>
          <w:tcPr>
            <w:tcW w:w="82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420" w:type="dxa"/>
            <w:vAlign w:val="bottom"/>
            <w:tcBorders>
              <w:bottom w:val="single" w:sz="8" w:color="auto"/>
            </w:tcBorders>
          </w:tcPr>
          <w:p>
            <w:pPr>
              <w:jc w:val="right"/>
              <w:ind w:right="851"/>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62"/>
        </w:trPr>
        <w:tc>
          <w:tcPr>
            <w:tcW w:w="69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operating activities:</w:t>
            </w:r>
          </w:p>
        </w:tc>
        <w:tc>
          <w:tcPr>
            <w:tcW w:w="1340" w:type="dxa"/>
            <w:vAlign w:val="bottom"/>
            <w:tcBorders>
              <w:bottom w:val="single" w:sz="8" w:color="CCEEFF"/>
            </w:tcBorders>
            <w:shd w:val="clear" w:color="auto" w:fill="CCEEFF"/>
          </w:tcPr>
          <w:p>
            <w:pPr>
              <w:spacing w:after="0"/>
              <w:rPr>
                <w:sz w:val="22"/>
                <w:szCs w:val="22"/>
                <w:color w:val="auto"/>
              </w:rPr>
            </w:pPr>
          </w:p>
        </w:tc>
        <w:tc>
          <w:tcPr>
            <w:tcW w:w="82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420" w:type="dxa"/>
            <w:vAlign w:val="bottom"/>
            <w:tcBorders>
              <w:bottom w:val="single" w:sz="8" w:color="CCEEFF"/>
            </w:tcBorders>
            <w:shd w:val="clear" w:color="auto" w:fill="CCEEFF"/>
          </w:tcPr>
          <w:p>
            <w:pPr>
              <w:spacing w:after="0"/>
              <w:rPr>
                <w:sz w:val="22"/>
                <w:szCs w:val="22"/>
                <w:color w:val="auto"/>
              </w:rPr>
            </w:pPr>
          </w:p>
        </w:tc>
      </w:tr>
      <w:tr>
        <w:trPr>
          <w:trHeight w:val="243"/>
        </w:trPr>
        <w:tc>
          <w:tcPr>
            <w:tcW w:w="69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income (loss)</w:t>
            </w:r>
          </w:p>
        </w:tc>
        <w:tc>
          <w:tcPr>
            <w:tcW w:w="1340" w:type="dxa"/>
            <w:vAlign w:val="bottom"/>
          </w:tcPr>
          <w:p>
            <w:pPr>
              <w:jc w:val="right"/>
              <w:ind w:right="1139"/>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(48,450)</w:t>
            </w:r>
          </w:p>
        </w:tc>
        <w:tc>
          <w:tcPr>
            <w:tcW w:w="100" w:type="dxa"/>
            <w:vAlign w:val="bottom"/>
          </w:tcPr>
          <w:p>
            <w:pPr>
              <w:spacing w:after="0"/>
              <w:rPr>
                <w:sz w:val="21"/>
                <w:szCs w:val="21"/>
                <w:color w:val="auto"/>
              </w:rPr>
            </w:pPr>
          </w:p>
        </w:tc>
        <w:tc>
          <w:tcPr>
            <w:tcW w:w="740" w:type="dxa"/>
            <w:vAlign w:val="bottom"/>
          </w:tcPr>
          <w:p>
            <w:pPr>
              <w:jc w:val="right"/>
              <w:ind w:right="530"/>
              <w:spacing w:after="0"/>
              <w:rPr>
                <w:sz w:val="20"/>
                <w:szCs w:val="20"/>
                <w:color w:val="auto"/>
              </w:rPr>
            </w:pPr>
            <w:r>
              <w:rPr>
                <w:rFonts w:ascii="Times New Roman" w:cs="Times New Roman" w:eastAsia="Times New Roman" w:hAnsi="Times New Roman"/>
                <w:sz w:val="18"/>
                <w:szCs w:val="18"/>
                <w:color w:val="auto"/>
              </w:rPr>
              <w:t>$</w:t>
            </w: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128,612</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Adjustments to reconcile net income (loss) to net cash provided by operating activities:</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Depreciation and amortization</w:t>
            </w:r>
          </w:p>
        </w:tc>
        <w:tc>
          <w:tcPr>
            <w:tcW w:w="1340" w:type="dxa"/>
            <w:vAlign w:val="bottom"/>
          </w:tcPr>
          <w:p>
            <w:pPr>
              <w:spacing w:after="0"/>
              <w:rPr>
                <w:sz w:val="21"/>
                <w:szCs w:val="21"/>
                <w:color w:val="auto"/>
              </w:rPr>
            </w:pPr>
          </w:p>
        </w:tc>
        <w:tc>
          <w:tcPr>
            <w:tcW w:w="8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44,298</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20,343</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58,598</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23,852</w:t>
            </w: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340" w:type="dxa"/>
            <w:vAlign w:val="bottom"/>
          </w:tcPr>
          <w:p>
            <w:pPr>
              <w:spacing w:after="0"/>
              <w:rPr>
                <w:sz w:val="21"/>
                <w:szCs w:val="21"/>
                <w:color w:val="auto"/>
              </w:rPr>
            </w:pPr>
          </w:p>
        </w:tc>
        <w:tc>
          <w:tcPr>
            <w:tcW w:w="8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79,740</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Amortization of deferred debt issuance costs and debt discounts</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1,681</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Other non-cash expense, net</w:t>
            </w:r>
          </w:p>
        </w:tc>
        <w:tc>
          <w:tcPr>
            <w:tcW w:w="1340" w:type="dxa"/>
            <w:vAlign w:val="bottom"/>
          </w:tcPr>
          <w:p>
            <w:pPr>
              <w:spacing w:after="0"/>
              <w:rPr>
                <w:sz w:val="21"/>
                <w:szCs w:val="21"/>
                <w:color w:val="auto"/>
              </w:rPr>
            </w:pPr>
          </w:p>
        </w:tc>
        <w:tc>
          <w:tcPr>
            <w:tcW w:w="8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5,252</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891</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Deferred income taxes</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4,356</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824</w:t>
            </w: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Changes in assets and liabilities:</w:t>
            </w:r>
          </w:p>
        </w:tc>
        <w:tc>
          <w:tcPr>
            <w:tcW w:w="13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spacing w:after="0"/>
              <w:rPr>
                <w:sz w:val="21"/>
                <w:szCs w:val="21"/>
                <w:color w:val="auto"/>
              </w:rPr>
            </w:pP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Accounts receivable</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22,775</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(47,393)</w:t>
            </w:r>
          </w:p>
        </w:tc>
      </w:tr>
      <w:tr>
        <w:trPr>
          <w:trHeight w:val="243"/>
        </w:trPr>
        <w:tc>
          <w:tcPr>
            <w:tcW w:w="690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Inventories</w:t>
            </w:r>
          </w:p>
        </w:tc>
        <w:tc>
          <w:tcPr>
            <w:tcW w:w="1340" w:type="dxa"/>
            <w:vAlign w:val="bottom"/>
          </w:tcPr>
          <w:p>
            <w:pPr>
              <w:spacing w:after="0"/>
              <w:rPr>
                <w:sz w:val="21"/>
                <w:szCs w:val="21"/>
                <w:color w:val="auto"/>
              </w:rPr>
            </w:pPr>
          </w:p>
        </w:tc>
        <w:tc>
          <w:tcPr>
            <w:tcW w:w="8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15,848</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2,680</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Prepaid expenses and other assets</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8,004</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(14,108)</w:t>
            </w:r>
          </w:p>
        </w:tc>
      </w:tr>
      <w:tr>
        <w:trPr>
          <w:trHeight w:val="243"/>
        </w:trPr>
        <w:tc>
          <w:tcPr>
            <w:tcW w:w="690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Accounts payable</w:t>
            </w:r>
          </w:p>
        </w:tc>
        <w:tc>
          <w:tcPr>
            <w:tcW w:w="134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(1,873)</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14,744</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Accrued liabilities and other non-current liabilities</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(30,929)</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20,439</w:t>
            </w:r>
          </w:p>
        </w:tc>
      </w:tr>
      <w:tr>
        <w:trPr>
          <w:trHeight w:val="243"/>
        </w:trPr>
        <w:tc>
          <w:tcPr>
            <w:tcW w:w="690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1340" w:type="dxa"/>
            <w:vAlign w:val="bottom"/>
          </w:tcPr>
          <w:p>
            <w:pPr>
              <w:spacing w:after="0"/>
              <w:rPr>
                <w:sz w:val="21"/>
                <w:szCs w:val="21"/>
                <w:color w:val="auto"/>
              </w:rPr>
            </w:pPr>
          </w:p>
        </w:tc>
        <w:tc>
          <w:tcPr>
            <w:tcW w:w="8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6,516</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(22,110)</w:t>
            </w:r>
          </w:p>
        </w:tc>
      </w:tr>
      <w:tr>
        <w:trPr>
          <w:trHeight w:val="27"/>
        </w:trPr>
        <w:tc>
          <w:tcPr>
            <w:tcW w:w="690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r>
      <w:tr>
        <w:trPr>
          <w:trHeight w:val="264"/>
        </w:trPr>
        <w:tc>
          <w:tcPr>
            <w:tcW w:w="6900" w:type="dxa"/>
            <w:vAlign w:val="bottom"/>
            <w:tcBorders>
              <w:bottom w:val="single" w:sz="8" w:color="CCEEFF"/>
            </w:tcBorders>
            <w:shd w:val="clear" w:color="auto" w:fill="CCEEFF"/>
          </w:tcPr>
          <w:p>
            <w:pPr>
              <w:ind w:left="1340"/>
              <w:spacing w:after="0"/>
              <w:rPr>
                <w:sz w:val="20"/>
                <w:szCs w:val="20"/>
                <w:color w:val="auto"/>
              </w:rPr>
            </w:pPr>
            <w:r>
              <w:rPr>
                <w:rFonts w:ascii="Times New Roman" w:cs="Times New Roman" w:eastAsia="Times New Roman" w:hAnsi="Times New Roman"/>
                <w:sz w:val="18"/>
                <w:szCs w:val="18"/>
                <w:color w:val="auto"/>
              </w:rPr>
              <w:t>Net cash provided by operating activities</w:t>
            </w:r>
          </w:p>
        </w:tc>
        <w:tc>
          <w:tcPr>
            <w:tcW w:w="1340" w:type="dxa"/>
            <w:vAlign w:val="bottom"/>
            <w:tcBorders>
              <w:bottom w:val="single" w:sz="8" w:color="CCEEFF"/>
            </w:tcBorders>
            <w:shd w:val="clear" w:color="auto" w:fill="CCEEFF"/>
          </w:tcPr>
          <w:p>
            <w:pPr>
              <w:spacing w:after="0"/>
              <w:rPr>
                <w:sz w:val="22"/>
                <w:szCs w:val="22"/>
                <w:color w:val="auto"/>
              </w:rPr>
            </w:pP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165,816</w:t>
            </w:r>
          </w:p>
        </w:tc>
        <w:tc>
          <w:tcPr>
            <w:tcW w:w="1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128,774</w:t>
            </w:r>
          </w:p>
        </w:tc>
      </w:tr>
      <w:tr>
        <w:trPr>
          <w:trHeight w:val="223"/>
        </w:trPr>
        <w:tc>
          <w:tcPr>
            <w:tcW w:w="690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investing activities:</w:t>
            </w:r>
          </w:p>
        </w:tc>
        <w:tc>
          <w:tcPr>
            <w:tcW w:w="134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420" w:type="dxa"/>
            <w:vAlign w:val="bottom"/>
            <w:tcBorders>
              <w:top w:val="single" w:sz="8" w:color="auto"/>
            </w:tcBorders>
          </w:tcPr>
          <w:p>
            <w:pPr>
              <w:spacing w:after="0"/>
              <w:rPr>
                <w:sz w:val="19"/>
                <w:szCs w:val="19"/>
                <w:color w:val="auto"/>
              </w:rPr>
            </w:pPr>
          </w:p>
        </w:tc>
      </w:tr>
      <w:tr>
        <w:trPr>
          <w:trHeight w:val="41"/>
        </w:trPr>
        <w:tc>
          <w:tcPr>
            <w:tcW w:w="6900" w:type="dxa"/>
            <w:vAlign w:val="bottom"/>
          </w:tcPr>
          <w:p>
            <w:pPr>
              <w:spacing w:after="0"/>
              <w:rPr>
                <w:sz w:val="3"/>
                <w:szCs w:val="3"/>
                <w:color w:val="auto"/>
              </w:rPr>
            </w:pPr>
          </w:p>
        </w:tc>
        <w:tc>
          <w:tcPr>
            <w:tcW w:w="13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00" w:type="dxa"/>
            <w:vAlign w:val="bottom"/>
          </w:tcPr>
          <w:p>
            <w:pPr>
              <w:spacing w:after="0"/>
              <w:rPr>
                <w:sz w:val="3"/>
                <w:szCs w:val="3"/>
                <w:color w:val="auto"/>
              </w:rPr>
            </w:pPr>
          </w:p>
        </w:tc>
        <w:tc>
          <w:tcPr>
            <w:tcW w:w="740" w:type="dxa"/>
            <w:vAlign w:val="bottom"/>
          </w:tcPr>
          <w:p>
            <w:pPr>
              <w:spacing w:after="0"/>
              <w:rPr>
                <w:sz w:val="3"/>
                <w:szCs w:val="3"/>
                <w:color w:val="auto"/>
              </w:rPr>
            </w:pPr>
          </w:p>
        </w:tc>
        <w:tc>
          <w:tcPr>
            <w:tcW w:w="1420" w:type="dxa"/>
            <w:vAlign w:val="bottom"/>
          </w:tcPr>
          <w:p>
            <w:pPr>
              <w:spacing w:after="0"/>
              <w:rPr>
                <w:sz w:val="3"/>
                <w:szCs w:val="3"/>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Purchases of available-for-sale securities</w:t>
            </w:r>
          </w:p>
        </w:tc>
        <w:tc>
          <w:tcPr>
            <w:tcW w:w="1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(13,457)</w:t>
            </w: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Sales of available-for-sale securities</w:t>
            </w:r>
          </w:p>
        </w:tc>
        <w:tc>
          <w:tcPr>
            <w:tcW w:w="1340" w:type="dxa"/>
            <w:vAlign w:val="bottom"/>
          </w:tcPr>
          <w:p>
            <w:pPr>
              <w:spacing w:after="0"/>
              <w:rPr>
                <w:sz w:val="21"/>
                <w:szCs w:val="21"/>
                <w:color w:val="auto"/>
              </w:rPr>
            </w:pPr>
          </w:p>
        </w:tc>
        <w:tc>
          <w:tcPr>
            <w:tcW w:w="9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70,273</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Maturities of available-for-sale securities</w:t>
            </w:r>
          </w:p>
        </w:tc>
        <w:tc>
          <w:tcPr>
            <w:tcW w:w="1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128,820</w:t>
            </w: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Purchases of time deposits</w:t>
            </w:r>
          </w:p>
        </w:tc>
        <w:tc>
          <w:tcPr>
            <w:tcW w:w="1340" w:type="dxa"/>
            <w:vAlign w:val="bottom"/>
          </w:tcPr>
          <w:p>
            <w:pPr>
              <w:spacing w:after="0"/>
              <w:rPr>
                <w:sz w:val="21"/>
                <w:szCs w:val="21"/>
                <w:color w:val="auto"/>
              </w:rPr>
            </w:pPr>
          </w:p>
        </w:tc>
        <w:tc>
          <w:tcPr>
            <w:tcW w:w="9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(25,000)</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Maturities of time deposits</w:t>
            </w:r>
          </w:p>
        </w:tc>
        <w:tc>
          <w:tcPr>
            <w:tcW w:w="1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75,000</w:t>
            </w: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Purchases of technology licenses</w:t>
            </w:r>
          </w:p>
        </w:tc>
        <w:tc>
          <w:tcPr>
            <w:tcW w:w="134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(1,484)</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(360)</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Purchases of property and equipment</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(19,183)</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(13,588)</w:t>
            </w: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Other</w:t>
            </w:r>
          </w:p>
        </w:tc>
        <w:tc>
          <w:tcPr>
            <w:tcW w:w="134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(342)</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(4,989)</w:t>
            </w:r>
          </w:p>
        </w:tc>
      </w:tr>
      <w:tr>
        <w:trPr>
          <w:trHeight w:val="27"/>
        </w:trPr>
        <w:tc>
          <w:tcPr>
            <w:tcW w:w="690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r>
      <w:tr>
        <w:trPr>
          <w:trHeight w:val="264"/>
        </w:trPr>
        <w:tc>
          <w:tcPr>
            <w:tcW w:w="6900" w:type="dxa"/>
            <w:vAlign w:val="bottom"/>
            <w:tcBorders>
              <w:bottom w:val="single" w:sz="8" w:color="CCEEFF"/>
            </w:tcBorders>
            <w:shd w:val="clear" w:color="auto" w:fill="CCEEFF"/>
          </w:tcPr>
          <w:p>
            <w:pPr>
              <w:ind w:left="1340"/>
              <w:spacing w:after="0"/>
              <w:rPr>
                <w:sz w:val="20"/>
                <w:szCs w:val="20"/>
                <w:color w:val="auto"/>
              </w:rPr>
            </w:pPr>
            <w:r>
              <w:rPr>
                <w:rFonts w:ascii="Times New Roman" w:cs="Times New Roman" w:eastAsia="Times New Roman" w:hAnsi="Times New Roman"/>
                <w:sz w:val="18"/>
                <w:szCs w:val="18"/>
                <w:color w:val="auto"/>
              </w:rPr>
              <w:t>Net cash provided by (used in) investing activities</w:t>
            </w:r>
          </w:p>
        </w:tc>
        <w:tc>
          <w:tcPr>
            <w:tcW w:w="1340" w:type="dxa"/>
            <w:vAlign w:val="bottom"/>
            <w:tcBorders>
              <w:bottom w:val="single" w:sz="8" w:color="CCEEFF"/>
            </w:tcBorders>
            <w:shd w:val="clear" w:color="auto" w:fill="CCEEFF"/>
          </w:tcPr>
          <w:p>
            <w:pPr>
              <w:spacing w:after="0"/>
              <w:rPr>
                <w:sz w:val="22"/>
                <w:szCs w:val="22"/>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(21,009)</w:t>
            </w:r>
          </w:p>
        </w:tc>
        <w:tc>
          <w:tcPr>
            <w:tcW w:w="1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216,699</w:t>
            </w:r>
          </w:p>
        </w:tc>
      </w:tr>
      <w:tr>
        <w:trPr>
          <w:trHeight w:val="223"/>
        </w:trPr>
        <w:tc>
          <w:tcPr>
            <w:tcW w:w="690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financing activities:</w:t>
            </w:r>
          </w:p>
        </w:tc>
        <w:tc>
          <w:tcPr>
            <w:tcW w:w="134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420" w:type="dxa"/>
            <w:vAlign w:val="bottom"/>
            <w:tcBorders>
              <w:top w:val="single" w:sz="8" w:color="auto"/>
            </w:tcBorders>
          </w:tcPr>
          <w:p>
            <w:pPr>
              <w:spacing w:after="0"/>
              <w:rPr>
                <w:sz w:val="19"/>
                <w:szCs w:val="19"/>
                <w:color w:val="auto"/>
              </w:rPr>
            </w:pPr>
          </w:p>
        </w:tc>
      </w:tr>
      <w:tr>
        <w:trPr>
          <w:trHeight w:val="41"/>
        </w:trPr>
        <w:tc>
          <w:tcPr>
            <w:tcW w:w="6900" w:type="dxa"/>
            <w:vAlign w:val="bottom"/>
          </w:tcPr>
          <w:p>
            <w:pPr>
              <w:spacing w:after="0"/>
              <w:rPr>
                <w:sz w:val="3"/>
                <w:szCs w:val="3"/>
                <w:color w:val="auto"/>
              </w:rPr>
            </w:pPr>
          </w:p>
        </w:tc>
        <w:tc>
          <w:tcPr>
            <w:tcW w:w="13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00" w:type="dxa"/>
            <w:vAlign w:val="bottom"/>
          </w:tcPr>
          <w:p>
            <w:pPr>
              <w:spacing w:after="0"/>
              <w:rPr>
                <w:sz w:val="3"/>
                <w:szCs w:val="3"/>
                <w:color w:val="auto"/>
              </w:rPr>
            </w:pPr>
          </w:p>
        </w:tc>
        <w:tc>
          <w:tcPr>
            <w:tcW w:w="740" w:type="dxa"/>
            <w:vAlign w:val="bottom"/>
          </w:tcPr>
          <w:p>
            <w:pPr>
              <w:spacing w:after="0"/>
              <w:rPr>
                <w:sz w:val="3"/>
                <w:szCs w:val="3"/>
                <w:color w:val="auto"/>
              </w:rPr>
            </w:pPr>
          </w:p>
        </w:tc>
        <w:tc>
          <w:tcPr>
            <w:tcW w:w="1420" w:type="dxa"/>
            <w:vAlign w:val="bottom"/>
          </w:tcPr>
          <w:p>
            <w:pPr>
              <w:spacing w:after="0"/>
              <w:rPr>
                <w:sz w:val="3"/>
                <w:szCs w:val="3"/>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Repurchases of common stock</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(48,022)</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Proceeds from employee stock plans</w:t>
            </w:r>
          </w:p>
        </w:tc>
        <w:tc>
          <w:tcPr>
            <w:tcW w:w="1340" w:type="dxa"/>
            <w:vAlign w:val="bottom"/>
          </w:tcPr>
          <w:p>
            <w:pPr>
              <w:spacing w:after="0"/>
              <w:rPr>
                <w:sz w:val="21"/>
                <w:szCs w:val="21"/>
                <w:color w:val="auto"/>
              </w:rPr>
            </w:pPr>
          </w:p>
        </w:tc>
        <w:tc>
          <w:tcPr>
            <w:tcW w:w="8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31,084</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11,055</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Tax withholding paid on behalf of employees for net share settlement</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(28,758)</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(23,893)</w:t>
            </w:r>
          </w:p>
        </w:tc>
      </w:tr>
      <w:tr>
        <w:trPr>
          <w:trHeight w:val="243"/>
        </w:trPr>
        <w:tc>
          <w:tcPr>
            <w:tcW w:w="69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Dividend payments to shareholders</w:t>
            </w:r>
          </w:p>
        </w:tc>
        <w:tc>
          <w:tcPr>
            <w:tcW w:w="134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(39,467)</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(29,798)</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Payments on technology license obligations</w:t>
            </w:r>
          </w:p>
        </w:tc>
        <w:tc>
          <w:tcPr>
            <w:tcW w:w="134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(15,268)</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(20,461)</w:t>
            </w:r>
          </w:p>
        </w:tc>
      </w:tr>
      <w:tr>
        <w:trPr>
          <w:trHeight w:val="243"/>
        </w:trPr>
        <w:tc>
          <w:tcPr>
            <w:tcW w:w="690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Principal payments of debt</w:t>
            </w:r>
          </w:p>
        </w:tc>
        <w:tc>
          <w:tcPr>
            <w:tcW w:w="134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(50,000)</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690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Payment of equity and debt financing costs</w:t>
            </w:r>
          </w:p>
        </w:tc>
        <w:tc>
          <w:tcPr>
            <w:tcW w:w="1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(3,600)</w:t>
            </w:r>
          </w:p>
        </w:tc>
      </w:tr>
      <w:tr>
        <w:trPr>
          <w:trHeight w:val="243"/>
        </w:trPr>
        <w:tc>
          <w:tcPr>
            <w:tcW w:w="690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Other</w:t>
            </w:r>
          </w:p>
        </w:tc>
        <w:tc>
          <w:tcPr>
            <w:tcW w:w="1340" w:type="dxa"/>
            <w:vAlign w:val="bottom"/>
          </w:tcPr>
          <w:p>
            <w:pPr>
              <w:spacing w:after="0"/>
              <w:rPr>
                <w:sz w:val="21"/>
                <w:szCs w:val="21"/>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(4,893)</w:t>
            </w:r>
          </w:p>
        </w:tc>
        <w:tc>
          <w:tcPr>
            <w:tcW w:w="1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690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r>
      <w:tr>
        <w:trPr>
          <w:trHeight w:val="264"/>
        </w:trPr>
        <w:tc>
          <w:tcPr>
            <w:tcW w:w="6900" w:type="dxa"/>
            <w:vAlign w:val="bottom"/>
            <w:tcBorders>
              <w:bottom w:val="single" w:sz="8" w:color="CCEEFF"/>
            </w:tcBorders>
            <w:shd w:val="clear" w:color="auto" w:fill="CCEEFF"/>
          </w:tcPr>
          <w:p>
            <w:pPr>
              <w:ind w:left="1340"/>
              <w:spacing w:after="0"/>
              <w:rPr>
                <w:sz w:val="20"/>
                <w:szCs w:val="20"/>
                <w:color w:val="auto"/>
              </w:rPr>
            </w:pPr>
            <w:r>
              <w:rPr>
                <w:rFonts w:ascii="Times New Roman" w:cs="Times New Roman" w:eastAsia="Times New Roman" w:hAnsi="Times New Roman"/>
                <w:sz w:val="18"/>
                <w:szCs w:val="18"/>
                <w:color w:val="auto"/>
              </w:rPr>
              <w:t>Net cash used in financing activities</w:t>
            </w:r>
          </w:p>
        </w:tc>
        <w:tc>
          <w:tcPr>
            <w:tcW w:w="1340" w:type="dxa"/>
            <w:vAlign w:val="bottom"/>
            <w:tcBorders>
              <w:bottom w:val="single" w:sz="8" w:color="CCEEFF"/>
            </w:tcBorders>
            <w:shd w:val="clear" w:color="auto" w:fill="CCEEFF"/>
          </w:tcPr>
          <w:p>
            <w:pPr>
              <w:spacing w:after="0"/>
              <w:rPr>
                <w:sz w:val="22"/>
                <w:szCs w:val="22"/>
                <w:color w:val="auto"/>
              </w:rPr>
            </w:pPr>
          </w:p>
        </w:tc>
        <w:tc>
          <w:tcPr>
            <w:tcW w:w="8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(155,324)</w:t>
            </w:r>
          </w:p>
        </w:tc>
        <w:tc>
          <w:tcPr>
            <w:tcW w:w="1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(66,697)</w:t>
            </w:r>
          </w:p>
        </w:tc>
      </w:tr>
      <w:tr>
        <w:trPr>
          <w:trHeight w:val="237"/>
        </w:trPr>
        <w:tc>
          <w:tcPr>
            <w:tcW w:w="69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increase (decrease) in cash and cash equivalents</w:t>
            </w:r>
          </w:p>
        </w:tc>
        <w:tc>
          <w:tcPr>
            <w:tcW w:w="1340" w:type="dxa"/>
            <w:vAlign w:val="bottom"/>
            <w:tcBorders>
              <w:top w:val="single" w:sz="8" w:color="auto"/>
            </w:tcBorders>
          </w:tcPr>
          <w:p>
            <w:pPr>
              <w:spacing w:after="0"/>
              <w:rPr>
                <w:sz w:val="20"/>
                <w:szCs w:val="20"/>
                <w:color w:val="auto"/>
              </w:rPr>
            </w:pPr>
          </w:p>
        </w:tc>
        <w:tc>
          <w:tcPr>
            <w:tcW w:w="8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(10,517)</w:t>
            </w:r>
          </w:p>
        </w:tc>
        <w:tc>
          <w:tcPr>
            <w:tcW w:w="100" w:type="dxa"/>
            <w:vAlign w:val="bottom"/>
          </w:tcPr>
          <w:p>
            <w:pPr>
              <w:spacing w:after="0"/>
              <w:rPr>
                <w:sz w:val="20"/>
                <w:szCs w:val="20"/>
                <w:color w:val="auto"/>
              </w:rPr>
            </w:pPr>
          </w:p>
        </w:tc>
        <w:tc>
          <w:tcPr>
            <w:tcW w:w="740" w:type="dxa"/>
            <w:vAlign w:val="bottom"/>
            <w:tcBorders>
              <w:top w:val="single" w:sz="8" w:color="auto"/>
            </w:tcBorders>
          </w:tcPr>
          <w:p>
            <w:pPr>
              <w:spacing w:after="0"/>
              <w:rPr>
                <w:sz w:val="20"/>
                <w:szCs w:val="20"/>
                <w:color w:val="auto"/>
              </w:rPr>
            </w:pPr>
          </w:p>
        </w:tc>
        <w:tc>
          <w:tcPr>
            <w:tcW w:w="142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278,776</w:t>
            </w:r>
          </w:p>
        </w:tc>
      </w:tr>
      <w:tr>
        <w:trPr>
          <w:trHeight w:val="27"/>
        </w:trPr>
        <w:tc>
          <w:tcPr>
            <w:tcW w:w="69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70"/>
        </w:trPr>
        <w:tc>
          <w:tcPr>
            <w:tcW w:w="69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and cash equivalents at beginning of period</w:t>
            </w:r>
          </w:p>
        </w:tc>
        <w:tc>
          <w:tcPr>
            <w:tcW w:w="1340" w:type="dxa"/>
            <w:vAlign w:val="bottom"/>
            <w:tcBorders>
              <w:bottom w:val="single" w:sz="8" w:color="CCEEFF"/>
            </w:tcBorders>
            <w:shd w:val="clear" w:color="auto" w:fill="CCEEFF"/>
          </w:tcPr>
          <w:p>
            <w:pPr>
              <w:spacing w:after="0"/>
              <w:rPr>
                <w:sz w:val="23"/>
                <w:szCs w:val="23"/>
                <w:color w:val="auto"/>
              </w:rPr>
            </w:pPr>
          </w:p>
        </w:tc>
        <w:tc>
          <w:tcPr>
            <w:tcW w:w="8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582,410</w:t>
            </w:r>
          </w:p>
        </w:tc>
        <w:tc>
          <w:tcPr>
            <w:tcW w:w="100" w:type="dxa"/>
            <w:vAlign w:val="bottom"/>
            <w:tcBorders>
              <w:bottom w:val="single" w:sz="8" w:color="CCEEFF"/>
            </w:tcBorders>
            <w:shd w:val="clear" w:color="auto" w:fill="CCEEFF"/>
          </w:tcPr>
          <w:p>
            <w:pPr>
              <w:spacing w:after="0"/>
              <w:rPr>
                <w:sz w:val="23"/>
                <w:szCs w:val="23"/>
                <w:color w:val="auto"/>
              </w:rPr>
            </w:pPr>
          </w:p>
        </w:tc>
        <w:tc>
          <w:tcPr>
            <w:tcW w:w="740" w:type="dxa"/>
            <w:vAlign w:val="bottom"/>
            <w:tcBorders>
              <w:bottom w:val="single" w:sz="8" w:color="CCEEFF"/>
            </w:tcBorders>
            <w:shd w:val="clear" w:color="auto" w:fill="CCEEFF"/>
          </w:tcPr>
          <w:p>
            <w:pPr>
              <w:spacing w:after="0"/>
              <w:rPr>
                <w:sz w:val="23"/>
                <w:szCs w:val="23"/>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888,482</w:t>
            </w:r>
          </w:p>
        </w:tc>
      </w:tr>
      <w:tr>
        <w:trPr>
          <w:trHeight w:val="237"/>
        </w:trPr>
        <w:tc>
          <w:tcPr>
            <w:tcW w:w="69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1340" w:type="dxa"/>
            <w:vAlign w:val="bottom"/>
            <w:tcBorders>
              <w:top w:val="single" w:sz="8" w:color="auto"/>
            </w:tcBorders>
          </w:tcPr>
          <w:p>
            <w:pPr>
              <w:jc w:val="right"/>
              <w:ind w:right="1139"/>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571,893</w:t>
            </w:r>
          </w:p>
        </w:tc>
        <w:tc>
          <w:tcPr>
            <w:tcW w:w="100" w:type="dxa"/>
            <w:vAlign w:val="bottom"/>
          </w:tcPr>
          <w:p>
            <w:pPr>
              <w:spacing w:after="0"/>
              <w:rPr>
                <w:sz w:val="20"/>
                <w:szCs w:val="20"/>
                <w:color w:val="auto"/>
              </w:rPr>
            </w:pPr>
          </w:p>
        </w:tc>
        <w:tc>
          <w:tcPr>
            <w:tcW w:w="740" w:type="dxa"/>
            <w:vAlign w:val="bottom"/>
            <w:tcBorders>
              <w:top w:val="single" w:sz="8" w:color="auto"/>
            </w:tcBorders>
          </w:tcPr>
          <w:p>
            <w:pPr>
              <w:jc w:val="right"/>
              <w:ind w:right="530"/>
              <w:spacing w:after="0"/>
              <w:rPr>
                <w:sz w:val="20"/>
                <w:szCs w:val="20"/>
                <w:color w:val="auto"/>
              </w:rPr>
            </w:pPr>
            <w:r>
              <w:rPr>
                <w:rFonts w:ascii="Times New Roman" w:cs="Times New Roman" w:eastAsia="Times New Roman" w:hAnsi="Times New Roman"/>
                <w:sz w:val="18"/>
                <w:szCs w:val="18"/>
                <w:color w:val="auto"/>
              </w:rPr>
              <w:t>$</w:t>
            </w:r>
          </w:p>
        </w:tc>
        <w:tc>
          <w:tcPr>
            <w:tcW w:w="142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1,167,258</w:t>
            </w:r>
          </w:p>
        </w:tc>
      </w:tr>
      <w:tr>
        <w:trPr>
          <w:trHeight w:val="27"/>
        </w:trPr>
        <w:tc>
          <w:tcPr>
            <w:tcW w:w="690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r>
      <w:tr>
        <w:trPr>
          <w:trHeight w:val="20"/>
        </w:trPr>
        <w:tc>
          <w:tcPr>
            <w:tcW w:w="690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320"/>
          </w:cols>
          <w:pgMar w:left="240" w:top="711" w:right="339" w:bottom="1440" w:gutter="0" w:footer="0" w:header="0"/>
        </w:sectPr>
      </w:pPr>
    </w:p>
    <w:bookmarkStart w:id="10" w:name="page11"/>
    <w:bookmarkEnd w:id="10"/>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760" w:type="dxa"/>
            <w:vAlign w:val="bottom"/>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720" w:type="dxa"/>
            <w:vAlign w:val="bottom"/>
            <w:tcBorders>
              <w:bottom w:val="single" w:sz="8" w:color="auto"/>
            </w:tcBorders>
            <w:gridSpan w:val="2"/>
          </w:tcPr>
          <w:p>
            <w:pPr>
              <w:jc w:val="center"/>
              <w:ind w:right="32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38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57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520" w:type="dxa"/>
            <w:vAlign w:val="bottom"/>
            <w:gridSpan w:val="2"/>
          </w:tcPr>
          <w:p>
            <w:pPr>
              <w:ind w:left="280"/>
              <w:spacing w:after="0" w:line="149" w:lineRule="exact"/>
              <w:rPr>
                <w:sz w:val="20"/>
                <w:szCs w:val="20"/>
                <w:color w:val="auto"/>
              </w:rPr>
            </w:pPr>
            <w:r>
              <w:rPr>
                <w:rFonts w:ascii="Times New Roman" w:cs="Times New Roman" w:eastAsia="Times New Roman" w:hAnsi="Times New Roman"/>
                <w:sz w:val="14"/>
                <w:szCs w:val="14"/>
                <w:b w:val="1"/>
                <w:bCs w:val="1"/>
                <w:color w:val="auto"/>
              </w:rPr>
              <w:t>May 4,</w:t>
            </w:r>
          </w:p>
        </w:tc>
        <w:tc>
          <w:tcPr>
            <w:tcW w:w="160" w:type="dxa"/>
            <w:vAlign w:val="bottom"/>
          </w:tcPr>
          <w:p>
            <w:pPr>
              <w:spacing w:after="0"/>
              <w:rPr>
                <w:sz w:val="12"/>
                <w:szCs w:val="12"/>
                <w:color w:val="auto"/>
              </w:rPr>
            </w:pPr>
          </w:p>
        </w:tc>
        <w:tc>
          <w:tcPr>
            <w:tcW w:w="1720" w:type="dxa"/>
            <w:vAlign w:val="bottom"/>
            <w:gridSpan w:val="2"/>
          </w:tcPr>
          <w:p>
            <w:pPr>
              <w:jc w:val="center"/>
              <w:ind w:right="320"/>
              <w:spacing w:after="0" w:line="149" w:lineRule="exact"/>
              <w:rPr>
                <w:sz w:val="20"/>
                <w:szCs w:val="20"/>
                <w:color w:val="auto"/>
              </w:rPr>
            </w:pPr>
            <w:r>
              <w:rPr>
                <w:rFonts w:ascii="Times New Roman" w:cs="Times New Roman" w:eastAsia="Times New Roman" w:hAnsi="Times New Roman"/>
                <w:sz w:val="14"/>
                <w:szCs w:val="14"/>
                <w:b w:val="1"/>
                <w:bCs w:val="1"/>
                <w:color w:val="auto"/>
              </w:rPr>
              <w:t>February 2,</w:t>
            </w:r>
          </w:p>
        </w:tc>
        <w:tc>
          <w:tcPr>
            <w:tcW w:w="380" w:type="dxa"/>
            <w:vAlign w:val="bottom"/>
          </w:tcPr>
          <w:p>
            <w:pPr>
              <w:spacing w:after="0"/>
              <w:rPr>
                <w:sz w:val="12"/>
                <w:szCs w:val="12"/>
                <w:color w:val="auto"/>
              </w:rPr>
            </w:pPr>
          </w:p>
        </w:tc>
        <w:tc>
          <w:tcPr>
            <w:tcW w:w="1360" w:type="dxa"/>
            <w:vAlign w:val="bottom"/>
          </w:tcPr>
          <w:p>
            <w:pPr>
              <w:jc w:val="right"/>
              <w:ind w:right="594"/>
              <w:spacing w:after="0" w:line="149" w:lineRule="exact"/>
              <w:rPr>
                <w:sz w:val="20"/>
                <w:szCs w:val="20"/>
                <w:color w:val="auto"/>
              </w:rPr>
            </w:pPr>
            <w:r>
              <w:rPr>
                <w:rFonts w:ascii="Times New Roman" w:cs="Times New Roman" w:eastAsia="Times New Roman" w:hAnsi="Times New Roman"/>
                <w:sz w:val="14"/>
                <w:szCs w:val="14"/>
                <w:b w:val="1"/>
                <w:bCs w:val="1"/>
                <w:color w:val="auto"/>
              </w:rPr>
              <w:t>May 5,</w:t>
            </w:r>
          </w:p>
        </w:tc>
        <w:tc>
          <w:tcPr>
            <w:tcW w:w="0" w:type="dxa"/>
            <w:vAlign w:val="bottom"/>
          </w:tcPr>
          <w:p>
            <w:pPr>
              <w:spacing w:after="0"/>
              <w:rPr>
                <w:sz w:val="1"/>
                <w:szCs w:val="1"/>
                <w:color w:val="auto"/>
              </w:rPr>
            </w:pPr>
          </w:p>
        </w:tc>
      </w:tr>
      <w:tr>
        <w:trPr>
          <w:trHeight w:val="195"/>
        </w:trPr>
        <w:tc>
          <w:tcPr>
            <w:tcW w:w="5760" w:type="dxa"/>
            <w:vAlign w:val="bottom"/>
            <w:tcBorders>
              <w:bottom w:val="single" w:sz="8" w:color="CCEEFF"/>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jc w:val="right"/>
              <w:ind w:right="654"/>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tcPr>
          <w:p>
            <w:pPr>
              <w:jc w:val="center"/>
              <w:ind w:right="95"/>
              <w:spacing w:after="0"/>
              <w:rPr>
                <w:sz w:val="20"/>
                <w:szCs w:val="20"/>
                <w:color w:val="auto"/>
              </w:rPr>
            </w:pPr>
            <w:r>
              <w:rPr>
                <w:rFonts w:ascii="Times New Roman" w:cs="Times New Roman" w:eastAsia="Times New Roman" w:hAnsi="Times New Roman"/>
                <w:sz w:val="14"/>
                <w:szCs w:val="14"/>
                <w:b w:val="1"/>
                <w:bCs w:val="1"/>
                <w:color w:val="auto"/>
                <w:w w:val="99"/>
              </w:rPr>
              <w:t>2019</w:t>
            </w:r>
          </w:p>
        </w:tc>
        <w:tc>
          <w:tcPr>
            <w:tcW w:w="100" w:type="dxa"/>
            <w:vAlign w:val="bottom"/>
            <w:tcBorders>
              <w:bottom w:val="single" w:sz="8" w:color="CCEEFF"/>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jc w:val="right"/>
              <w:ind w:right="654"/>
              <w:spacing w:after="0"/>
              <w:rPr>
                <w:sz w:val="20"/>
                <w:szCs w:val="20"/>
                <w:color w:val="auto"/>
              </w:rPr>
            </w:pPr>
            <w:r>
              <w:rPr>
                <w:rFonts w:ascii="Times New Roman" w:cs="Times New Roman" w:eastAsia="Times New Roman" w:hAnsi="Times New Roman"/>
                <w:sz w:val="14"/>
                <w:szCs w:val="14"/>
                <w:b w:val="1"/>
                <w:bCs w:val="1"/>
                <w:color w:val="auto"/>
              </w:rPr>
              <w:t>2018</w:t>
            </w:r>
          </w:p>
        </w:tc>
        <w:tc>
          <w:tcPr>
            <w:tcW w:w="0" w:type="dxa"/>
            <w:vAlign w:val="bottom"/>
          </w:tcPr>
          <w:p>
            <w:pPr>
              <w:spacing w:after="0"/>
              <w:rPr>
                <w:sz w:val="1"/>
                <w:szCs w:val="1"/>
                <w:color w:val="auto"/>
              </w:rPr>
            </w:pPr>
          </w:p>
        </w:tc>
      </w:tr>
      <w:tr>
        <w:trPr>
          <w:trHeight w:val="249"/>
        </w:trPr>
        <w:tc>
          <w:tcPr>
            <w:tcW w:w="57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GAAP gross profit:</w:t>
            </w: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361,428</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620" w:type="dxa"/>
            <w:vAlign w:val="bottom"/>
            <w:tcBorders>
              <w:bottom w:val="single" w:sz="8" w:color="CCEEFF"/>
            </w:tcBorders>
            <w:shd w:val="clear" w:color="auto" w:fill="CCEEFF"/>
          </w:tcPr>
          <w:p>
            <w:pPr>
              <w:jc w:val="right"/>
              <w:ind w:right="175"/>
              <w:spacing w:after="0"/>
              <w:rPr>
                <w:sz w:val="20"/>
                <w:szCs w:val="20"/>
                <w:color w:val="auto"/>
              </w:rPr>
            </w:pPr>
            <w:r>
              <w:rPr>
                <w:rFonts w:ascii="Times New Roman" w:cs="Times New Roman" w:eastAsia="Times New Roman" w:hAnsi="Times New Roman"/>
                <w:sz w:val="18"/>
                <w:szCs w:val="18"/>
                <w:color w:val="auto"/>
              </w:rPr>
              <w:t>322,002</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bottom w:val="single" w:sz="8" w:color="CCEEFF"/>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375,693</w:t>
            </w:r>
          </w:p>
        </w:tc>
        <w:tc>
          <w:tcPr>
            <w:tcW w:w="0" w:type="dxa"/>
            <w:vAlign w:val="bottom"/>
          </w:tcPr>
          <w:p>
            <w:pPr>
              <w:spacing w:after="0"/>
              <w:rPr>
                <w:sz w:val="1"/>
                <w:szCs w:val="1"/>
                <w:color w:val="auto"/>
              </w:rPr>
            </w:pPr>
          </w:p>
        </w:tc>
      </w:tr>
      <w:tr>
        <w:trPr>
          <w:trHeight w:val="243"/>
        </w:trPr>
        <w:tc>
          <w:tcPr>
            <w:tcW w:w="57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Special items:</w:t>
            </w:r>
          </w:p>
        </w:tc>
        <w:tc>
          <w:tcPr>
            <w:tcW w:w="380" w:type="dxa"/>
            <w:vAlign w:val="bottom"/>
          </w:tcPr>
          <w:p>
            <w:pPr>
              <w:spacing w:after="0"/>
              <w:rPr>
                <w:sz w:val="21"/>
                <w:szCs w:val="21"/>
                <w:color w:val="auto"/>
              </w:rPr>
            </w:pPr>
          </w:p>
        </w:tc>
        <w:tc>
          <w:tcPr>
            <w:tcW w:w="14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7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76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38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2,926</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620" w:type="dxa"/>
            <w:vAlign w:val="bottom"/>
            <w:tcBorders>
              <w:bottom w:val="single" w:sz="8" w:color="CCEEFF"/>
            </w:tcBorders>
            <w:shd w:val="clear" w:color="auto" w:fill="CCEEFF"/>
          </w:tcPr>
          <w:p>
            <w:pPr>
              <w:jc w:val="right"/>
              <w:ind w:right="175"/>
              <w:spacing w:after="0"/>
              <w:rPr>
                <w:sz w:val="20"/>
                <w:szCs w:val="20"/>
                <w:color w:val="auto"/>
              </w:rPr>
            </w:pPr>
            <w:r>
              <w:rPr>
                <w:rFonts w:ascii="Times New Roman" w:cs="Times New Roman" w:eastAsia="Times New Roman" w:hAnsi="Times New Roman"/>
                <w:sz w:val="18"/>
                <w:szCs w:val="18"/>
                <w:color w:val="auto"/>
              </w:rPr>
              <w:t>2,942</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1,905</w:t>
            </w:r>
          </w:p>
        </w:tc>
        <w:tc>
          <w:tcPr>
            <w:tcW w:w="0" w:type="dxa"/>
            <w:vAlign w:val="bottom"/>
          </w:tcPr>
          <w:p>
            <w:pPr>
              <w:spacing w:after="0"/>
              <w:rPr>
                <w:sz w:val="1"/>
                <w:szCs w:val="1"/>
                <w:color w:val="auto"/>
              </w:rPr>
            </w:pPr>
          </w:p>
        </w:tc>
      </w:tr>
      <w:tr>
        <w:trPr>
          <w:trHeight w:val="243"/>
        </w:trPr>
        <w:tc>
          <w:tcPr>
            <w:tcW w:w="576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380" w:type="dxa"/>
            <w:vAlign w:val="bottom"/>
          </w:tcPr>
          <w:p>
            <w:pPr>
              <w:spacing w:after="0"/>
              <w:rPr>
                <w:sz w:val="21"/>
                <w:szCs w:val="21"/>
                <w:color w:val="auto"/>
              </w:rPr>
            </w:pPr>
          </w:p>
        </w:tc>
        <w:tc>
          <w:tcPr>
            <w:tcW w:w="1400" w:type="dxa"/>
            <w:vAlign w:val="bottom"/>
          </w:tcPr>
          <w:p>
            <w:pPr>
              <w:jc w:val="right"/>
              <w:ind w:right="154"/>
              <w:spacing w:after="0"/>
              <w:rPr>
                <w:sz w:val="20"/>
                <w:szCs w:val="20"/>
                <w:color w:val="auto"/>
              </w:rPr>
            </w:pPr>
            <w:r>
              <w:rPr>
                <w:rFonts w:ascii="Times New Roman" w:cs="Times New Roman" w:eastAsia="Times New Roman" w:hAnsi="Times New Roman"/>
                <w:sz w:val="18"/>
                <w:szCs w:val="18"/>
                <w:color w:val="auto"/>
              </w:rPr>
              <w:t>59,906</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620" w:type="dxa"/>
            <w:vAlign w:val="bottom"/>
          </w:tcPr>
          <w:p>
            <w:pPr>
              <w:jc w:val="right"/>
              <w:ind w:right="175"/>
              <w:spacing w:after="0"/>
              <w:rPr>
                <w:sz w:val="20"/>
                <w:szCs w:val="20"/>
                <w:color w:val="auto"/>
              </w:rPr>
            </w:pPr>
            <w:r>
              <w:rPr>
                <w:rFonts w:ascii="Times New Roman" w:cs="Times New Roman" w:eastAsia="Times New Roman" w:hAnsi="Times New Roman"/>
                <w:sz w:val="18"/>
                <w:szCs w:val="18"/>
                <w:color w:val="auto"/>
              </w:rPr>
              <w:t>57,591</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360" w:type="dxa"/>
            <w:vAlign w:val="bottom"/>
          </w:tcPr>
          <w:p>
            <w:pPr>
              <w:jc w:val="right"/>
              <w:ind w:right="114"/>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7"/>
        </w:trPr>
        <w:tc>
          <w:tcPr>
            <w:tcW w:w="57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76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38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450</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620" w:type="dxa"/>
            <w:vAlign w:val="bottom"/>
            <w:tcBorders>
              <w:bottom w:val="single" w:sz="8" w:color="CCEEFF"/>
            </w:tcBorders>
            <w:shd w:val="clear" w:color="auto" w:fill="CCEEFF"/>
          </w:tcPr>
          <w:p>
            <w:pPr>
              <w:jc w:val="right"/>
              <w:ind w:right="175"/>
              <w:spacing w:after="0"/>
              <w:rPr>
                <w:sz w:val="20"/>
                <w:szCs w:val="20"/>
                <w:color w:val="auto"/>
              </w:rPr>
            </w:pPr>
            <w:r>
              <w:rPr>
                <w:rFonts w:ascii="Times New Roman" w:cs="Times New Roman" w:eastAsia="Times New Roman" w:hAnsi="Times New Roman"/>
                <w:sz w:val="18"/>
                <w:szCs w:val="18"/>
                <w:color w:val="auto"/>
              </w:rPr>
              <w:t>97,598</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37"/>
        </w:trPr>
        <w:tc>
          <w:tcPr>
            <w:tcW w:w="57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Total special items</w:t>
            </w:r>
          </w:p>
        </w:tc>
        <w:tc>
          <w:tcPr>
            <w:tcW w:w="380" w:type="dxa"/>
            <w:vAlign w:val="bottom"/>
            <w:tcBorders>
              <w:top w:val="single" w:sz="8" w:color="auto"/>
            </w:tcBorders>
          </w:tcPr>
          <w:p>
            <w:pPr>
              <w:spacing w:after="0"/>
              <w:rPr>
                <w:sz w:val="20"/>
                <w:szCs w:val="20"/>
                <w:color w:val="auto"/>
              </w:rPr>
            </w:pPr>
          </w:p>
        </w:tc>
        <w:tc>
          <w:tcPr>
            <w:tcW w:w="1400" w:type="dxa"/>
            <w:vAlign w:val="bottom"/>
            <w:tcBorders>
              <w:top w:val="single" w:sz="8" w:color="auto"/>
            </w:tcBorders>
          </w:tcPr>
          <w:p>
            <w:pPr>
              <w:jc w:val="right"/>
              <w:ind w:right="154"/>
              <w:spacing w:after="0"/>
              <w:rPr>
                <w:sz w:val="20"/>
                <w:szCs w:val="20"/>
                <w:color w:val="auto"/>
              </w:rPr>
            </w:pPr>
            <w:r>
              <w:rPr>
                <w:rFonts w:ascii="Times New Roman" w:cs="Times New Roman" w:eastAsia="Times New Roman" w:hAnsi="Times New Roman"/>
                <w:sz w:val="18"/>
                <w:szCs w:val="18"/>
                <w:color w:val="auto"/>
              </w:rPr>
              <w:t>63,282</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620" w:type="dxa"/>
            <w:vAlign w:val="bottom"/>
            <w:tcBorders>
              <w:top w:val="single" w:sz="8" w:color="auto"/>
            </w:tcBorders>
          </w:tcPr>
          <w:p>
            <w:pPr>
              <w:jc w:val="right"/>
              <w:ind w:right="175"/>
              <w:spacing w:after="0"/>
              <w:rPr>
                <w:sz w:val="20"/>
                <w:szCs w:val="20"/>
                <w:color w:val="auto"/>
              </w:rPr>
            </w:pPr>
            <w:r>
              <w:rPr>
                <w:rFonts w:ascii="Times New Roman" w:cs="Times New Roman" w:eastAsia="Times New Roman" w:hAnsi="Times New Roman"/>
                <w:sz w:val="18"/>
                <w:szCs w:val="18"/>
                <w:color w:val="auto"/>
              </w:rPr>
              <w:t>158,131</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360" w:type="dxa"/>
            <w:vAlign w:val="bottom"/>
            <w:tcBorders>
              <w:top w:val="single" w:sz="8" w:color="auto"/>
            </w:tcBorders>
          </w:tcPr>
          <w:p>
            <w:pPr>
              <w:jc w:val="right"/>
              <w:ind w:right="114"/>
              <w:spacing w:after="0"/>
              <w:rPr>
                <w:sz w:val="20"/>
                <w:szCs w:val="20"/>
                <w:color w:val="auto"/>
              </w:rPr>
            </w:pPr>
            <w:r>
              <w:rPr>
                <w:rFonts w:ascii="Times New Roman" w:cs="Times New Roman" w:eastAsia="Times New Roman" w:hAnsi="Times New Roman"/>
                <w:sz w:val="18"/>
                <w:szCs w:val="18"/>
                <w:color w:val="auto"/>
              </w:rPr>
              <w:t>1,905</w:t>
            </w:r>
          </w:p>
        </w:tc>
        <w:tc>
          <w:tcPr>
            <w:tcW w:w="0" w:type="dxa"/>
            <w:vAlign w:val="bottom"/>
          </w:tcPr>
          <w:p>
            <w:pPr>
              <w:spacing w:after="0"/>
              <w:rPr>
                <w:sz w:val="1"/>
                <w:szCs w:val="1"/>
                <w:color w:val="auto"/>
              </w:rPr>
            </w:pPr>
          </w:p>
        </w:tc>
      </w:tr>
      <w:tr>
        <w:trPr>
          <w:trHeight w:val="27"/>
        </w:trPr>
        <w:tc>
          <w:tcPr>
            <w:tcW w:w="576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7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Non-GAAP gross profit</w:t>
            </w: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424,710</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620" w:type="dxa"/>
            <w:vAlign w:val="bottom"/>
            <w:tcBorders>
              <w:bottom w:val="single" w:sz="8" w:color="CCEEFF"/>
            </w:tcBorders>
            <w:shd w:val="clear" w:color="auto" w:fill="CCEEFF"/>
          </w:tcPr>
          <w:p>
            <w:pPr>
              <w:jc w:val="right"/>
              <w:ind w:right="175"/>
              <w:spacing w:after="0"/>
              <w:rPr>
                <w:sz w:val="20"/>
                <w:szCs w:val="20"/>
                <w:color w:val="auto"/>
              </w:rPr>
            </w:pPr>
            <w:r>
              <w:rPr>
                <w:rFonts w:ascii="Times New Roman" w:cs="Times New Roman" w:eastAsia="Times New Roman" w:hAnsi="Times New Roman"/>
                <w:sz w:val="18"/>
                <w:szCs w:val="18"/>
                <w:color w:val="auto"/>
              </w:rPr>
              <w:t>480,133</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bottom w:val="single" w:sz="8" w:color="CCEEFF"/>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377,598</w:t>
            </w:r>
          </w:p>
        </w:tc>
        <w:tc>
          <w:tcPr>
            <w:tcW w:w="0" w:type="dxa"/>
            <w:vAlign w:val="bottom"/>
          </w:tcPr>
          <w:p>
            <w:pPr>
              <w:spacing w:after="0"/>
              <w:rPr>
                <w:sz w:val="1"/>
                <w:szCs w:val="1"/>
                <w:color w:val="auto"/>
              </w:rPr>
            </w:pPr>
          </w:p>
        </w:tc>
      </w:tr>
      <w:tr>
        <w:trPr>
          <w:trHeight w:val="20"/>
        </w:trPr>
        <w:tc>
          <w:tcPr>
            <w:tcW w:w="576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4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3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57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4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5"/>
        </w:trPr>
        <w:tc>
          <w:tcPr>
            <w:tcW w:w="57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GAAP gross margin</w:t>
            </w:r>
          </w:p>
        </w:tc>
        <w:tc>
          <w:tcPr>
            <w:tcW w:w="38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54.6 %</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6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43.2 %</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62.1%</w:t>
            </w:r>
          </w:p>
        </w:tc>
        <w:tc>
          <w:tcPr>
            <w:tcW w:w="0" w:type="dxa"/>
            <w:vAlign w:val="bottom"/>
          </w:tcPr>
          <w:p>
            <w:pPr>
              <w:spacing w:after="0"/>
              <w:rPr>
                <w:sz w:val="1"/>
                <w:szCs w:val="1"/>
                <w:color w:val="auto"/>
              </w:rPr>
            </w:pPr>
          </w:p>
        </w:tc>
      </w:tr>
      <w:tr>
        <w:trPr>
          <w:trHeight w:val="20"/>
        </w:trPr>
        <w:tc>
          <w:tcPr>
            <w:tcW w:w="5760" w:type="dxa"/>
            <w:vAlign w:val="bottom"/>
            <w:tcBorders>
              <w:top w:val="single" w:sz="8" w:color="CCEEFF"/>
              <w:bottom w:val="single" w:sz="8" w:color="CCEEFF"/>
            </w:tcBorders>
            <w:vMerge w:val="restart"/>
          </w:tcPr>
          <w:p>
            <w:pPr>
              <w:ind w:left="20"/>
              <w:spacing w:after="0"/>
              <w:rPr>
                <w:sz w:val="20"/>
                <w:szCs w:val="20"/>
                <w:color w:val="auto"/>
              </w:rPr>
            </w:pPr>
            <w:r>
              <w:rPr>
                <w:rFonts w:ascii="Times New Roman" w:cs="Times New Roman" w:eastAsia="Times New Roman" w:hAnsi="Times New Roman"/>
                <w:sz w:val="18"/>
                <w:szCs w:val="18"/>
                <w:color w:val="auto"/>
              </w:rPr>
              <w:t>Non-GAAP gross margin</w:t>
            </w:r>
          </w:p>
        </w:tc>
        <w:tc>
          <w:tcPr>
            <w:tcW w:w="380" w:type="dxa"/>
            <w:vAlign w:val="bottom"/>
            <w:tcBorders>
              <w:top w:val="single" w:sz="8" w:color="auto"/>
              <w:bottom w:val="single" w:sz="8" w:color="auto"/>
            </w:tcBorders>
          </w:tcPr>
          <w:p>
            <w:pPr>
              <w:spacing w:after="0" w:line="20" w:lineRule="exact"/>
              <w:rPr>
                <w:sz w:val="1"/>
                <w:szCs w:val="1"/>
                <w:color w:val="auto"/>
              </w:rPr>
            </w:pPr>
          </w:p>
        </w:tc>
        <w:tc>
          <w:tcPr>
            <w:tcW w:w="14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3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5760" w:type="dxa"/>
            <w:vAlign w:val="bottom"/>
            <w:vMerge w:val="continue"/>
          </w:tcPr>
          <w:p>
            <w:pPr>
              <w:spacing w:after="0"/>
              <w:rPr>
                <w:sz w:val="19"/>
                <w:szCs w:val="19"/>
                <w:color w:val="auto"/>
              </w:rPr>
            </w:pPr>
          </w:p>
        </w:tc>
        <w:tc>
          <w:tcPr>
            <w:tcW w:w="38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64.1 %</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64.5 %</w:t>
            </w: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62.5%</w:t>
            </w:r>
          </w:p>
        </w:tc>
        <w:tc>
          <w:tcPr>
            <w:tcW w:w="0" w:type="dxa"/>
            <w:vAlign w:val="bottom"/>
          </w:tcPr>
          <w:p>
            <w:pPr>
              <w:spacing w:after="0"/>
              <w:rPr>
                <w:sz w:val="1"/>
                <w:szCs w:val="1"/>
                <w:color w:val="auto"/>
              </w:rPr>
            </w:pPr>
          </w:p>
        </w:tc>
      </w:tr>
      <w:tr>
        <w:trPr>
          <w:trHeight w:val="67"/>
        </w:trPr>
        <w:tc>
          <w:tcPr>
            <w:tcW w:w="576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14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6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13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05"/>
        </w:trPr>
        <w:tc>
          <w:tcPr>
            <w:tcW w:w="5760" w:type="dxa"/>
            <w:vAlign w:val="bottom"/>
            <w:shd w:val="clear" w:color="auto" w:fill="CCEEFF"/>
          </w:tcPr>
          <w:p>
            <w:pPr>
              <w:spacing w:after="0"/>
              <w:rPr>
                <w:sz w:val="24"/>
                <w:szCs w:val="24"/>
                <w:color w:val="auto"/>
              </w:rPr>
            </w:pPr>
          </w:p>
        </w:tc>
        <w:tc>
          <w:tcPr>
            <w:tcW w:w="380" w:type="dxa"/>
            <w:vAlign w:val="bottom"/>
            <w:shd w:val="clear" w:color="auto" w:fill="CCEEFF"/>
          </w:tcPr>
          <w:p>
            <w:pPr>
              <w:spacing w:after="0"/>
              <w:rPr>
                <w:sz w:val="24"/>
                <w:szCs w:val="24"/>
                <w:color w:val="auto"/>
              </w:rPr>
            </w:pPr>
          </w:p>
        </w:tc>
        <w:tc>
          <w:tcPr>
            <w:tcW w:w="14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6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80" w:type="dxa"/>
            <w:vAlign w:val="bottom"/>
            <w:shd w:val="clear" w:color="auto" w:fill="CCEEFF"/>
          </w:tcPr>
          <w:p>
            <w:pPr>
              <w:spacing w:after="0"/>
              <w:rPr>
                <w:sz w:val="24"/>
                <w:szCs w:val="24"/>
                <w:color w:val="auto"/>
              </w:rPr>
            </w:pPr>
          </w:p>
        </w:tc>
        <w:tc>
          <w:tcPr>
            <w:tcW w:w="136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57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5760" w:type="dxa"/>
            <w:vAlign w:val="bottom"/>
            <w:shd w:val="clear" w:color="auto" w:fill="CCEEFF"/>
          </w:tcPr>
          <w:p>
            <w:pPr>
              <w:spacing w:after="0"/>
              <w:rPr>
                <w:sz w:val="23"/>
                <w:szCs w:val="23"/>
                <w:color w:val="auto"/>
              </w:rPr>
            </w:pPr>
          </w:p>
        </w:tc>
        <w:tc>
          <w:tcPr>
            <w:tcW w:w="380" w:type="dxa"/>
            <w:vAlign w:val="bottom"/>
            <w:shd w:val="clear" w:color="auto" w:fill="CCEEFF"/>
          </w:tcPr>
          <w:p>
            <w:pPr>
              <w:spacing w:after="0"/>
              <w:rPr>
                <w:sz w:val="23"/>
                <w:szCs w:val="23"/>
                <w:color w:val="auto"/>
              </w:rPr>
            </w:pPr>
          </w:p>
        </w:tc>
        <w:tc>
          <w:tcPr>
            <w:tcW w:w="140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62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380" w:type="dxa"/>
            <w:vAlign w:val="bottom"/>
            <w:shd w:val="clear" w:color="auto" w:fill="CCEEFF"/>
          </w:tcPr>
          <w:p>
            <w:pPr>
              <w:spacing w:after="0"/>
              <w:rPr>
                <w:sz w:val="23"/>
                <w:szCs w:val="23"/>
                <w:color w:val="auto"/>
              </w:rPr>
            </w:pPr>
          </w:p>
        </w:tc>
        <w:tc>
          <w:tcPr>
            <w:tcW w:w="13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pacing w:after="0" w:line="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7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Total GAAP operating expenses</w:t>
            </w:r>
          </w:p>
        </w:tc>
        <w:tc>
          <w:tcPr>
            <w:tcW w:w="540" w:type="dxa"/>
            <w:vAlign w:val="bottom"/>
          </w:tcPr>
          <w:p>
            <w:pPr>
              <w:jc w:val="right"/>
              <w:ind w:right="3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50"/>
              <w:spacing w:after="0"/>
              <w:rPr>
                <w:sz w:val="20"/>
                <w:szCs w:val="20"/>
                <w:color w:val="auto"/>
              </w:rPr>
            </w:pPr>
            <w:r>
              <w:rPr>
                <w:rFonts w:ascii="Times New Roman" w:cs="Times New Roman" w:eastAsia="Times New Roman" w:hAnsi="Times New Roman"/>
                <w:sz w:val="18"/>
                <w:szCs w:val="18"/>
                <w:color w:val="auto"/>
              </w:rPr>
              <w:t>382,554</w:t>
            </w:r>
          </w:p>
        </w:tc>
        <w:tc>
          <w:tcPr>
            <w:tcW w:w="120" w:type="dxa"/>
            <w:vAlign w:val="bottom"/>
          </w:tcPr>
          <w:p>
            <w:pPr>
              <w:spacing w:after="0"/>
              <w:rPr>
                <w:sz w:val="20"/>
                <w:szCs w:val="20"/>
                <w:color w:val="auto"/>
              </w:rPr>
            </w:pPr>
          </w:p>
        </w:tc>
        <w:tc>
          <w:tcPr>
            <w:tcW w:w="520" w:type="dxa"/>
            <w:vAlign w:val="bottom"/>
          </w:tcPr>
          <w:p>
            <w:pPr>
              <w:jc w:val="right"/>
              <w:ind w:right="33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rPr>
              <w:t>375,010</w:t>
            </w:r>
          </w:p>
        </w:tc>
        <w:tc>
          <w:tcPr>
            <w:tcW w:w="100" w:type="dxa"/>
            <w:vAlign w:val="bottom"/>
          </w:tcPr>
          <w:p>
            <w:pPr>
              <w:spacing w:after="0"/>
              <w:rPr>
                <w:sz w:val="20"/>
                <w:szCs w:val="20"/>
                <w:color w:val="auto"/>
              </w:rPr>
            </w:pPr>
          </w:p>
        </w:tc>
        <w:tc>
          <w:tcPr>
            <w:tcW w:w="540" w:type="dxa"/>
            <w:vAlign w:val="bottom"/>
          </w:tcPr>
          <w:p>
            <w:pPr>
              <w:jc w:val="right"/>
              <w:ind w:right="33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250,614</w:t>
            </w:r>
          </w:p>
        </w:tc>
      </w:tr>
      <w:tr>
        <w:trPr>
          <w:trHeight w:val="27"/>
        </w:trPr>
        <w:tc>
          <w:tcPr>
            <w:tcW w:w="57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7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Special items:</w:t>
            </w:r>
          </w:p>
        </w:tc>
        <w:tc>
          <w:tcPr>
            <w:tcW w:w="5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576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540" w:type="dxa"/>
            <w:vAlign w:val="bottom"/>
          </w:tcPr>
          <w:p>
            <w:pPr>
              <w:spacing w:after="0"/>
              <w:rPr>
                <w:sz w:val="21"/>
                <w:szCs w:val="21"/>
                <w:color w:val="auto"/>
              </w:rPr>
            </w:pPr>
          </w:p>
        </w:tc>
        <w:tc>
          <w:tcPr>
            <w:tcW w:w="124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(55,672)</w:t>
            </w:r>
          </w:p>
        </w:tc>
        <w:tc>
          <w:tcPr>
            <w:tcW w:w="1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26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(47,638)</w:t>
            </w:r>
          </w:p>
        </w:tc>
        <w:tc>
          <w:tcPr>
            <w:tcW w:w="1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2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(21,947)</w:t>
            </w:r>
          </w:p>
        </w:tc>
      </w:tr>
      <w:tr>
        <w:trPr>
          <w:trHeight w:val="27"/>
        </w:trPr>
        <w:tc>
          <w:tcPr>
            <w:tcW w:w="57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76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5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(5,682)</w:t>
            </w:r>
          </w:p>
        </w:tc>
        <w:tc>
          <w:tcPr>
            <w:tcW w:w="12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(12,740)</w:t>
            </w:r>
          </w:p>
        </w:tc>
        <w:tc>
          <w:tcPr>
            <w:tcW w:w="10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(1,567)</w:t>
            </w:r>
          </w:p>
        </w:tc>
      </w:tr>
      <w:tr>
        <w:trPr>
          <w:trHeight w:val="243"/>
        </w:trPr>
        <w:tc>
          <w:tcPr>
            <w:tcW w:w="576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540" w:type="dxa"/>
            <w:vAlign w:val="bottom"/>
          </w:tcPr>
          <w:p>
            <w:pPr>
              <w:spacing w:after="0"/>
              <w:rPr>
                <w:sz w:val="21"/>
                <w:szCs w:val="21"/>
                <w:color w:val="auto"/>
              </w:rPr>
            </w:pPr>
          </w:p>
        </w:tc>
        <w:tc>
          <w:tcPr>
            <w:tcW w:w="124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(19,834)</w:t>
            </w:r>
          </w:p>
        </w:tc>
        <w:tc>
          <w:tcPr>
            <w:tcW w:w="1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26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(21,097)</w:t>
            </w:r>
          </w:p>
        </w:tc>
        <w:tc>
          <w:tcPr>
            <w:tcW w:w="1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2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57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5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576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Other operating expenses (c)</w:t>
            </w:r>
          </w:p>
        </w:tc>
        <w:tc>
          <w:tcPr>
            <w:tcW w:w="5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(6,569)</w:t>
            </w:r>
          </w:p>
        </w:tc>
        <w:tc>
          <w:tcPr>
            <w:tcW w:w="120" w:type="dxa"/>
            <w:vAlign w:val="bottom"/>
            <w:tcBorders>
              <w:bottom w:val="single" w:sz="8" w:color="CCEEFF"/>
            </w:tcBorders>
            <w:shd w:val="clear" w:color="auto" w:fill="CCEEFF"/>
          </w:tcPr>
          <w:p>
            <w:pPr>
              <w:spacing w:after="0"/>
              <w:rPr>
                <w:sz w:val="23"/>
                <w:szCs w:val="23"/>
                <w:color w:val="auto"/>
              </w:rPr>
            </w:pPr>
          </w:p>
        </w:tc>
        <w:tc>
          <w:tcPr>
            <w:tcW w:w="5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(7,392)</w:t>
            </w:r>
          </w:p>
        </w:tc>
        <w:tc>
          <w:tcPr>
            <w:tcW w:w="100" w:type="dxa"/>
            <w:vAlign w:val="bottom"/>
            <w:tcBorders>
              <w:bottom w:val="single" w:sz="8" w:color="CCEEFF"/>
            </w:tcBorders>
            <w:shd w:val="clear" w:color="auto" w:fill="CCEEFF"/>
          </w:tcPr>
          <w:p>
            <w:pPr>
              <w:spacing w:after="0"/>
              <w:rPr>
                <w:sz w:val="23"/>
                <w:szCs w:val="23"/>
                <w:color w:val="auto"/>
              </w:rPr>
            </w:pPr>
          </w:p>
        </w:tc>
        <w:tc>
          <w:tcPr>
            <w:tcW w:w="5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(15,252)</w:t>
            </w:r>
          </w:p>
        </w:tc>
      </w:tr>
      <w:tr>
        <w:trPr>
          <w:trHeight w:val="237"/>
        </w:trPr>
        <w:tc>
          <w:tcPr>
            <w:tcW w:w="57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Total special items</w:t>
            </w:r>
          </w:p>
        </w:tc>
        <w:tc>
          <w:tcPr>
            <w:tcW w:w="5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(87,757)</w:t>
            </w:r>
          </w:p>
        </w:tc>
        <w:tc>
          <w:tcPr>
            <w:tcW w:w="120" w:type="dxa"/>
            <w:vAlign w:val="bottom"/>
          </w:tcPr>
          <w:p>
            <w:pPr>
              <w:spacing w:after="0"/>
              <w:rPr>
                <w:sz w:val="20"/>
                <w:szCs w:val="20"/>
                <w:color w:val="auto"/>
              </w:rPr>
            </w:pPr>
          </w:p>
        </w:tc>
        <w:tc>
          <w:tcPr>
            <w:tcW w:w="52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110"/>
              <w:spacing w:after="0"/>
              <w:rPr>
                <w:sz w:val="20"/>
                <w:szCs w:val="20"/>
                <w:color w:val="auto"/>
              </w:rPr>
            </w:pPr>
            <w:r>
              <w:rPr>
                <w:rFonts w:ascii="Times New Roman" w:cs="Times New Roman" w:eastAsia="Times New Roman" w:hAnsi="Times New Roman"/>
                <w:sz w:val="18"/>
                <w:szCs w:val="18"/>
                <w:color w:val="auto"/>
              </w:rPr>
              <w:t>(88,867)</w:t>
            </w:r>
          </w:p>
        </w:tc>
        <w:tc>
          <w:tcPr>
            <w:tcW w:w="100" w:type="dxa"/>
            <w:vAlign w:val="bottom"/>
          </w:tcPr>
          <w:p>
            <w:pPr>
              <w:spacing w:after="0"/>
              <w:rPr>
                <w:sz w:val="20"/>
                <w:szCs w:val="20"/>
                <w:color w:val="auto"/>
              </w:rPr>
            </w:pPr>
          </w:p>
        </w:tc>
        <w:tc>
          <w:tcPr>
            <w:tcW w:w="54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50"/>
              <w:spacing w:after="0"/>
              <w:rPr>
                <w:sz w:val="20"/>
                <w:szCs w:val="20"/>
                <w:color w:val="auto"/>
              </w:rPr>
            </w:pPr>
            <w:r>
              <w:rPr>
                <w:rFonts w:ascii="Times New Roman" w:cs="Times New Roman" w:eastAsia="Times New Roman" w:hAnsi="Times New Roman"/>
                <w:sz w:val="18"/>
                <w:szCs w:val="18"/>
                <w:color w:val="auto"/>
              </w:rPr>
              <w:t>(38,766)</w:t>
            </w:r>
          </w:p>
        </w:tc>
      </w:tr>
      <w:tr>
        <w:trPr>
          <w:trHeight w:val="27"/>
        </w:trPr>
        <w:tc>
          <w:tcPr>
            <w:tcW w:w="576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9"/>
        </w:trPr>
        <w:tc>
          <w:tcPr>
            <w:tcW w:w="57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Total non-GAAP operating expenses</w:t>
            </w:r>
          </w:p>
        </w:tc>
        <w:tc>
          <w:tcPr>
            <w:tcW w:w="540" w:type="dxa"/>
            <w:vAlign w:val="bottom"/>
            <w:tcBorders>
              <w:bottom w:val="single" w:sz="8" w:color="CCEEFF"/>
            </w:tcBorders>
            <w:shd w:val="clear" w:color="auto" w:fill="CCEEFF"/>
          </w:tcPr>
          <w:p>
            <w:pPr>
              <w:jc w:val="right"/>
              <w:ind w:right="3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294,797</w:t>
            </w:r>
          </w:p>
        </w:tc>
        <w:tc>
          <w:tcPr>
            <w:tcW w:w="120" w:type="dxa"/>
            <w:vAlign w:val="bottom"/>
            <w:tcBorders>
              <w:bottom w:val="single" w:sz="8" w:color="CCEEFF"/>
            </w:tcBorders>
            <w:shd w:val="clear" w:color="auto" w:fill="CCEEFF"/>
          </w:tcPr>
          <w:p>
            <w:pPr>
              <w:spacing w:after="0"/>
              <w:rPr>
                <w:sz w:val="22"/>
                <w:szCs w:val="22"/>
                <w:color w:val="auto"/>
              </w:rPr>
            </w:pPr>
          </w:p>
        </w:tc>
        <w:tc>
          <w:tcPr>
            <w:tcW w:w="520" w:type="dxa"/>
            <w:vAlign w:val="bottom"/>
            <w:tcBorders>
              <w:bottom w:val="single" w:sz="8" w:color="CCEEFF"/>
            </w:tcBorders>
            <w:shd w:val="clear" w:color="auto" w:fill="CCEEFF"/>
          </w:tcPr>
          <w:p>
            <w:pPr>
              <w:jc w:val="right"/>
              <w:ind w:right="33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286,143</w:t>
            </w:r>
          </w:p>
        </w:tc>
        <w:tc>
          <w:tcPr>
            <w:tcW w:w="100" w:type="dxa"/>
            <w:vAlign w:val="bottom"/>
            <w:tcBorders>
              <w:bottom w:val="single" w:sz="8" w:color="CCEEFF"/>
            </w:tcBorders>
            <w:shd w:val="clear" w:color="auto" w:fill="CCEEFF"/>
          </w:tcPr>
          <w:p>
            <w:pPr>
              <w:spacing w:after="0"/>
              <w:rPr>
                <w:sz w:val="22"/>
                <w:szCs w:val="22"/>
                <w:color w:val="auto"/>
              </w:rPr>
            </w:pPr>
          </w:p>
        </w:tc>
        <w:tc>
          <w:tcPr>
            <w:tcW w:w="540" w:type="dxa"/>
            <w:vAlign w:val="bottom"/>
            <w:tcBorders>
              <w:bottom w:val="single" w:sz="8" w:color="CCEEFF"/>
            </w:tcBorders>
            <w:shd w:val="clear" w:color="auto" w:fill="CCEEFF"/>
          </w:tcPr>
          <w:p>
            <w:pPr>
              <w:jc w:val="right"/>
              <w:ind w:right="33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211,848</w:t>
            </w:r>
          </w:p>
        </w:tc>
      </w:tr>
      <w:tr>
        <w:trPr>
          <w:trHeight w:val="20"/>
        </w:trPr>
        <w:tc>
          <w:tcPr>
            <w:tcW w:w="576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57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324"/>
        </w:trPr>
        <w:tc>
          <w:tcPr>
            <w:tcW w:w="5760" w:type="dxa"/>
            <w:vAlign w:val="bottom"/>
            <w:shd w:val="clear" w:color="auto" w:fill="CCEEFF"/>
          </w:tcPr>
          <w:p>
            <w:pPr>
              <w:spacing w:after="0"/>
              <w:rPr>
                <w:sz w:val="24"/>
                <w:szCs w:val="24"/>
                <w:color w:val="auto"/>
              </w:rPr>
            </w:pPr>
          </w:p>
        </w:tc>
        <w:tc>
          <w:tcPr>
            <w:tcW w:w="5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520" w:type="dxa"/>
            <w:vAlign w:val="bottom"/>
            <w:shd w:val="clear" w:color="auto" w:fill="CCEEFF"/>
          </w:tcPr>
          <w:p>
            <w:pPr>
              <w:spacing w:after="0"/>
              <w:rPr>
                <w:sz w:val="24"/>
                <w:szCs w:val="24"/>
                <w:color w:val="auto"/>
              </w:rPr>
            </w:pPr>
          </w:p>
        </w:tc>
        <w:tc>
          <w:tcPr>
            <w:tcW w:w="12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54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57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GAAP operating margin</w:t>
            </w:r>
          </w:p>
        </w:tc>
        <w:tc>
          <w:tcPr>
            <w:tcW w:w="1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120" w:type="dxa"/>
            <w:vAlign w:val="bottom"/>
            <w:shd w:val="clear" w:color="auto" w:fill="CCEEFF"/>
          </w:tcPr>
          <w:p>
            <w:pPr>
              <w:spacing w:after="0"/>
              <w:rPr>
                <w:sz w:val="23"/>
                <w:szCs w:val="23"/>
                <w:color w:val="auto"/>
              </w:rPr>
            </w:pPr>
          </w:p>
        </w:tc>
        <w:tc>
          <w:tcPr>
            <w:tcW w:w="17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w:t>
            </w:r>
          </w:p>
        </w:tc>
        <w:tc>
          <w:tcPr>
            <w:tcW w:w="100" w:type="dxa"/>
            <w:vAlign w:val="bottom"/>
            <w:shd w:val="clear" w:color="auto" w:fill="CCEEFF"/>
          </w:tcPr>
          <w:p>
            <w:pPr>
              <w:spacing w:after="0"/>
              <w:rPr>
                <w:sz w:val="23"/>
                <w:szCs w:val="23"/>
                <w:color w:val="auto"/>
              </w:rPr>
            </w:pPr>
          </w:p>
        </w:tc>
        <w:tc>
          <w:tcPr>
            <w:tcW w:w="1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w:t>
            </w:r>
          </w:p>
        </w:tc>
      </w:tr>
      <w:tr>
        <w:trPr>
          <w:trHeight w:val="243"/>
        </w:trPr>
        <w:tc>
          <w:tcPr>
            <w:tcW w:w="576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1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0.1 %</w:t>
            </w:r>
          </w:p>
        </w:tc>
        <w:tc>
          <w:tcPr>
            <w:tcW w:w="120" w:type="dxa"/>
            <w:vAlign w:val="bottom"/>
          </w:tcPr>
          <w:p>
            <w:pPr>
              <w:spacing w:after="0"/>
              <w:rPr>
                <w:sz w:val="21"/>
                <w:szCs w:val="21"/>
                <w:color w:val="auto"/>
              </w:rPr>
            </w:pPr>
          </w:p>
        </w:tc>
        <w:tc>
          <w:tcPr>
            <w:tcW w:w="1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13.1 %</w:t>
            </w:r>
          </w:p>
        </w:tc>
        <w:tc>
          <w:tcPr>
            <w:tcW w:w="100" w:type="dxa"/>
            <w:vAlign w:val="bottom"/>
          </w:tcPr>
          <w:p>
            <w:pPr>
              <w:spacing w:after="0"/>
              <w:rPr>
                <w:sz w:val="21"/>
                <w:szCs w:val="21"/>
                <w:color w:val="auto"/>
              </w:rPr>
            </w:pP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5760" w:type="dxa"/>
            <w:vAlign w:val="bottom"/>
          </w:tcPr>
          <w:p>
            <w:pPr>
              <w:spacing w:after="0"/>
              <w:rPr>
                <w:sz w:val="2"/>
                <w:szCs w:val="2"/>
                <w:color w:val="auto"/>
              </w:rPr>
            </w:pPr>
          </w:p>
        </w:tc>
        <w:tc>
          <w:tcPr>
            <w:tcW w:w="17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40" w:type="dxa"/>
            <w:vAlign w:val="bottom"/>
          </w:tcPr>
          <w:p>
            <w:pPr>
              <w:spacing w:after="0"/>
              <w:rPr>
                <w:sz w:val="2"/>
                <w:szCs w:val="2"/>
                <w:color w:val="auto"/>
              </w:rPr>
            </w:pPr>
          </w:p>
        </w:tc>
      </w:tr>
      <w:tr>
        <w:trPr>
          <w:trHeight w:val="250"/>
        </w:trPr>
        <w:tc>
          <w:tcPr>
            <w:tcW w:w="576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17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8.8 %</w:t>
            </w:r>
          </w:p>
        </w:tc>
        <w:tc>
          <w:tcPr>
            <w:tcW w:w="120" w:type="dxa"/>
            <w:vAlign w:val="bottom"/>
            <w:tcBorders>
              <w:bottom w:val="single" w:sz="8" w:color="CCEEFF"/>
            </w:tcBorders>
            <w:shd w:val="clear" w:color="auto" w:fill="CCEEFF"/>
          </w:tcPr>
          <w:p>
            <w:pPr>
              <w:spacing w:after="0"/>
              <w:rPr>
                <w:sz w:val="21"/>
                <w:szCs w:val="21"/>
                <w:color w:val="auto"/>
              </w:rPr>
            </w:pPr>
          </w:p>
        </w:tc>
        <w:tc>
          <w:tcPr>
            <w:tcW w:w="17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6.8 %</w:t>
            </w:r>
          </w:p>
        </w:tc>
        <w:tc>
          <w:tcPr>
            <w:tcW w:w="100" w:type="dxa"/>
            <w:vAlign w:val="bottom"/>
            <w:tcBorders>
              <w:bottom w:val="single" w:sz="8" w:color="CCEEFF"/>
            </w:tcBorders>
            <w:shd w:val="clear" w:color="auto" w:fill="CCEEFF"/>
          </w:tcPr>
          <w:p>
            <w:pPr>
              <w:spacing w:after="0"/>
              <w:rPr>
                <w:sz w:val="21"/>
                <w:szCs w:val="21"/>
                <w:color w:val="auto"/>
              </w:rPr>
            </w:pPr>
          </w:p>
        </w:tc>
        <w:tc>
          <w:tcPr>
            <w:tcW w:w="17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243"/>
        </w:trPr>
        <w:tc>
          <w:tcPr>
            <w:tcW w:w="576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1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0.9 %</w:t>
            </w:r>
          </w:p>
        </w:tc>
        <w:tc>
          <w:tcPr>
            <w:tcW w:w="120" w:type="dxa"/>
            <w:vAlign w:val="bottom"/>
          </w:tcPr>
          <w:p>
            <w:pPr>
              <w:spacing w:after="0"/>
              <w:rPr>
                <w:sz w:val="21"/>
                <w:szCs w:val="21"/>
                <w:color w:val="auto"/>
              </w:rPr>
            </w:pPr>
          </w:p>
        </w:tc>
        <w:tc>
          <w:tcPr>
            <w:tcW w:w="1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1.7 %</w:t>
            </w:r>
          </w:p>
        </w:tc>
        <w:tc>
          <w:tcPr>
            <w:tcW w:w="100" w:type="dxa"/>
            <w:vAlign w:val="bottom"/>
          </w:tcPr>
          <w:p>
            <w:pPr>
              <w:spacing w:after="0"/>
              <w:rPr>
                <w:sz w:val="21"/>
                <w:szCs w:val="21"/>
                <w:color w:val="auto"/>
              </w:rPr>
            </w:pP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r>
      <w:tr>
        <w:trPr>
          <w:trHeight w:val="27"/>
        </w:trPr>
        <w:tc>
          <w:tcPr>
            <w:tcW w:w="5760" w:type="dxa"/>
            <w:vAlign w:val="bottom"/>
          </w:tcPr>
          <w:p>
            <w:pPr>
              <w:spacing w:after="0"/>
              <w:rPr>
                <w:sz w:val="2"/>
                <w:szCs w:val="2"/>
                <w:color w:val="auto"/>
              </w:rPr>
            </w:pPr>
          </w:p>
        </w:tc>
        <w:tc>
          <w:tcPr>
            <w:tcW w:w="17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40" w:type="dxa"/>
            <w:vAlign w:val="bottom"/>
          </w:tcPr>
          <w:p>
            <w:pPr>
              <w:spacing w:after="0"/>
              <w:rPr>
                <w:sz w:val="2"/>
                <w:szCs w:val="2"/>
                <w:color w:val="auto"/>
              </w:rPr>
            </w:pPr>
          </w:p>
        </w:tc>
      </w:tr>
      <w:tr>
        <w:trPr>
          <w:trHeight w:val="250"/>
        </w:trPr>
        <w:tc>
          <w:tcPr>
            <w:tcW w:w="576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7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12.0 %</w:t>
            </w:r>
          </w:p>
        </w:tc>
        <w:tc>
          <w:tcPr>
            <w:tcW w:w="120" w:type="dxa"/>
            <w:vAlign w:val="bottom"/>
            <w:tcBorders>
              <w:bottom w:val="single" w:sz="8" w:color="CCEEFF"/>
            </w:tcBorders>
            <w:shd w:val="clear" w:color="auto" w:fill="CCEEFF"/>
          </w:tcPr>
          <w:p>
            <w:pPr>
              <w:spacing w:after="0"/>
              <w:rPr>
                <w:sz w:val="21"/>
                <w:szCs w:val="21"/>
                <w:color w:val="auto"/>
              </w:rPr>
            </w:pPr>
          </w:p>
        </w:tc>
        <w:tc>
          <w:tcPr>
            <w:tcW w:w="17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10.6 %</w:t>
            </w:r>
          </w:p>
        </w:tc>
        <w:tc>
          <w:tcPr>
            <w:tcW w:w="100" w:type="dxa"/>
            <w:vAlign w:val="bottom"/>
            <w:tcBorders>
              <w:bottom w:val="single" w:sz="8" w:color="CCEEFF"/>
            </w:tcBorders>
            <w:shd w:val="clear" w:color="auto" w:fill="CCEEFF"/>
          </w:tcPr>
          <w:p>
            <w:pPr>
              <w:spacing w:after="0"/>
              <w:rPr>
                <w:sz w:val="21"/>
                <w:szCs w:val="21"/>
                <w:color w:val="auto"/>
              </w:rPr>
            </w:pPr>
          </w:p>
        </w:tc>
        <w:tc>
          <w:tcPr>
            <w:tcW w:w="17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576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Other operating expenses (c)</w:t>
            </w:r>
          </w:p>
        </w:tc>
        <w:tc>
          <w:tcPr>
            <w:tcW w:w="1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1.0 %</w:t>
            </w:r>
          </w:p>
        </w:tc>
        <w:tc>
          <w:tcPr>
            <w:tcW w:w="120" w:type="dxa"/>
            <w:vAlign w:val="bottom"/>
          </w:tcPr>
          <w:p>
            <w:pPr>
              <w:spacing w:after="0"/>
              <w:rPr>
                <w:sz w:val="21"/>
                <w:szCs w:val="21"/>
                <w:color w:val="auto"/>
              </w:rPr>
            </w:pPr>
          </w:p>
        </w:tc>
        <w:tc>
          <w:tcPr>
            <w:tcW w:w="1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0.9 %</w:t>
            </w:r>
          </w:p>
        </w:tc>
        <w:tc>
          <w:tcPr>
            <w:tcW w:w="100" w:type="dxa"/>
            <w:vAlign w:val="bottom"/>
          </w:tcPr>
          <w:p>
            <w:pPr>
              <w:spacing w:after="0"/>
              <w:rPr>
                <w:sz w:val="21"/>
                <w:szCs w:val="21"/>
                <w:color w:val="auto"/>
              </w:rPr>
            </w:pP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7"/>
        </w:trPr>
        <w:tc>
          <w:tcPr>
            <w:tcW w:w="5760" w:type="dxa"/>
            <w:vAlign w:val="bottom"/>
            <w:tcBorders>
              <w:bottom w:val="single" w:sz="8" w:color="CCEEFF"/>
            </w:tcBorders>
          </w:tcPr>
          <w:p>
            <w:pPr>
              <w:spacing w:after="0"/>
              <w:rPr>
                <w:sz w:val="2"/>
                <w:szCs w:val="2"/>
                <w:color w:val="auto"/>
              </w:rPr>
            </w:pPr>
          </w:p>
        </w:tc>
        <w:tc>
          <w:tcPr>
            <w:tcW w:w="17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7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740" w:type="dxa"/>
            <w:vAlign w:val="bottom"/>
            <w:tcBorders>
              <w:bottom w:val="single" w:sz="8" w:color="auto"/>
            </w:tcBorders>
          </w:tcPr>
          <w:p>
            <w:pPr>
              <w:spacing w:after="0"/>
              <w:rPr>
                <w:sz w:val="2"/>
                <w:szCs w:val="2"/>
                <w:color w:val="auto"/>
              </w:rPr>
            </w:pPr>
          </w:p>
        </w:tc>
      </w:tr>
      <w:tr>
        <w:trPr>
          <w:trHeight w:val="257"/>
        </w:trPr>
        <w:tc>
          <w:tcPr>
            <w:tcW w:w="57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Non-GAAP operating margin</w:t>
            </w:r>
          </w:p>
        </w:tc>
        <w:tc>
          <w:tcPr>
            <w:tcW w:w="17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19.6 %</w:t>
            </w:r>
          </w:p>
        </w:tc>
        <w:tc>
          <w:tcPr>
            <w:tcW w:w="120" w:type="dxa"/>
            <w:vAlign w:val="bottom"/>
            <w:tcBorders>
              <w:bottom w:val="single" w:sz="8" w:color="CCEEFF"/>
            </w:tcBorders>
            <w:shd w:val="clear" w:color="auto" w:fill="CCEEFF"/>
          </w:tcPr>
          <w:p>
            <w:pPr>
              <w:spacing w:after="0"/>
              <w:rPr>
                <w:sz w:val="22"/>
                <w:szCs w:val="22"/>
                <w:color w:val="auto"/>
              </w:rPr>
            </w:pPr>
          </w:p>
        </w:tc>
        <w:tc>
          <w:tcPr>
            <w:tcW w:w="17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26.0 %</w:t>
            </w:r>
          </w:p>
        </w:tc>
        <w:tc>
          <w:tcPr>
            <w:tcW w:w="100" w:type="dxa"/>
            <w:vAlign w:val="bottom"/>
            <w:tcBorders>
              <w:bottom w:val="single" w:sz="8" w:color="CCEEFF"/>
            </w:tcBorders>
            <w:shd w:val="clear" w:color="auto" w:fill="CCEEFF"/>
          </w:tcPr>
          <w:p>
            <w:pPr>
              <w:spacing w:after="0"/>
              <w:rPr>
                <w:sz w:val="22"/>
                <w:szCs w:val="22"/>
                <w:color w:val="auto"/>
              </w:rPr>
            </w:pPr>
          </w:p>
        </w:tc>
        <w:tc>
          <w:tcPr>
            <w:tcW w:w="17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27.4%</w:t>
            </w:r>
          </w:p>
        </w:tc>
      </w:tr>
      <w:tr>
        <w:trPr>
          <w:trHeight w:val="20"/>
        </w:trPr>
        <w:tc>
          <w:tcPr>
            <w:tcW w:w="5760" w:type="dxa"/>
            <w:vAlign w:val="bottom"/>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4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280"/>
          </w:cols>
          <w:pgMar w:left="320" w:top="806" w:right="299" w:bottom="1440" w:gutter="0" w:footer="0" w:header="0"/>
        </w:sectPr>
      </w:pPr>
    </w:p>
    <w:bookmarkStart w:id="11" w:name="page12"/>
    <w:bookmarkEnd w:id="11"/>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600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2"/>
          </w:tcPr>
          <w:p>
            <w:pPr>
              <w:ind w:left="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3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spacing w:after="0"/>
              <w:rPr>
                <w:sz w:val="16"/>
                <w:szCs w:val="16"/>
                <w:color w:val="auto"/>
              </w:rPr>
            </w:pPr>
          </w:p>
        </w:tc>
      </w:tr>
      <w:tr>
        <w:trPr>
          <w:trHeight w:val="149"/>
        </w:trPr>
        <w:tc>
          <w:tcPr>
            <w:tcW w:w="60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20" w:type="dxa"/>
            <w:vAlign w:val="bottom"/>
            <w:gridSpan w:val="2"/>
          </w:tcPr>
          <w:p>
            <w:pPr>
              <w:ind w:left="240"/>
              <w:spacing w:after="0" w:line="149" w:lineRule="exact"/>
              <w:rPr>
                <w:sz w:val="20"/>
                <w:szCs w:val="20"/>
                <w:color w:val="auto"/>
              </w:rPr>
            </w:pPr>
            <w:r>
              <w:rPr>
                <w:rFonts w:ascii="Times New Roman" w:cs="Times New Roman" w:eastAsia="Times New Roman" w:hAnsi="Times New Roman"/>
                <w:sz w:val="14"/>
                <w:szCs w:val="14"/>
                <w:b w:val="1"/>
                <w:bCs w:val="1"/>
                <w:color w:val="auto"/>
              </w:rPr>
              <w:t>May 4,</w:t>
            </w:r>
          </w:p>
        </w:tc>
        <w:tc>
          <w:tcPr>
            <w:tcW w:w="160" w:type="dxa"/>
            <w:vAlign w:val="bottom"/>
          </w:tcPr>
          <w:p>
            <w:pPr>
              <w:spacing w:after="0"/>
              <w:rPr>
                <w:sz w:val="12"/>
                <w:szCs w:val="12"/>
                <w:color w:val="auto"/>
              </w:rPr>
            </w:pPr>
          </w:p>
        </w:tc>
        <w:tc>
          <w:tcPr>
            <w:tcW w:w="1640" w:type="dxa"/>
            <w:vAlign w:val="bottom"/>
            <w:gridSpan w:val="2"/>
          </w:tcPr>
          <w:p>
            <w:pPr>
              <w:ind w:left="300"/>
              <w:spacing w:after="0" w:line="149" w:lineRule="exact"/>
              <w:rPr>
                <w:sz w:val="20"/>
                <w:szCs w:val="20"/>
                <w:color w:val="auto"/>
              </w:rPr>
            </w:pPr>
            <w:r>
              <w:rPr>
                <w:rFonts w:ascii="Times New Roman" w:cs="Times New Roman" w:eastAsia="Times New Roman" w:hAnsi="Times New Roman"/>
                <w:sz w:val="14"/>
                <w:szCs w:val="14"/>
                <w:b w:val="1"/>
                <w:bCs w:val="1"/>
                <w:color w:val="auto"/>
              </w:rPr>
              <w:t>February 2,</w:t>
            </w:r>
          </w:p>
        </w:tc>
        <w:tc>
          <w:tcPr>
            <w:tcW w:w="360" w:type="dxa"/>
            <w:vAlign w:val="bottom"/>
          </w:tcPr>
          <w:p>
            <w:pPr>
              <w:spacing w:after="0"/>
              <w:rPr>
                <w:sz w:val="12"/>
                <w:szCs w:val="12"/>
                <w:color w:val="auto"/>
              </w:rPr>
            </w:pPr>
          </w:p>
        </w:tc>
        <w:tc>
          <w:tcPr>
            <w:tcW w:w="1340" w:type="dxa"/>
            <w:vAlign w:val="bottom"/>
          </w:tcPr>
          <w:p>
            <w:pPr>
              <w:jc w:val="right"/>
              <w:ind w:right="574"/>
              <w:spacing w:after="0" w:line="149" w:lineRule="exact"/>
              <w:rPr>
                <w:sz w:val="20"/>
                <w:szCs w:val="20"/>
                <w:color w:val="auto"/>
              </w:rPr>
            </w:pPr>
            <w:r>
              <w:rPr>
                <w:rFonts w:ascii="Times New Roman" w:cs="Times New Roman" w:eastAsia="Times New Roman" w:hAnsi="Times New Roman"/>
                <w:sz w:val="14"/>
                <w:szCs w:val="14"/>
                <w:b w:val="1"/>
                <w:bCs w:val="1"/>
                <w:color w:val="auto"/>
              </w:rPr>
              <w:t>May 5,</w:t>
            </w:r>
          </w:p>
        </w:tc>
      </w:tr>
      <w:tr>
        <w:trPr>
          <w:trHeight w:val="195"/>
        </w:trPr>
        <w:tc>
          <w:tcPr>
            <w:tcW w:w="6000" w:type="dxa"/>
            <w:vAlign w:val="bottom"/>
            <w:tcBorders>
              <w:bottom w:val="single" w:sz="8" w:color="CCEEFF"/>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614"/>
              <w:spacing w:after="0"/>
              <w:rPr>
                <w:sz w:val="20"/>
                <w:szCs w:val="20"/>
                <w:color w:val="auto"/>
              </w:rPr>
            </w:pPr>
            <w:r>
              <w:rPr>
                <w:rFonts w:ascii="Times New Roman" w:cs="Times New Roman" w:eastAsia="Times New Roman" w:hAnsi="Times New Roman"/>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540" w:type="dxa"/>
            <w:vAlign w:val="bottom"/>
            <w:tcBorders>
              <w:bottom w:val="single" w:sz="8" w:color="auto"/>
            </w:tcBorders>
          </w:tcPr>
          <w:p>
            <w:pPr>
              <w:jc w:val="right"/>
              <w:ind w:right="636"/>
              <w:spacing w:after="0"/>
              <w:rPr>
                <w:sz w:val="20"/>
                <w:szCs w:val="20"/>
                <w:color w:val="auto"/>
              </w:rPr>
            </w:pPr>
            <w:r>
              <w:rPr>
                <w:rFonts w:ascii="Times New Roman" w:cs="Times New Roman" w:eastAsia="Times New Roman" w:hAnsi="Times New Roman"/>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634"/>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49"/>
        </w:trPr>
        <w:tc>
          <w:tcPr>
            <w:tcW w:w="600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GAAP interest and other income (loss), net</w:t>
            </w:r>
          </w:p>
        </w:tc>
        <w:tc>
          <w:tcPr>
            <w:tcW w:w="36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(20,051)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5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(16,340)</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7,296</w:t>
            </w:r>
          </w:p>
        </w:tc>
      </w:tr>
      <w:tr>
        <w:trPr>
          <w:trHeight w:val="243"/>
        </w:trPr>
        <w:tc>
          <w:tcPr>
            <w:tcW w:w="60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Special items:</w:t>
            </w:r>
          </w:p>
        </w:tc>
        <w:tc>
          <w:tcPr>
            <w:tcW w:w="36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340" w:type="dxa"/>
            <w:vAlign w:val="bottom"/>
          </w:tcPr>
          <w:p>
            <w:pPr>
              <w:spacing w:after="0"/>
              <w:rPr>
                <w:sz w:val="21"/>
                <w:szCs w:val="21"/>
                <w:color w:val="auto"/>
              </w:rPr>
            </w:pPr>
          </w:p>
        </w:tc>
      </w:tr>
      <w:tr>
        <w:trPr>
          <w:trHeight w:val="27"/>
        </w:trPr>
        <w:tc>
          <w:tcPr>
            <w:tcW w:w="60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50"/>
        </w:trPr>
        <w:tc>
          <w:tcPr>
            <w:tcW w:w="60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Restructuring related items (d)</w:t>
            </w:r>
          </w:p>
        </w:tc>
        <w:tc>
          <w:tcPr>
            <w:tcW w:w="3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157</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(1,512)</w:t>
            </w:r>
          </w:p>
        </w:tc>
      </w:tr>
      <w:tr>
        <w:trPr>
          <w:trHeight w:val="243"/>
        </w:trPr>
        <w:tc>
          <w:tcPr>
            <w:tcW w:w="60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Write-off of debt issuance costs (e)</w:t>
            </w:r>
          </w:p>
        </w:tc>
        <w:tc>
          <w:tcPr>
            <w:tcW w:w="360" w:type="dxa"/>
            <w:vAlign w:val="bottom"/>
          </w:tcPr>
          <w:p>
            <w:pPr>
              <w:spacing w:after="0"/>
              <w:rPr>
                <w:sz w:val="21"/>
                <w:szCs w:val="21"/>
                <w:color w:val="auto"/>
              </w:rPr>
            </w:pPr>
          </w:p>
        </w:tc>
        <w:tc>
          <w:tcPr>
            <w:tcW w:w="132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458</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540" w:type="dxa"/>
            <w:vAlign w:val="bottom"/>
          </w:tcPr>
          <w:p>
            <w:pPr>
              <w:jc w:val="right"/>
              <w:ind w:right="36"/>
              <w:spacing w:after="0"/>
              <w:rPr>
                <w:sz w:val="20"/>
                <w:szCs w:val="20"/>
                <w:color w:val="auto"/>
              </w:rPr>
            </w:pPr>
            <w:r>
              <w:rPr>
                <w:rFonts w:ascii="Times New Roman" w:cs="Times New Roman" w:eastAsia="Times New Roman" w:hAnsi="Times New Roman"/>
                <w:sz w:val="18"/>
                <w:szCs w:val="18"/>
                <w:color w:val="auto"/>
              </w:rPr>
              <w:t>782</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34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60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70"/>
        </w:trPr>
        <w:tc>
          <w:tcPr>
            <w:tcW w:w="60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Gain on sale of intellectual property</w:t>
            </w:r>
          </w:p>
        </w:tc>
        <w:tc>
          <w:tcPr>
            <w:tcW w:w="360" w:type="dxa"/>
            <w:vAlign w:val="bottom"/>
            <w:tcBorders>
              <w:bottom w:val="single" w:sz="8" w:color="CCEEFF"/>
            </w:tcBorders>
            <w:shd w:val="clear" w:color="auto" w:fill="CCEEFF"/>
          </w:tcPr>
          <w:p>
            <w:pPr>
              <w:spacing w:after="0"/>
              <w:rPr>
                <w:sz w:val="23"/>
                <w:szCs w:val="23"/>
                <w:color w:val="auto"/>
              </w:rPr>
            </w:pPr>
          </w:p>
        </w:tc>
        <w:tc>
          <w:tcPr>
            <w:tcW w:w="14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(3,500)</w:t>
            </w:r>
          </w:p>
        </w:tc>
        <w:tc>
          <w:tcPr>
            <w:tcW w:w="10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w:t>
            </w:r>
          </w:p>
        </w:tc>
      </w:tr>
      <w:tr>
        <w:trPr>
          <w:trHeight w:val="237"/>
        </w:trPr>
        <w:tc>
          <w:tcPr>
            <w:tcW w:w="60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Total special items</w:t>
            </w:r>
          </w:p>
        </w:tc>
        <w:tc>
          <w:tcPr>
            <w:tcW w:w="36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120</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5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(2,561)</w:t>
            </w:r>
          </w:p>
        </w:tc>
        <w:tc>
          <w:tcPr>
            <w:tcW w:w="10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(1,512)</w:t>
            </w:r>
          </w:p>
        </w:tc>
      </w:tr>
      <w:tr>
        <w:trPr>
          <w:trHeight w:val="27"/>
        </w:trPr>
        <w:tc>
          <w:tcPr>
            <w:tcW w:w="60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269"/>
        </w:trPr>
        <w:tc>
          <w:tcPr>
            <w:tcW w:w="600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Total non-GAAP interest and other income (loss), net</w:t>
            </w:r>
          </w:p>
        </w:tc>
        <w:tc>
          <w:tcPr>
            <w:tcW w:w="36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(19,931)</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5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(18,901)</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5,784</w:t>
            </w:r>
          </w:p>
        </w:tc>
      </w:tr>
      <w:tr>
        <w:trPr>
          <w:trHeight w:val="20"/>
        </w:trPr>
        <w:tc>
          <w:tcPr>
            <w:tcW w:w="60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r>
      <w:tr>
        <w:trPr>
          <w:trHeight w:val="305"/>
        </w:trPr>
        <w:tc>
          <w:tcPr>
            <w:tcW w:w="60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324"/>
        </w:trPr>
        <w:tc>
          <w:tcPr>
            <w:tcW w:w="600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13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5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134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600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GAAP net income (loss)</w:t>
            </w:r>
          </w:p>
        </w:tc>
        <w:tc>
          <w:tcPr>
            <w:tcW w:w="540" w:type="dxa"/>
            <w:vAlign w:val="bottom"/>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(48,450)</w:t>
            </w:r>
          </w:p>
        </w:tc>
        <w:tc>
          <w:tcPr>
            <w:tcW w:w="100" w:type="dxa"/>
            <w:vAlign w:val="bottom"/>
            <w:shd w:val="clear" w:color="auto" w:fill="CCEEFF"/>
          </w:tcPr>
          <w:p>
            <w:pPr>
              <w:spacing w:after="0"/>
              <w:rPr>
                <w:sz w:val="23"/>
                <w:szCs w:val="23"/>
                <w:color w:val="auto"/>
              </w:rPr>
            </w:pPr>
          </w:p>
        </w:tc>
        <w:tc>
          <w:tcPr>
            <w:tcW w:w="520" w:type="dxa"/>
            <w:vAlign w:val="bottom"/>
            <w:shd w:val="clear" w:color="auto" w:fill="CCEEFF"/>
          </w:tcPr>
          <w:p>
            <w:pPr>
              <w:jc w:val="right"/>
              <w:ind w:right="310"/>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(260,698)</w:t>
            </w:r>
          </w:p>
        </w:tc>
        <w:tc>
          <w:tcPr>
            <w:tcW w:w="100" w:type="dxa"/>
            <w:vAlign w:val="bottom"/>
            <w:shd w:val="clear" w:color="auto" w:fill="CCEEFF"/>
          </w:tcPr>
          <w:p>
            <w:pPr>
              <w:spacing w:after="0"/>
              <w:rPr>
                <w:sz w:val="23"/>
                <w:szCs w:val="23"/>
                <w:color w:val="auto"/>
              </w:rPr>
            </w:pPr>
          </w:p>
        </w:tc>
        <w:tc>
          <w:tcPr>
            <w:tcW w:w="560" w:type="dxa"/>
            <w:vAlign w:val="bottom"/>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128,612</w:t>
            </w:r>
          </w:p>
        </w:tc>
      </w:tr>
      <w:tr>
        <w:trPr>
          <w:trHeight w:val="243"/>
        </w:trPr>
        <w:tc>
          <w:tcPr>
            <w:tcW w:w="60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Special items:</w:t>
            </w:r>
          </w:p>
        </w:tc>
        <w:tc>
          <w:tcPr>
            <w:tcW w:w="5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6000" w:type="dxa"/>
            <w:vAlign w:val="bottom"/>
          </w:tcPr>
          <w:p>
            <w:pPr>
              <w:spacing w:after="0"/>
              <w:rPr>
                <w:sz w:val="2"/>
                <w:szCs w:val="2"/>
                <w:color w:val="auto"/>
              </w:rPr>
            </w:pPr>
          </w:p>
        </w:tc>
        <w:tc>
          <w:tcPr>
            <w:tcW w:w="5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60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5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450</w:t>
            </w:r>
          </w:p>
        </w:tc>
        <w:tc>
          <w:tcPr>
            <w:tcW w:w="10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97,598</w:t>
            </w:r>
          </w:p>
        </w:tc>
        <w:tc>
          <w:tcPr>
            <w:tcW w:w="1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60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Share-based compensation</w:t>
            </w:r>
          </w:p>
        </w:tc>
        <w:tc>
          <w:tcPr>
            <w:tcW w:w="540" w:type="dxa"/>
            <w:vAlign w:val="bottom"/>
          </w:tcPr>
          <w:p>
            <w:pPr>
              <w:spacing w:after="0"/>
              <w:rPr>
                <w:sz w:val="21"/>
                <w:szCs w:val="21"/>
                <w:color w:val="auto"/>
              </w:rPr>
            </w:pPr>
          </w:p>
        </w:tc>
        <w:tc>
          <w:tcPr>
            <w:tcW w:w="11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58,598</w:t>
            </w:r>
          </w:p>
        </w:tc>
        <w:tc>
          <w:tcPr>
            <w:tcW w:w="10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18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50,580</w:t>
            </w: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1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23,852</w:t>
            </w:r>
          </w:p>
        </w:tc>
      </w:tr>
      <w:tr>
        <w:trPr>
          <w:trHeight w:val="27"/>
        </w:trPr>
        <w:tc>
          <w:tcPr>
            <w:tcW w:w="6000" w:type="dxa"/>
            <w:vAlign w:val="bottom"/>
          </w:tcPr>
          <w:p>
            <w:pPr>
              <w:spacing w:after="0"/>
              <w:rPr>
                <w:sz w:val="2"/>
                <w:szCs w:val="2"/>
                <w:color w:val="auto"/>
              </w:rPr>
            </w:pPr>
          </w:p>
        </w:tc>
        <w:tc>
          <w:tcPr>
            <w:tcW w:w="5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60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Restructuring related charges in operating expenses (b)</w:t>
            </w:r>
          </w:p>
        </w:tc>
        <w:tc>
          <w:tcPr>
            <w:tcW w:w="5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5,682</w:t>
            </w:r>
          </w:p>
        </w:tc>
        <w:tc>
          <w:tcPr>
            <w:tcW w:w="10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12,740</w:t>
            </w:r>
          </w:p>
        </w:tc>
        <w:tc>
          <w:tcPr>
            <w:tcW w:w="1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1,567</w:t>
            </w:r>
          </w:p>
        </w:tc>
      </w:tr>
      <w:tr>
        <w:trPr>
          <w:trHeight w:val="243"/>
        </w:trPr>
        <w:tc>
          <w:tcPr>
            <w:tcW w:w="60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Restructuring related items in interest and other income, net (d)</w:t>
            </w:r>
          </w:p>
        </w:tc>
        <w:tc>
          <w:tcPr>
            <w:tcW w:w="54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(338)</w:t>
            </w:r>
          </w:p>
        </w:tc>
        <w:tc>
          <w:tcPr>
            <w:tcW w:w="10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18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157</w:t>
            </w: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(1,512)</w:t>
            </w:r>
          </w:p>
        </w:tc>
      </w:tr>
      <w:tr>
        <w:trPr>
          <w:trHeight w:val="27"/>
        </w:trPr>
        <w:tc>
          <w:tcPr>
            <w:tcW w:w="6000" w:type="dxa"/>
            <w:vAlign w:val="bottom"/>
          </w:tcPr>
          <w:p>
            <w:pPr>
              <w:spacing w:after="0"/>
              <w:rPr>
                <w:sz w:val="2"/>
                <w:szCs w:val="2"/>
                <w:color w:val="auto"/>
              </w:rPr>
            </w:pPr>
          </w:p>
        </w:tc>
        <w:tc>
          <w:tcPr>
            <w:tcW w:w="5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60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5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79,740</w:t>
            </w:r>
          </w:p>
        </w:tc>
        <w:tc>
          <w:tcPr>
            <w:tcW w:w="10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78,688</w:t>
            </w:r>
          </w:p>
        </w:tc>
        <w:tc>
          <w:tcPr>
            <w:tcW w:w="1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60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Gain on sale of intellectual property</w:t>
            </w:r>
          </w:p>
        </w:tc>
        <w:tc>
          <w:tcPr>
            <w:tcW w:w="540" w:type="dxa"/>
            <w:vAlign w:val="bottom"/>
          </w:tcPr>
          <w:p>
            <w:pPr>
              <w:spacing w:after="0"/>
              <w:rPr>
                <w:sz w:val="21"/>
                <w:szCs w:val="21"/>
                <w:color w:val="auto"/>
              </w:rPr>
            </w:pPr>
          </w:p>
        </w:tc>
        <w:tc>
          <w:tcPr>
            <w:tcW w:w="124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(3,500)</w:t>
            </w: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1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6000" w:type="dxa"/>
            <w:vAlign w:val="bottom"/>
          </w:tcPr>
          <w:p>
            <w:pPr>
              <w:spacing w:after="0"/>
              <w:rPr>
                <w:sz w:val="2"/>
                <w:szCs w:val="2"/>
                <w:color w:val="auto"/>
              </w:rPr>
            </w:pPr>
          </w:p>
        </w:tc>
        <w:tc>
          <w:tcPr>
            <w:tcW w:w="5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6000" w:type="dxa"/>
            <w:vAlign w:val="bottom"/>
            <w:tcBorders>
              <w:bottom w:val="single" w:sz="8" w:color="CCEEFF"/>
            </w:tcBorders>
            <w:shd w:val="clear" w:color="auto" w:fill="CCEEFF"/>
          </w:tcPr>
          <w:p>
            <w:pPr>
              <w:ind w:left="460"/>
              <w:spacing w:after="0"/>
              <w:rPr>
                <w:sz w:val="20"/>
                <w:szCs w:val="20"/>
                <w:color w:val="auto"/>
              </w:rPr>
            </w:pPr>
            <w:r>
              <w:rPr>
                <w:rFonts w:ascii="Times New Roman" w:cs="Times New Roman" w:eastAsia="Times New Roman" w:hAnsi="Times New Roman"/>
                <w:sz w:val="18"/>
                <w:szCs w:val="18"/>
                <w:color w:val="auto"/>
              </w:rPr>
              <w:t>Write-off of debt issuance costs (e)</w:t>
            </w:r>
          </w:p>
        </w:tc>
        <w:tc>
          <w:tcPr>
            <w:tcW w:w="5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458</w:t>
            </w:r>
          </w:p>
        </w:tc>
        <w:tc>
          <w:tcPr>
            <w:tcW w:w="10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782</w:t>
            </w:r>
          </w:p>
        </w:tc>
        <w:tc>
          <w:tcPr>
            <w:tcW w:w="1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600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Other operating expenses (c)</w:t>
            </w:r>
          </w:p>
        </w:tc>
        <w:tc>
          <w:tcPr>
            <w:tcW w:w="540" w:type="dxa"/>
            <w:vAlign w:val="bottom"/>
          </w:tcPr>
          <w:p>
            <w:pPr>
              <w:spacing w:after="0"/>
              <w:rPr>
                <w:sz w:val="21"/>
                <w:szCs w:val="21"/>
                <w:color w:val="auto"/>
              </w:rPr>
            </w:pPr>
          </w:p>
        </w:tc>
        <w:tc>
          <w:tcPr>
            <w:tcW w:w="11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6,569</w:t>
            </w:r>
          </w:p>
        </w:tc>
        <w:tc>
          <w:tcPr>
            <w:tcW w:w="10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18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7,392</w:t>
            </w: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1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15,252</w:t>
            </w:r>
          </w:p>
        </w:tc>
      </w:tr>
      <w:tr>
        <w:trPr>
          <w:trHeight w:val="27"/>
        </w:trPr>
        <w:tc>
          <w:tcPr>
            <w:tcW w:w="600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4"/>
        </w:trPr>
        <w:tc>
          <w:tcPr>
            <w:tcW w:w="600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Pre-tax total special items</w:t>
            </w:r>
          </w:p>
        </w:tc>
        <w:tc>
          <w:tcPr>
            <w:tcW w:w="54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151,159</w:t>
            </w:r>
          </w:p>
        </w:tc>
        <w:tc>
          <w:tcPr>
            <w:tcW w:w="100" w:type="dxa"/>
            <w:vAlign w:val="bottom"/>
            <w:tcBorders>
              <w:bottom w:val="single" w:sz="8" w:color="CCEEFF"/>
            </w:tcBorders>
            <w:shd w:val="clear" w:color="auto" w:fill="CCEEFF"/>
          </w:tcPr>
          <w:p>
            <w:pPr>
              <w:spacing w:after="0"/>
              <w:rPr>
                <w:sz w:val="22"/>
                <w:szCs w:val="22"/>
                <w:color w:val="auto"/>
              </w:rPr>
            </w:pPr>
          </w:p>
        </w:tc>
        <w:tc>
          <w:tcPr>
            <w:tcW w:w="5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244,437</w:t>
            </w:r>
          </w:p>
        </w:tc>
        <w:tc>
          <w:tcPr>
            <w:tcW w:w="100" w:type="dxa"/>
            <w:vAlign w:val="bottom"/>
            <w:tcBorders>
              <w:bottom w:val="single" w:sz="8" w:color="CCEEFF"/>
            </w:tcBorders>
            <w:shd w:val="clear" w:color="auto" w:fill="CCEEFF"/>
          </w:tcPr>
          <w:p>
            <w:pPr>
              <w:spacing w:after="0"/>
              <w:rPr>
                <w:sz w:val="22"/>
                <w:szCs w:val="22"/>
                <w:color w:val="auto"/>
              </w:rPr>
            </w:pPr>
          </w:p>
        </w:tc>
        <w:tc>
          <w:tcPr>
            <w:tcW w:w="56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39,159</w:t>
            </w:r>
          </w:p>
        </w:tc>
      </w:tr>
      <w:tr>
        <w:trPr>
          <w:trHeight w:val="237"/>
        </w:trPr>
        <w:tc>
          <w:tcPr>
            <w:tcW w:w="600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Other income tax effects and adjustments (f)</w:t>
            </w:r>
          </w:p>
        </w:tc>
        <w:tc>
          <w:tcPr>
            <w:tcW w:w="5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2,324</w:t>
            </w:r>
          </w:p>
        </w:tc>
        <w:tc>
          <w:tcPr>
            <w:tcW w:w="100" w:type="dxa"/>
            <w:vAlign w:val="bottom"/>
          </w:tcPr>
          <w:p>
            <w:pPr>
              <w:spacing w:after="0"/>
              <w:rPr>
                <w:sz w:val="20"/>
                <w:szCs w:val="20"/>
                <w:color w:val="auto"/>
              </w:rPr>
            </w:pPr>
          </w:p>
        </w:tc>
        <w:tc>
          <w:tcPr>
            <w:tcW w:w="5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184,348</w:t>
            </w:r>
          </w:p>
        </w:tc>
        <w:tc>
          <w:tcPr>
            <w:tcW w:w="100" w:type="dxa"/>
            <w:vAlign w:val="bottom"/>
          </w:tcPr>
          <w:p>
            <w:pPr>
              <w:spacing w:after="0"/>
              <w:rPr>
                <w:sz w:val="20"/>
                <w:szCs w:val="20"/>
                <w:color w:val="auto"/>
              </w:rPr>
            </w:pPr>
          </w:p>
        </w:tc>
        <w:tc>
          <w:tcPr>
            <w:tcW w:w="56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(3,098)</w:t>
            </w:r>
          </w:p>
        </w:tc>
      </w:tr>
      <w:tr>
        <w:trPr>
          <w:trHeight w:val="27"/>
        </w:trPr>
        <w:tc>
          <w:tcPr>
            <w:tcW w:w="600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9"/>
        </w:trPr>
        <w:tc>
          <w:tcPr>
            <w:tcW w:w="600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Non-GAAP net income</w:t>
            </w:r>
          </w:p>
        </w:tc>
        <w:tc>
          <w:tcPr>
            <w:tcW w:w="540" w:type="dxa"/>
            <w:vAlign w:val="bottom"/>
            <w:tcBorders>
              <w:bottom w:val="single" w:sz="8" w:color="CCEEFF"/>
            </w:tcBorders>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105,033</w:t>
            </w:r>
          </w:p>
        </w:tc>
        <w:tc>
          <w:tcPr>
            <w:tcW w:w="100" w:type="dxa"/>
            <w:vAlign w:val="bottom"/>
            <w:tcBorders>
              <w:bottom w:val="single" w:sz="8" w:color="CCEEFF"/>
            </w:tcBorders>
            <w:shd w:val="clear" w:color="auto" w:fill="CCEEFF"/>
          </w:tcPr>
          <w:p>
            <w:pPr>
              <w:spacing w:after="0"/>
              <w:rPr>
                <w:sz w:val="22"/>
                <w:szCs w:val="22"/>
                <w:color w:val="auto"/>
              </w:rPr>
            </w:pPr>
          </w:p>
        </w:tc>
        <w:tc>
          <w:tcPr>
            <w:tcW w:w="520" w:type="dxa"/>
            <w:vAlign w:val="bottom"/>
            <w:tcBorders>
              <w:bottom w:val="single" w:sz="8" w:color="CCEEFF"/>
            </w:tcBorders>
            <w:shd w:val="clear" w:color="auto" w:fill="CCEEFF"/>
          </w:tcPr>
          <w:p>
            <w:pPr>
              <w:jc w:val="right"/>
              <w:ind w:right="310"/>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168,087</w:t>
            </w:r>
          </w:p>
        </w:tc>
        <w:tc>
          <w:tcPr>
            <w:tcW w:w="100" w:type="dxa"/>
            <w:vAlign w:val="bottom"/>
            <w:tcBorders>
              <w:bottom w:val="single" w:sz="8" w:color="CCEEFF"/>
            </w:tcBorders>
            <w:shd w:val="clear" w:color="auto" w:fill="CCEEFF"/>
          </w:tcPr>
          <w:p>
            <w:pPr>
              <w:spacing w:after="0"/>
              <w:rPr>
                <w:sz w:val="22"/>
                <w:szCs w:val="22"/>
                <w:color w:val="auto"/>
              </w:rPr>
            </w:pPr>
          </w:p>
        </w:tc>
        <w:tc>
          <w:tcPr>
            <w:tcW w:w="560" w:type="dxa"/>
            <w:vAlign w:val="bottom"/>
            <w:tcBorders>
              <w:bottom w:val="single" w:sz="8" w:color="CCEEFF"/>
            </w:tcBorders>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164,673</w:t>
            </w:r>
          </w:p>
        </w:tc>
      </w:tr>
      <w:tr>
        <w:trPr>
          <w:trHeight w:val="20"/>
        </w:trPr>
        <w:tc>
          <w:tcPr>
            <w:tcW w:w="60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60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324"/>
        </w:trPr>
        <w:tc>
          <w:tcPr>
            <w:tcW w:w="6000" w:type="dxa"/>
            <w:vAlign w:val="bottom"/>
            <w:shd w:val="clear" w:color="auto" w:fill="CCEEFF"/>
          </w:tcPr>
          <w:p>
            <w:pPr>
              <w:spacing w:after="0"/>
              <w:rPr>
                <w:sz w:val="24"/>
                <w:szCs w:val="24"/>
                <w:color w:val="auto"/>
              </w:rPr>
            </w:pPr>
          </w:p>
        </w:tc>
        <w:tc>
          <w:tcPr>
            <w:tcW w:w="54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5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56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64"/>
        </w:trPr>
        <w:tc>
          <w:tcPr>
            <w:tcW w:w="600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Weighted average shares — basic</w:t>
            </w:r>
          </w:p>
        </w:tc>
        <w:tc>
          <w:tcPr>
            <w:tcW w:w="540" w:type="dxa"/>
            <w:vAlign w:val="bottom"/>
            <w:tcBorders>
              <w:bottom w:val="single" w:sz="8" w:color="auto"/>
            </w:tcBorders>
            <w:shd w:val="clear" w:color="auto" w:fill="CCEEFF"/>
          </w:tcPr>
          <w:p>
            <w:pPr>
              <w:spacing w:after="0"/>
              <w:rPr>
                <w:sz w:val="22"/>
                <w:szCs w:val="22"/>
                <w:color w:val="auto"/>
              </w:rPr>
            </w:pPr>
          </w:p>
        </w:tc>
        <w:tc>
          <w:tcPr>
            <w:tcW w:w="114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658,963</w:t>
            </w:r>
          </w:p>
        </w:tc>
        <w:tc>
          <w:tcPr>
            <w:tcW w:w="100" w:type="dxa"/>
            <w:vAlign w:val="bottom"/>
            <w:tcBorders>
              <w:bottom w:val="single" w:sz="8" w:color="CCEEFF"/>
            </w:tcBorders>
            <w:shd w:val="clear" w:color="auto" w:fill="CCEEFF"/>
          </w:tcPr>
          <w:p>
            <w:pPr>
              <w:spacing w:after="0"/>
              <w:rPr>
                <w:sz w:val="22"/>
                <w:szCs w:val="22"/>
                <w:color w:val="auto"/>
              </w:rPr>
            </w:pPr>
          </w:p>
        </w:tc>
        <w:tc>
          <w:tcPr>
            <w:tcW w:w="560" w:type="dxa"/>
            <w:vAlign w:val="bottom"/>
            <w:tcBorders>
              <w:bottom w:val="single" w:sz="8" w:color="auto"/>
            </w:tcBorders>
            <w:shd w:val="clear" w:color="auto" w:fill="CCEEFF"/>
          </w:tcPr>
          <w:p>
            <w:pPr>
              <w:spacing w:after="0"/>
              <w:rPr>
                <w:sz w:val="22"/>
                <w:szCs w:val="22"/>
                <w:color w:val="auto"/>
              </w:rPr>
            </w:pPr>
          </w:p>
        </w:tc>
        <w:tc>
          <w:tcPr>
            <w:tcW w:w="114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657,835</w:t>
            </w:r>
          </w:p>
        </w:tc>
        <w:tc>
          <w:tcPr>
            <w:tcW w:w="100" w:type="dxa"/>
            <w:vAlign w:val="bottom"/>
            <w:tcBorders>
              <w:bottom w:val="single" w:sz="8" w:color="auto"/>
            </w:tcBorders>
            <w:shd w:val="clear" w:color="auto" w:fill="CCEEFF"/>
          </w:tcPr>
          <w:p>
            <w:pPr>
              <w:spacing w:after="0"/>
              <w:rPr>
                <w:sz w:val="22"/>
                <w:szCs w:val="22"/>
                <w:color w:val="auto"/>
              </w:rPr>
            </w:pPr>
          </w:p>
        </w:tc>
        <w:tc>
          <w:tcPr>
            <w:tcW w:w="560" w:type="dxa"/>
            <w:vAlign w:val="bottom"/>
            <w:tcBorders>
              <w:bottom w:val="single" w:sz="8" w:color="auto"/>
            </w:tcBorders>
            <w:shd w:val="clear" w:color="auto" w:fill="CCEEFF"/>
          </w:tcPr>
          <w:p>
            <w:pPr>
              <w:spacing w:after="0"/>
              <w:rPr>
                <w:sz w:val="22"/>
                <w:szCs w:val="22"/>
                <w:color w:val="auto"/>
              </w:rPr>
            </w:pPr>
          </w:p>
        </w:tc>
        <w:tc>
          <w:tcPr>
            <w:tcW w:w="114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497,335</w:t>
            </w:r>
          </w:p>
        </w:tc>
        <w:tc>
          <w:tcPr>
            <w:tcW w:w="0" w:type="dxa"/>
            <w:vAlign w:val="bottom"/>
          </w:tcPr>
          <w:p>
            <w:pPr>
              <w:spacing w:after="0"/>
              <w:rPr>
                <w:sz w:val="1"/>
                <w:szCs w:val="1"/>
                <w:color w:val="auto"/>
              </w:rPr>
            </w:pPr>
          </w:p>
        </w:tc>
      </w:tr>
      <w:tr>
        <w:trPr>
          <w:trHeight w:val="20"/>
        </w:trPr>
        <w:tc>
          <w:tcPr>
            <w:tcW w:w="6000" w:type="dxa"/>
            <w:vAlign w:val="bottom"/>
            <w:vMerge w:val="restart"/>
          </w:tcPr>
          <w:p>
            <w:pPr>
              <w:ind w:left="20"/>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5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6000" w:type="dxa"/>
            <w:vAlign w:val="bottom"/>
            <w:vMerge w:val="continue"/>
          </w:tcPr>
          <w:p>
            <w:pPr>
              <w:spacing w:after="0"/>
              <w:rPr>
                <w:sz w:val="20"/>
                <w:szCs w:val="20"/>
                <w:color w:val="auto"/>
              </w:rPr>
            </w:pPr>
          </w:p>
        </w:tc>
        <w:tc>
          <w:tcPr>
            <w:tcW w:w="540" w:type="dxa"/>
            <w:vAlign w:val="bottom"/>
          </w:tcPr>
          <w:p>
            <w:pPr>
              <w:spacing w:after="0"/>
              <w:rPr>
                <w:sz w:val="20"/>
                <w:szCs w:val="20"/>
                <w:color w:val="auto"/>
              </w:rPr>
            </w:pPr>
          </w:p>
        </w:tc>
        <w:tc>
          <w:tcPr>
            <w:tcW w:w="11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658,963</w:t>
            </w:r>
          </w:p>
        </w:tc>
        <w:tc>
          <w:tcPr>
            <w:tcW w:w="1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1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657,835</w:t>
            </w:r>
          </w:p>
        </w:tc>
        <w:tc>
          <w:tcPr>
            <w:tcW w:w="1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1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508,716</w:t>
            </w:r>
          </w:p>
        </w:tc>
        <w:tc>
          <w:tcPr>
            <w:tcW w:w="0" w:type="dxa"/>
            <w:vAlign w:val="bottom"/>
          </w:tcPr>
          <w:p>
            <w:pPr>
              <w:spacing w:after="0"/>
              <w:rPr>
                <w:sz w:val="1"/>
                <w:szCs w:val="1"/>
                <w:color w:val="auto"/>
              </w:rPr>
            </w:pPr>
          </w:p>
        </w:tc>
      </w:tr>
      <w:tr>
        <w:trPr>
          <w:trHeight w:val="67"/>
        </w:trPr>
        <w:tc>
          <w:tcPr>
            <w:tcW w:w="6000" w:type="dxa"/>
            <w:vAlign w:val="bottom"/>
            <w:tcBorders>
              <w:bottom w:val="single" w:sz="8" w:color="CCEEFF"/>
            </w:tcBorders>
          </w:tcPr>
          <w:p>
            <w:pPr>
              <w:spacing w:after="0"/>
              <w:rPr>
                <w:sz w:val="5"/>
                <w:szCs w:val="5"/>
                <w:color w:val="auto"/>
              </w:rPr>
            </w:pPr>
          </w:p>
        </w:tc>
        <w:tc>
          <w:tcPr>
            <w:tcW w:w="54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56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56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6000" w:type="dxa"/>
            <w:vAlign w:val="bottom"/>
            <w:shd w:val="clear" w:color="auto" w:fill="CCEEFF"/>
          </w:tcPr>
          <w:p>
            <w:pPr>
              <w:spacing w:after="0"/>
              <w:rPr>
                <w:sz w:val="21"/>
                <w:szCs w:val="21"/>
                <w:color w:val="auto"/>
              </w:rPr>
            </w:pPr>
          </w:p>
        </w:tc>
        <w:tc>
          <w:tcPr>
            <w:tcW w:w="540" w:type="dxa"/>
            <w:vAlign w:val="bottom"/>
            <w:shd w:val="clear" w:color="auto" w:fill="CCEEFF"/>
          </w:tcPr>
          <w:p>
            <w:pPr>
              <w:spacing w:after="0"/>
              <w:rPr>
                <w:sz w:val="21"/>
                <w:szCs w:val="21"/>
                <w:color w:val="auto"/>
              </w:rPr>
            </w:pPr>
          </w:p>
        </w:tc>
        <w:tc>
          <w:tcPr>
            <w:tcW w:w="114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560" w:type="dxa"/>
            <w:vAlign w:val="bottom"/>
            <w:shd w:val="clear" w:color="auto" w:fill="CCEEFF"/>
          </w:tcPr>
          <w:p>
            <w:pPr>
              <w:spacing w:after="0"/>
              <w:rPr>
                <w:sz w:val="21"/>
                <w:szCs w:val="21"/>
                <w:color w:val="auto"/>
              </w:rPr>
            </w:pPr>
          </w:p>
        </w:tc>
        <w:tc>
          <w:tcPr>
            <w:tcW w:w="114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560" w:type="dxa"/>
            <w:vAlign w:val="bottom"/>
            <w:shd w:val="clear" w:color="auto" w:fill="CCEEFF"/>
          </w:tcPr>
          <w:p>
            <w:pPr>
              <w:spacing w:after="0"/>
              <w:rPr>
                <w:sz w:val="21"/>
                <w:szCs w:val="21"/>
                <w:color w:val="auto"/>
              </w:rPr>
            </w:pPr>
          </w:p>
        </w:tc>
        <w:tc>
          <w:tcPr>
            <w:tcW w:w="114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0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GAAP diluted net income (loss) per share</w:t>
            </w:r>
          </w:p>
        </w:tc>
        <w:tc>
          <w:tcPr>
            <w:tcW w:w="540" w:type="dxa"/>
            <w:vAlign w:val="bottom"/>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(0.07)</w:t>
            </w:r>
          </w:p>
        </w:tc>
        <w:tc>
          <w:tcPr>
            <w:tcW w:w="100" w:type="dxa"/>
            <w:vAlign w:val="bottom"/>
          </w:tcPr>
          <w:p>
            <w:pPr>
              <w:spacing w:after="0"/>
              <w:rPr>
                <w:sz w:val="21"/>
                <w:szCs w:val="21"/>
                <w:color w:val="auto"/>
              </w:rPr>
            </w:pPr>
          </w:p>
        </w:tc>
        <w:tc>
          <w:tcPr>
            <w:tcW w:w="560" w:type="dxa"/>
            <w:vAlign w:val="bottom"/>
          </w:tcPr>
          <w:p>
            <w:pPr>
              <w:jc w:val="right"/>
              <w:ind w:right="35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(0.40)</w:t>
            </w:r>
          </w:p>
        </w:tc>
        <w:tc>
          <w:tcPr>
            <w:tcW w:w="100" w:type="dxa"/>
            <w:vAlign w:val="bottom"/>
          </w:tcPr>
          <w:p>
            <w:pPr>
              <w:spacing w:after="0"/>
              <w:rPr>
                <w:sz w:val="21"/>
                <w:szCs w:val="21"/>
                <w:color w:val="auto"/>
              </w:rPr>
            </w:pPr>
          </w:p>
        </w:tc>
        <w:tc>
          <w:tcPr>
            <w:tcW w:w="560" w:type="dxa"/>
            <w:vAlign w:val="bottom"/>
          </w:tcPr>
          <w:p>
            <w:pPr>
              <w:jc w:val="right"/>
              <w:ind w:right="35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0.25</w:t>
            </w:r>
          </w:p>
        </w:tc>
        <w:tc>
          <w:tcPr>
            <w:tcW w:w="0" w:type="dxa"/>
            <w:vAlign w:val="bottom"/>
          </w:tcPr>
          <w:p>
            <w:pPr>
              <w:spacing w:after="0"/>
              <w:rPr>
                <w:sz w:val="1"/>
                <w:szCs w:val="1"/>
                <w:color w:val="auto"/>
              </w:rPr>
            </w:pPr>
          </w:p>
        </w:tc>
      </w:tr>
      <w:tr>
        <w:trPr>
          <w:trHeight w:val="67"/>
        </w:trPr>
        <w:tc>
          <w:tcPr>
            <w:tcW w:w="6000" w:type="dxa"/>
            <w:vAlign w:val="bottom"/>
            <w:tcBorders>
              <w:bottom w:val="single" w:sz="8" w:color="CCEEFF"/>
            </w:tcBorders>
          </w:tcPr>
          <w:p>
            <w:pPr>
              <w:spacing w:after="0"/>
              <w:rPr>
                <w:sz w:val="5"/>
                <w:szCs w:val="5"/>
                <w:color w:val="auto"/>
              </w:rPr>
            </w:pPr>
          </w:p>
        </w:tc>
        <w:tc>
          <w:tcPr>
            <w:tcW w:w="54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56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00" w:type="dxa"/>
            <w:vAlign w:val="bottom"/>
            <w:tcBorders>
              <w:bottom w:val="single" w:sz="8" w:color="auto"/>
            </w:tcBorders>
          </w:tcPr>
          <w:p>
            <w:pPr>
              <w:spacing w:after="0"/>
              <w:rPr>
                <w:sz w:val="5"/>
                <w:szCs w:val="5"/>
                <w:color w:val="auto"/>
              </w:rPr>
            </w:pPr>
          </w:p>
        </w:tc>
        <w:tc>
          <w:tcPr>
            <w:tcW w:w="56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000" w:type="dxa"/>
            <w:vAlign w:val="bottom"/>
            <w:tcBorders>
              <w:bottom w:val="single" w:sz="8" w:color="CCEEFF"/>
            </w:tcBorders>
            <w:shd w:val="clear" w:color="auto" w:fill="CCEEFF"/>
          </w:tcPr>
          <w:p>
            <w:pPr>
              <w:ind w:left="20"/>
              <w:spacing w:after="0" w:line="196" w:lineRule="exact"/>
              <w:rPr>
                <w:sz w:val="20"/>
                <w:szCs w:val="20"/>
                <w:color w:val="auto"/>
              </w:rPr>
            </w:pPr>
            <w:r>
              <w:rPr>
                <w:rFonts w:ascii="Times New Roman" w:cs="Times New Roman" w:eastAsia="Times New Roman" w:hAnsi="Times New Roman"/>
                <w:sz w:val="18"/>
                <w:szCs w:val="18"/>
                <w:color w:val="auto"/>
              </w:rPr>
              <w:t>Non-GAAP diluted net income per share (g)</w:t>
            </w:r>
          </w:p>
        </w:tc>
        <w:tc>
          <w:tcPr>
            <w:tcW w:w="540" w:type="dxa"/>
            <w:vAlign w:val="bottom"/>
            <w:tcBorders>
              <w:bottom w:val="single" w:sz="8" w:color="CCEEFF"/>
            </w:tcBorders>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0.16</w:t>
            </w:r>
          </w:p>
        </w:tc>
        <w:tc>
          <w:tcPr>
            <w:tcW w:w="1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0.25</w:t>
            </w:r>
          </w:p>
        </w:tc>
        <w:tc>
          <w:tcPr>
            <w:tcW w:w="1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0.32</w:t>
            </w:r>
          </w:p>
        </w:tc>
        <w:tc>
          <w:tcPr>
            <w:tcW w:w="0" w:type="dxa"/>
            <w:vAlign w:val="bottom"/>
          </w:tcPr>
          <w:p>
            <w:pPr>
              <w:spacing w:after="0"/>
              <w:rPr>
                <w:sz w:val="1"/>
                <w:szCs w:val="1"/>
                <w:color w:val="auto"/>
              </w:rPr>
            </w:pPr>
          </w:p>
        </w:tc>
      </w:tr>
      <w:tr>
        <w:trPr>
          <w:trHeight w:val="20"/>
        </w:trPr>
        <w:tc>
          <w:tcPr>
            <w:tcW w:w="60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80"/>
          </w:cols>
          <w:pgMar w:left="320" w:top="549" w:right="299" w:bottom="1440" w:gutter="0" w:footer="0" w:header="0"/>
        </w:sectPr>
      </w:pPr>
    </w:p>
    <w:bookmarkStart w:id="12" w:name="page13"/>
    <w:bookmarkEnd w:id="12"/>
    <w:p>
      <w:pPr>
        <w:ind w:left="465" w:right="140" w:hanging="465"/>
        <w:spacing w:after="0" w:line="313" w:lineRule="auto"/>
        <w:tabs>
          <w:tab w:leader="none" w:pos="465" w:val="left"/>
        </w:tabs>
        <w:numPr>
          <w:ilvl w:val="0"/>
          <w:numId w:val="5"/>
        </w:numPr>
        <w:rPr>
          <w:rFonts w:ascii="Times New Roman" w:cs="Times New Roman" w:eastAsia="Times New Roman" w:hAnsi="Times New Roman"/>
          <w:sz w:val="17"/>
          <w:szCs w:val="17"/>
          <w:i w:val="1"/>
          <w:iCs w:val="1"/>
          <w:color w:val="auto"/>
        </w:rPr>
      </w:pPr>
      <w:r>
        <w:rPr>
          <w:rFonts w:ascii="Times New Roman" w:cs="Times New Roman" w:eastAsia="Times New Roman" w:hAnsi="Times New Roman"/>
          <w:sz w:val="17"/>
          <w:szCs w:val="17"/>
          <w:color w:val="auto"/>
        </w:rPr>
        <w:t>Other costs of goods sold for the quarter ended May 4, 2019 includes charges for legal claim settlement. Other costs of goods sold for the quarter ended February 2, 2019 includes amortization of the Cavium inventory fair value step up and charges for past intellectual property licensing matters.</w:t>
      </w:r>
    </w:p>
    <w:p>
      <w:pPr>
        <w:spacing w:after="0" w:line="111" w:lineRule="exact"/>
        <w:rPr>
          <w:rFonts w:ascii="Times New Roman" w:cs="Times New Roman" w:eastAsia="Times New Roman" w:hAnsi="Times New Roman"/>
          <w:sz w:val="17"/>
          <w:szCs w:val="17"/>
          <w:i w:val="1"/>
          <w:iCs w:val="1"/>
          <w:color w:val="auto"/>
        </w:rPr>
      </w:pPr>
    </w:p>
    <w:p>
      <w:pPr>
        <w:ind w:left="465" w:hanging="465"/>
        <w:spacing w:after="0" w:line="282" w:lineRule="auto"/>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Restructuring related charges include employee severance, facilities related costs, and impairment of equipment and other assets. Restructuring related charges in the three months ended February 2, 2019 include gain on sale of a building that was a direct result of restructuring.</w:t>
      </w:r>
    </w:p>
    <w:p>
      <w:pPr>
        <w:spacing w:after="0" w:line="134" w:lineRule="exact"/>
        <w:rPr>
          <w:rFonts w:ascii="Times New Roman" w:cs="Times New Roman" w:eastAsia="Times New Roman" w:hAnsi="Times New Roman"/>
          <w:sz w:val="18"/>
          <w:szCs w:val="18"/>
          <w:i w:val="1"/>
          <w:iCs w:val="1"/>
          <w:color w:val="auto"/>
        </w:rPr>
      </w:pPr>
    </w:p>
    <w:p>
      <w:pPr>
        <w:ind w:left="465" w:hanging="465"/>
        <w:spacing w:after="0"/>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operating expenses include Cavium and Aquantia merger costs.</w:t>
      </w:r>
    </w:p>
    <w:p>
      <w:pPr>
        <w:spacing w:after="0" w:line="198" w:lineRule="exact"/>
        <w:rPr>
          <w:rFonts w:ascii="Times New Roman" w:cs="Times New Roman" w:eastAsia="Times New Roman" w:hAnsi="Times New Roman"/>
          <w:sz w:val="18"/>
          <w:szCs w:val="18"/>
          <w:i w:val="1"/>
          <w:iCs w:val="1"/>
          <w:color w:val="auto"/>
        </w:rPr>
      </w:pPr>
    </w:p>
    <w:p>
      <w:pPr>
        <w:ind w:left="465" w:right="480" w:hanging="465"/>
        <w:spacing w:after="0" w:line="282" w:lineRule="auto"/>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Interest and other income, net, includes restructuring related items such as foreign currency remeasurement associated with restructuring related accruals.</w:t>
      </w:r>
    </w:p>
    <w:p>
      <w:pPr>
        <w:spacing w:after="0" w:line="134" w:lineRule="exact"/>
        <w:rPr>
          <w:rFonts w:ascii="Times New Roman" w:cs="Times New Roman" w:eastAsia="Times New Roman" w:hAnsi="Times New Roman"/>
          <w:sz w:val="18"/>
          <w:szCs w:val="18"/>
          <w:i w:val="1"/>
          <w:iCs w:val="1"/>
          <w:color w:val="auto"/>
        </w:rPr>
      </w:pPr>
    </w:p>
    <w:p>
      <w:pPr>
        <w:ind w:left="465" w:hanging="465"/>
        <w:spacing w:after="0"/>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Write-off of debt issuance costs is associated with the partial term loan repayment during the three months ended May 4, 2019 and February 2, 2019.</w:t>
      </w:r>
    </w:p>
    <w:p>
      <w:pPr>
        <w:spacing w:after="0" w:line="198" w:lineRule="exact"/>
        <w:rPr>
          <w:rFonts w:ascii="Times New Roman" w:cs="Times New Roman" w:eastAsia="Times New Roman" w:hAnsi="Times New Roman"/>
          <w:sz w:val="18"/>
          <w:szCs w:val="18"/>
          <w:i w:val="1"/>
          <w:iCs w:val="1"/>
          <w:color w:val="auto"/>
        </w:rPr>
      </w:pPr>
    </w:p>
    <w:p>
      <w:pPr>
        <w:ind w:left="465" w:right="280" w:hanging="465"/>
        <w:spacing w:after="0" w:line="282" w:lineRule="auto"/>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income tax effects and adjustments relate to tax provision based on a non-GAAP income tax rate of 4.5% for the three months ended May 4, 2019 and based on a non-GAAP income tax rate of 4% for the three months ended February 2, 2019 and three months ended May 5, 2018.</w:t>
      </w:r>
    </w:p>
    <w:p>
      <w:pPr>
        <w:spacing w:after="0" w:line="134" w:lineRule="exact"/>
        <w:rPr>
          <w:rFonts w:ascii="Times New Roman" w:cs="Times New Roman" w:eastAsia="Times New Roman" w:hAnsi="Times New Roman"/>
          <w:sz w:val="18"/>
          <w:szCs w:val="18"/>
          <w:i w:val="1"/>
          <w:iCs w:val="1"/>
          <w:color w:val="auto"/>
        </w:rPr>
      </w:pPr>
    </w:p>
    <w:p>
      <w:pPr>
        <w:ind w:left="465" w:right="280" w:hanging="465"/>
        <w:spacing w:after="0" w:line="266" w:lineRule="auto"/>
        <w:tabs>
          <w:tab w:leader="none" w:pos="465"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Non-GAAP diluted net income per share for the three months ended May 4, 2019 and February 2, 2019 was calculated by dividing non-GAAP net income by weighted average shares outstanding (diluted) of 671,048 shares and 663,580 shares, respectively, due to the non-GAAP net income reported in the respective period.</w:t>
      </w:r>
    </w:p>
    <w:p>
      <w:pPr>
        <w:sectPr>
          <w:pgSz w:w="11900" w:h="16838" w:orient="portrait"/>
          <w:cols w:equalWidth="0" w:num="1">
            <w:col w:w="11305"/>
          </w:cols>
          <w:pgMar w:left="275" w:top="526" w:right="319" w:bottom="1440" w:gutter="0" w:footer="0" w:header="0"/>
        </w:sectPr>
      </w:pPr>
    </w:p>
    <w:bookmarkStart w:id="13" w:name="page14"/>
    <w:bookmarkEnd w:id="13"/>
    <w:tbl>
      <w:tblPr>
        <w:tblLayout w:type="fixed"/>
        <w:tblInd w:w="0" w:type="dxa"/>
        <w:tblCellMar>
          <w:top w:w="0" w:type="dxa"/>
          <w:left w:w="0" w:type="dxa"/>
          <w:bottom w:w="0" w:type="dxa"/>
          <w:right w:w="0" w:type="dxa"/>
        </w:tblCellMar>
      </w:tblPr>
      <w:tr>
        <w:trPr>
          <w:trHeight w:val="238"/>
        </w:trPr>
        <w:tc>
          <w:tcPr>
            <w:tcW w:w="3500" w:type="dxa"/>
            <w:vAlign w:val="bottom"/>
          </w:tcPr>
          <w:p>
            <w:pPr>
              <w:spacing w:after="0"/>
              <w:rPr>
                <w:sz w:val="20"/>
                <w:szCs w:val="20"/>
                <w:color w:val="auto"/>
              </w:rPr>
            </w:pPr>
          </w:p>
        </w:tc>
        <w:tc>
          <w:tcPr>
            <w:tcW w:w="7920" w:type="dxa"/>
            <w:vAlign w:val="bottom"/>
            <w:gridSpan w:val="2"/>
          </w:tcPr>
          <w:p>
            <w:pPr>
              <w:jc w:val="center"/>
              <w:ind w:right="3355"/>
              <w:spacing w:after="0"/>
              <w:rPr>
                <w:sz w:val="20"/>
                <w:szCs w:val="20"/>
                <w:color w:val="auto"/>
              </w:rPr>
            </w:pPr>
            <w:r>
              <w:rPr>
                <w:rFonts w:ascii="Times New Roman" w:cs="Times New Roman" w:eastAsia="Times New Roman" w:hAnsi="Times New Roman"/>
                <w:sz w:val="18"/>
                <w:szCs w:val="18"/>
                <w:b w:val="1"/>
                <w:bCs w:val="1"/>
                <w:color w:val="auto"/>
                <w:w w:val="98"/>
              </w:rPr>
              <w:t>Marvell Technology Group Ltd.</w:t>
            </w:r>
          </w:p>
        </w:tc>
      </w:tr>
      <w:tr>
        <w:trPr>
          <w:trHeight w:val="270"/>
        </w:trPr>
        <w:tc>
          <w:tcPr>
            <w:tcW w:w="3500" w:type="dxa"/>
            <w:vAlign w:val="bottom"/>
          </w:tcPr>
          <w:p>
            <w:pPr>
              <w:spacing w:after="0"/>
              <w:rPr>
                <w:sz w:val="23"/>
                <w:szCs w:val="23"/>
                <w:color w:val="auto"/>
              </w:rPr>
            </w:pPr>
          </w:p>
        </w:tc>
        <w:tc>
          <w:tcPr>
            <w:tcW w:w="7920" w:type="dxa"/>
            <w:vAlign w:val="bottom"/>
            <w:gridSpan w:val="2"/>
          </w:tcPr>
          <w:p>
            <w:pPr>
              <w:jc w:val="center"/>
              <w:ind w:right="3355"/>
              <w:spacing w:after="0"/>
              <w:rPr>
                <w:sz w:val="20"/>
                <w:szCs w:val="20"/>
                <w:color w:val="auto"/>
              </w:rPr>
            </w:pPr>
            <w:r>
              <w:rPr>
                <w:rFonts w:ascii="Times New Roman" w:cs="Times New Roman" w:eastAsia="Times New Roman" w:hAnsi="Times New Roman"/>
                <w:sz w:val="18"/>
                <w:szCs w:val="18"/>
                <w:b w:val="1"/>
                <w:bCs w:val="1"/>
                <w:color w:val="auto"/>
                <w:w w:val="99"/>
              </w:rPr>
              <w:t>Outlook for the Second Quarter of Fiscal Year 2020</w:t>
            </w:r>
          </w:p>
        </w:tc>
      </w:tr>
      <w:tr>
        <w:trPr>
          <w:trHeight w:val="270"/>
        </w:trPr>
        <w:tc>
          <w:tcPr>
            <w:tcW w:w="3500" w:type="dxa"/>
            <w:vAlign w:val="bottom"/>
          </w:tcPr>
          <w:p>
            <w:pPr>
              <w:spacing w:after="0"/>
              <w:rPr>
                <w:sz w:val="23"/>
                <w:szCs w:val="23"/>
                <w:color w:val="auto"/>
              </w:rPr>
            </w:pPr>
          </w:p>
        </w:tc>
        <w:tc>
          <w:tcPr>
            <w:tcW w:w="7920" w:type="dxa"/>
            <w:vAlign w:val="bottom"/>
            <w:gridSpan w:val="2"/>
          </w:tcPr>
          <w:p>
            <w:pPr>
              <w:jc w:val="center"/>
              <w:ind w:right="3415"/>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tc>
      </w:tr>
      <w:tr>
        <w:trPr>
          <w:trHeight w:val="270"/>
        </w:trPr>
        <w:tc>
          <w:tcPr>
            <w:tcW w:w="3500" w:type="dxa"/>
            <w:vAlign w:val="bottom"/>
          </w:tcPr>
          <w:p>
            <w:pPr>
              <w:spacing w:after="0"/>
              <w:rPr>
                <w:sz w:val="23"/>
                <w:szCs w:val="23"/>
                <w:color w:val="auto"/>
              </w:rPr>
            </w:pPr>
          </w:p>
        </w:tc>
        <w:tc>
          <w:tcPr>
            <w:tcW w:w="7920" w:type="dxa"/>
            <w:vAlign w:val="bottom"/>
            <w:gridSpan w:val="2"/>
          </w:tcPr>
          <w:p>
            <w:pPr>
              <w:jc w:val="center"/>
              <w:ind w:right="3355"/>
              <w:spacing w:after="0"/>
              <w:rPr>
                <w:sz w:val="20"/>
                <w:szCs w:val="20"/>
                <w:color w:val="auto"/>
              </w:rPr>
            </w:pPr>
            <w:r>
              <w:rPr>
                <w:rFonts w:ascii="Times New Roman" w:cs="Times New Roman" w:eastAsia="Times New Roman" w:hAnsi="Times New Roman"/>
                <w:sz w:val="18"/>
                <w:szCs w:val="18"/>
                <w:b w:val="1"/>
                <w:bCs w:val="1"/>
                <w:color w:val="auto"/>
                <w:w w:val="99"/>
              </w:rPr>
              <w:t>(In millions, except per share amounts)</w:t>
            </w:r>
          </w:p>
        </w:tc>
      </w:tr>
      <w:tr>
        <w:trPr>
          <w:trHeight w:val="421"/>
        </w:trPr>
        <w:tc>
          <w:tcPr>
            <w:tcW w:w="350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36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Outlook for Three Months Ended</w:t>
            </w:r>
          </w:p>
        </w:tc>
      </w:tr>
      <w:tr>
        <w:trPr>
          <w:trHeight w:val="195"/>
        </w:trPr>
        <w:tc>
          <w:tcPr>
            <w:tcW w:w="3500" w:type="dxa"/>
            <w:vAlign w:val="bottom"/>
            <w:tcBorders>
              <w:bottom w:val="single" w:sz="8" w:color="CCEEFF"/>
            </w:tcBorders>
          </w:tcPr>
          <w:p>
            <w:pPr>
              <w:spacing w:after="0"/>
              <w:rPr>
                <w:sz w:val="16"/>
                <w:szCs w:val="16"/>
                <w:color w:val="auto"/>
              </w:rPr>
            </w:pPr>
          </w:p>
        </w:tc>
        <w:tc>
          <w:tcPr>
            <w:tcW w:w="4280" w:type="dxa"/>
            <w:vAlign w:val="bottom"/>
            <w:tcBorders>
              <w:bottom w:val="single" w:sz="8" w:color="CCEEFF"/>
            </w:tcBorders>
          </w:tcPr>
          <w:p>
            <w:pPr>
              <w:spacing w:after="0"/>
              <w:rPr>
                <w:sz w:val="16"/>
                <w:szCs w:val="16"/>
                <w:color w:val="auto"/>
              </w:rPr>
            </w:pPr>
          </w:p>
        </w:tc>
        <w:tc>
          <w:tcPr>
            <w:tcW w:w="364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August 3, 2019</w:t>
            </w:r>
          </w:p>
        </w:tc>
      </w:tr>
      <w:tr>
        <w:trPr>
          <w:trHeight w:val="249"/>
        </w:trPr>
        <w:tc>
          <w:tcPr>
            <w:tcW w:w="35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GAAP revenue</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Times New Roman" w:cs="Times New Roman" w:eastAsia="Times New Roman" w:hAnsi="Times New Roman"/>
                <w:sz w:val="18"/>
                <w:szCs w:val="18"/>
                <w:color w:val="auto"/>
                <w:w w:val="99"/>
              </w:rPr>
              <w:t>$650 +/- 3%</w:t>
            </w:r>
          </w:p>
        </w:tc>
      </w:tr>
      <w:tr>
        <w:trPr>
          <w:trHeight w:val="243"/>
        </w:trPr>
        <w:tc>
          <w:tcPr>
            <w:tcW w:w="35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4280" w:type="dxa"/>
            <w:vAlign w:val="bottom"/>
          </w:tcPr>
          <w:p>
            <w:pPr>
              <w:spacing w:after="0"/>
              <w:rPr>
                <w:sz w:val="21"/>
                <w:szCs w:val="21"/>
                <w:color w:val="auto"/>
              </w:rPr>
            </w:pPr>
          </w:p>
        </w:tc>
        <w:tc>
          <w:tcPr>
            <w:tcW w:w="36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w:t>
            </w:r>
          </w:p>
        </w:tc>
      </w:tr>
      <w:tr>
        <w:trPr>
          <w:trHeight w:val="27"/>
        </w:trPr>
        <w:tc>
          <w:tcPr>
            <w:tcW w:w="3500" w:type="dxa"/>
            <w:vAlign w:val="bottom"/>
            <w:tcBorders>
              <w:bottom w:val="single" w:sz="8" w:color="CCEEFF"/>
            </w:tcBorders>
          </w:tcPr>
          <w:p>
            <w:pPr>
              <w:spacing w:after="0"/>
              <w:rPr>
                <w:sz w:val="2"/>
                <w:szCs w:val="2"/>
                <w:color w:val="auto"/>
              </w:rPr>
            </w:pPr>
          </w:p>
        </w:tc>
        <w:tc>
          <w:tcPr>
            <w:tcW w:w="4280" w:type="dxa"/>
            <w:vAlign w:val="bottom"/>
            <w:tcBorders>
              <w:bottom w:val="single" w:sz="8" w:color="CCEEFF"/>
            </w:tcBorders>
          </w:tcPr>
          <w:p>
            <w:pPr>
              <w:spacing w:after="0"/>
              <w:rPr>
                <w:sz w:val="2"/>
                <w:szCs w:val="2"/>
                <w:color w:val="auto"/>
              </w:rPr>
            </w:pPr>
          </w:p>
        </w:tc>
        <w:tc>
          <w:tcPr>
            <w:tcW w:w="3640" w:type="dxa"/>
            <w:vAlign w:val="bottom"/>
            <w:tcBorders>
              <w:bottom w:val="single" w:sz="8" w:color="auto"/>
            </w:tcBorders>
          </w:tcPr>
          <w:p>
            <w:pPr>
              <w:spacing w:after="0"/>
              <w:rPr>
                <w:sz w:val="2"/>
                <w:szCs w:val="2"/>
                <w:color w:val="auto"/>
              </w:rPr>
            </w:pPr>
          </w:p>
        </w:tc>
      </w:tr>
      <w:tr>
        <w:trPr>
          <w:trHeight w:val="244"/>
        </w:trPr>
        <w:tc>
          <w:tcPr>
            <w:tcW w:w="35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Non-GAAP revenue</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Times New Roman" w:cs="Times New Roman" w:eastAsia="Times New Roman" w:hAnsi="Times New Roman"/>
                <w:sz w:val="18"/>
                <w:szCs w:val="18"/>
                <w:color w:val="auto"/>
                <w:w w:val="99"/>
              </w:rPr>
              <w:t>$650 +/- 3%</w:t>
            </w:r>
          </w:p>
        </w:tc>
      </w:tr>
      <w:tr>
        <w:trPr>
          <w:trHeight w:val="297"/>
        </w:trPr>
        <w:tc>
          <w:tcPr>
            <w:tcW w:w="350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3640" w:type="dxa"/>
            <w:vAlign w:val="bottom"/>
          </w:tcPr>
          <w:p>
            <w:pPr>
              <w:spacing w:after="0"/>
              <w:rPr>
                <w:sz w:val="24"/>
                <w:szCs w:val="24"/>
                <w:color w:val="auto"/>
              </w:rPr>
            </w:pPr>
          </w:p>
        </w:tc>
      </w:tr>
      <w:tr>
        <w:trPr>
          <w:trHeight w:val="250"/>
        </w:trPr>
        <w:tc>
          <w:tcPr>
            <w:tcW w:w="35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GAAP gross margin</w:t>
            </w:r>
          </w:p>
        </w:tc>
        <w:tc>
          <w:tcPr>
            <w:tcW w:w="4280" w:type="dxa"/>
            <w:vAlign w:val="bottom"/>
            <w:tcBorders>
              <w:bottom w:val="single" w:sz="8" w:color="CCEEFF"/>
            </w:tcBorders>
            <w:shd w:val="clear" w:color="auto" w:fill="CCEEFF"/>
          </w:tcPr>
          <w:p>
            <w:pPr>
              <w:spacing w:after="0"/>
              <w:rPr>
                <w:sz w:val="21"/>
                <w:szCs w:val="21"/>
                <w:color w:val="auto"/>
              </w:rPr>
            </w:pPr>
          </w:p>
        </w:tc>
        <w:tc>
          <w:tcPr>
            <w:tcW w:w="3640" w:type="dxa"/>
            <w:vAlign w:val="bottom"/>
            <w:tcBorders>
              <w:bottom w:val="single" w:sz="8" w:color="CCEEFF"/>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8"/>
              </w:rPr>
              <w:t>53% to 54%</w:t>
            </w:r>
          </w:p>
        </w:tc>
      </w:tr>
      <w:tr>
        <w:trPr>
          <w:trHeight w:val="243"/>
        </w:trPr>
        <w:tc>
          <w:tcPr>
            <w:tcW w:w="35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4280" w:type="dxa"/>
            <w:vAlign w:val="bottom"/>
          </w:tcPr>
          <w:p>
            <w:pPr>
              <w:spacing w:after="0"/>
              <w:rPr>
                <w:sz w:val="21"/>
                <w:szCs w:val="21"/>
                <w:color w:val="auto"/>
              </w:rPr>
            </w:pPr>
          </w:p>
        </w:tc>
        <w:tc>
          <w:tcPr>
            <w:tcW w:w="3640" w:type="dxa"/>
            <w:vAlign w:val="bottom"/>
          </w:tcPr>
          <w:p>
            <w:pPr>
              <w:spacing w:after="0"/>
              <w:rPr>
                <w:sz w:val="21"/>
                <w:szCs w:val="21"/>
                <w:color w:val="auto"/>
              </w:rPr>
            </w:pP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Share-based compensation</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Times New Roman" w:cs="Times New Roman" w:eastAsia="Times New Roman" w:hAnsi="Times New Roman"/>
                <w:sz w:val="18"/>
                <w:szCs w:val="18"/>
                <w:color w:val="auto"/>
              </w:rPr>
              <w:t>0.3%</w:t>
            </w:r>
          </w:p>
        </w:tc>
      </w:tr>
      <w:tr>
        <w:trPr>
          <w:trHeight w:val="243"/>
        </w:trPr>
        <w:tc>
          <w:tcPr>
            <w:tcW w:w="35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7920" w:type="dxa"/>
            <w:vAlign w:val="bottom"/>
            <w:gridSpan w:val="2"/>
          </w:tcPr>
          <w:p>
            <w:pPr>
              <w:jc w:val="center"/>
              <w:ind w:left="4170"/>
              <w:spacing w:after="0"/>
              <w:rPr>
                <w:sz w:val="20"/>
                <w:szCs w:val="20"/>
                <w:color w:val="auto"/>
              </w:rPr>
            </w:pPr>
            <w:r>
              <w:rPr>
                <w:rFonts w:ascii="Times New Roman" w:cs="Times New Roman" w:eastAsia="Times New Roman" w:hAnsi="Times New Roman"/>
                <w:sz w:val="18"/>
                <w:szCs w:val="18"/>
                <w:color w:val="auto"/>
              </w:rPr>
              <w:t>9.4%</w:t>
            </w:r>
          </w:p>
        </w:tc>
      </w:tr>
      <w:tr>
        <w:trPr>
          <w:trHeight w:val="27"/>
        </w:trPr>
        <w:tc>
          <w:tcPr>
            <w:tcW w:w="3500" w:type="dxa"/>
            <w:vAlign w:val="bottom"/>
            <w:tcBorders>
              <w:bottom w:val="single" w:sz="8" w:color="CCEEFF"/>
            </w:tcBorders>
          </w:tcPr>
          <w:p>
            <w:pPr>
              <w:spacing w:after="0"/>
              <w:rPr>
                <w:sz w:val="2"/>
                <w:szCs w:val="2"/>
                <w:color w:val="auto"/>
              </w:rPr>
            </w:pPr>
          </w:p>
        </w:tc>
        <w:tc>
          <w:tcPr>
            <w:tcW w:w="4280" w:type="dxa"/>
            <w:vAlign w:val="bottom"/>
            <w:tcBorders>
              <w:bottom w:val="single" w:sz="8" w:color="CCEEFF"/>
            </w:tcBorders>
          </w:tcPr>
          <w:p>
            <w:pPr>
              <w:spacing w:after="0"/>
              <w:rPr>
                <w:sz w:val="2"/>
                <w:szCs w:val="2"/>
                <w:color w:val="auto"/>
              </w:rPr>
            </w:pPr>
          </w:p>
        </w:tc>
        <w:tc>
          <w:tcPr>
            <w:tcW w:w="3640" w:type="dxa"/>
            <w:vAlign w:val="bottom"/>
            <w:tcBorders>
              <w:bottom w:val="single" w:sz="8" w:color="auto"/>
            </w:tcBorders>
          </w:tcPr>
          <w:p>
            <w:pPr>
              <w:spacing w:after="0"/>
              <w:rPr>
                <w:sz w:val="2"/>
                <w:szCs w:val="2"/>
                <w:color w:val="auto"/>
              </w:rPr>
            </w:pPr>
          </w:p>
        </w:tc>
      </w:tr>
      <w:tr>
        <w:trPr>
          <w:trHeight w:val="244"/>
        </w:trPr>
        <w:tc>
          <w:tcPr>
            <w:tcW w:w="35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Non-GAAP gross margin</w:t>
            </w:r>
          </w:p>
        </w:tc>
        <w:tc>
          <w:tcPr>
            <w:tcW w:w="4280" w:type="dxa"/>
            <w:vAlign w:val="bottom"/>
            <w:tcBorders>
              <w:bottom w:val="single" w:sz="8" w:color="CCEEFF"/>
            </w:tcBorders>
            <w:shd w:val="clear" w:color="auto" w:fill="CCEEFF"/>
          </w:tcPr>
          <w:p>
            <w:pPr>
              <w:spacing w:after="0"/>
              <w:rPr>
                <w:sz w:val="21"/>
                <w:szCs w:val="21"/>
                <w:color w:val="auto"/>
              </w:rPr>
            </w:pPr>
          </w:p>
        </w:tc>
        <w:tc>
          <w:tcPr>
            <w:tcW w:w="3640" w:type="dxa"/>
            <w:vAlign w:val="bottom"/>
            <w:tcBorders>
              <w:bottom w:val="single" w:sz="8" w:color="CCEEFF"/>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8"/>
              </w:rPr>
              <w:t>63% to 64%</w:t>
            </w:r>
          </w:p>
        </w:tc>
      </w:tr>
      <w:tr>
        <w:trPr>
          <w:trHeight w:val="297"/>
        </w:trPr>
        <w:tc>
          <w:tcPr>
            <w:tcW w:w="350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3640" w:type="dxa"/>
            <w:vAlign w:val="bottom"/>
          </w:tcPr>
          <w:p>
            <w:pPr>
              <w:spacing w:after="0"/>
              <w:rPr>
                <w:sz w:val="24"/>
                <w:szCs w:val="24"/>
                <w:color w:val="auto"/>
              </w:rPr>
            </w:pPr>
          </w:p>
        </w:tc>
      </w:tr>
      <w:tr>
        <w:trPr>
          <w:trHeight w:val="250"/>
        </w:trPr>
        <w:tc>
          <w:tcPr>
            <w:tcW w:w="35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Total GAAP operating expenses</w:t>
            </w:r>
          </w:p>
        </w:tc>
        <w:tc>
          <w:tcPr>
            <w:tcW w:w="7920" w:type="dxa"/>
            <w:vAlign w:val="bottom"/>
            <w:tcBorders>
              <w:bottom w:val="single" w:sz="8" w:color="CCEEFF"/>
            </w:tcBorders>
            <w:gridSpan w:val="2"/>
            <w:shd w:val="clear" w:color="auto" w:fill="CCEEFF"/>
          </w:tcPr>
          <w:p>
            <w:pPr>
              <w:jc w:val="right"/>
              <w:ind w:right="1275"/>
              <w:spacing w:after="0"/>
              <w:rPr>
                <w:sz w:val="20"/>
                <w:szCs w:val="20"/>
                <w:color w:val="auto"/>
              </w:rPr>
            </w:pPr>
            <w:r>
              <w:rPr>
                <w:rFonts w:ascii="Times New Roman" w:cs="Times New Roman" w:eastAsia="Times New Roman" w:hAnsi="Times New Roman"/>
                <w:sz w:val="18"/>
                <w:szCs w:val="18"/>
                <w:color w:val="auto"/>
              </w:rPr>
              <w:t>$370 - $380</w:t>
            </w:r>
          </w:p>
        </w:tc>
      </w:tr>
      <w:tr>
        <w:trPr>
          <w:trHeight w:val="243"/>
        </w:trPr>
        <w:tc>
          <w:tcPr>
            <w:tcW w:w="35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4280" w:type="dxa"/>
            <w:vAlign w:val="bottom"/>
          </w:tcPr>
          <w:p>
            <w:pPr>
              <w:spacing w:after="0"/>
              <w:rPr>
                <w:sz w:val="21"/>
                <w:szCs w:val="21"/>
                <w:color w:val="auto"/>
              </w:rPr>
            </w:pPr>
          </w:p>
        </w:tc>
        <w:tc>
          <w:tcPr>
            <w:tcW w:w="3640" w:type="dxa"/>
            <w:vAlign w:val="bottom"/>
          </w:tcPr>
          <w:p>
            <w:pPr>
              <w:spacing w:after="0"/>
              <w:rPr>
                <w:sz w:val="21"/>
                <w:szCs w:val="21"/>
                <w:color w:val="auto"/>
              </w:rPr>
            </w:pP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Share-based compensation</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Times New Roman" w:cs="Times New Roman" w:eastAsia="Times New Roman" w:hAnsi="Times New Roman"/>
                <w:sz w:val="18"/>
                <w:szCs w:val="18"/>
                <w:color w:val="auto"/>
                <w:w w:val="99"/>
              </w:rPr>
              <w:t>64</w:t>
            </w:r>
          </w:p>
        </w:tc>
      </w:tr>
      <w:tr>
        <w:trPr>
          <w:trHeight w:val="243"/>
        </w:trPr>
        <w:tc>
          <w:tcPr>
            <w:tcW w:w="35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7920" w:type="dxa"/>
            <w:vAlign w:val="bottom"/>
            <w:gridSpan w:val="2"/>
          </w:tcPr>
          <w:p>
            <w:pPr>
              <w:jc w:val="center"/>
              <w:ind w:left="4190"/>
              <w:spacing w:after="0"/>
              <w:rPr>
                <w:sz w:val="20"/>
                <w:szCs w:val="20"/>
                <w:color w:val="auto"/>
              </w:rPr>
            </w:pPr>
            <w:r>
              <w:rPr>
                <w:rFonts w:ascii="Times New Roman" w:cs="Times New Roman" w:eastAsia="Times New Roman" w:hAnsi="Times New Roman"/>
                <w:sz w:val="18"/>
                <w:szCs w:val="18"/>
                <w:color w:val="auto"/>
                <w:w w:val="88"/>
              </w:rPr>
              <w:t>1</w:t>
            </w: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7920" w:type="dxa"/>
            <w:vAlign w:val="bottom"/>
            <w:tcBorders>
              <w:bottom w:val="single" w:sz="8" w:color="CCEEFF"/>
            </w:tcBorders>
            <w:gridSpan w:val="2"/>
            <w:shd w:val="clear" w:color="auto" w:fill="CCEEFF"/>
          </w:tcPr>
          <w:p>
            <w:pPr>
              <w:jc w:val="center"/>
              <w:ind w:left="4170"/>
              <w:spacing w:after="0"/>
              <w:rPr>
                <w:sz w:val="20"/>
                <w:szCs w:val="20"/>
                <w:color w:val="auto"/>
              </w:rPr>
            </w:pPr>
            <w:r>
              <w:rPr>
                <w:rFonts w:ascii="Times New Roman" w:cs="Times New Roman" w:eastAsia="Times New Roman" w:hAnsi="Times New Roman"/>
                <w:sz w:val="18"/>
                <w:szCs w:val="18"/>
                <w:color w:val="auto"/>
                <w:w w:val="99"/>
              </w:rPr>
              <w:t>20</w:t>
            </w:r>
          </w:p>
        </w:tc>
      </w:tr>
      <w:tr>
        <w:trPr>
          <w:trHeight w:val="243"/>
        </w:trPr>
        <w:tc>
          <w:tcPr>
            <w:tcW w:w="35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Other operating expenses</w:t>
            </w:r>
          </w:p>
        </w:tc>
        <w:tc>
          <w:tcPr>
            <w:tcW w:w="7920" w:type="dxa"/>
            <w:vAlign w:val="bottom"/>
            <w:gridSpan w:val="2"/>
          </w:tcPr>
          <w:p>
            <w:pPr>
              <w:jc w:val="center"/>
              <w:ind w:left="4190"/>
              <w:spacing w:after="0"/>
              <w:rPr>
                <w:sz w:val="20"/>
                <w:szCs w:val="20"/>
                <w:color w:val="auto"/>
              </w:rPr>
            </w:pPr>
            <w:r>
              <w:rPr>
                <w:rFonts w:ascii="Times New Roman" w:cs="Times New Roman" w:eastAsia="Times New Roman" w:hAnsi="Times New Roman"/>
                <w:sz w:val="18"/>
                <w:szCs w:val="18"/>
                <w:color w:val="auto"/>
                <w:w w:val="88"/>
              </w:rPr>
              <w:t>2</w:t>
            </w:r>
          </w:p>
        </w:tc>
      </w:tr>
      <w:tr>
        <w:trPr>
          <w:trHeight w:val="27"/>
        </w:trPr>
        <w:tc>
          <w:tcPr>
            <w:tcW w:w="3500" w:type="dxa"/>
            <w:vAlign w:val="bottom"/>
            <w:tcBorders>
              <w:bottom w:val="single" w:sz="8" w:color="CCEEFF"/>
            </w:tcBorders>
          </w:tcPr>
          <w:p>
            <w:pPr>
              <w:spacing w:after="0"/>
              <w:rPr>
                <w:sz w:val="2"/>
                <w:szCs w:val="2"/>
                <w:color w:val="auto"/>
              </w:rPr>
            </w:pPr>
          </w:p>
        </w:tc>
        <w:tc>
          <w:tcPr>
            <w:tcW w:w="4280" w:type="dxa"/>
            <w:vAlign w:val="bottom"/>
            <w:tcBorders>
              <w:bottom w:val="single" w:sz="8" w:color="CCEEFF"/>
            </w:tcBorders>
          </w:tcPr>
          <w:p>
            <w:pPr>
              <w:spacing w:after="0"/>
              <w:rPr>
                <w:sz w:val="2"/>
                <w:szCs w:val="2"/>
                <w:color w:val="auto"/>
              </w:rPr>
            </w:pPr>
          </w:p>
        </w:tc>
        <w:tc>
          <w:tcPr>
            <w:tcW w:w="3640" w:type="dxa"/>
            <w:vAlign w:val="bottom"/>
            <w:tcBorders>
              <w:bottom w:val="single" w:sz="8" w:color="auto"/>
            </w:tcBorders>
          </w:tcPr>
          <w:p>
            <w:pPr>
              <w:spacing w:after="0"/>
              <w:rPr>
                <w:sz w:val="2"/>
                <w:szCs w:val="2"/>
                <w:color w:val="auto"/>
              </w:rPr>
            </w:pPr>
          </w:p>
        </w:tc>
      </w:tr>
      <w:tr>
        <w:trPr>
          <w:trHeight w:val="244"/>
        </w:trPr>
        <w:tc>
          <w:tcPr>
            <w:tcW w:w="35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non-GAAP operating expenses</w:t>
            </w:r>
          </w:p>
        </w:tc>
        <w:tc>
          <w:tcPr>
            <w:tcW w:w="7920" w:type="dxa"/>
            <w:vAlign w:val="bottom"/>
            <w:tcBorders>
              <w:bottom w:val="single" w:sz="8" w:color="CCEEFF"/>
            </w:tcBorders>
            <w:gridSpan w:val="2"/>
            <w:shd w:val="clear" w:color="auto" w:fill="CCEEFF"/>
          </w:tcPr>
          <w:p>
            <w:pPr>
              <w:jc w:val="center"/>
              <w:ind w:left="4190"/>
              <w:spacing w:after="0"/>
              <w:rPr>
                <w:sz w:val="20"/>
                <w:szCs w:val="20"/>
                <w:color w:val="auto"/>
              </w:rPr>
            </w:pPr>
            <w:r>
              <w:rPr>
                <w:rFonts w:ascii="Times New Roman" w:cs="Times New Roman" w:eastAsia="Times New Roman" w:hAnsi="Times New Roman"/>
                <w:sz w:val="18"/>
                <w:szCs w:val="18"/>
                <w:color w:val="auto"/>
              </w:rPr>
              <w:t>$285 - $290</w:t>
            </w:r>
          </w:p>
        </w:tc>
      </w:tr>
      <w:tr>
        <w:trPr>
          <w:trHeight w:val="243"/>
        </w:trPr>
        <w:tc>
          <w:tcPr>
            <w:tcW w:w="3500" w:type="dxa"/>
            <w:vAlign w:val="bottom"/>
          </w:tcPr>
          <w:p>
            <w:pPr>
              <w:spacing w:after="0"/>
              <w:rPr>
                <w:sz w:val="21"/>
                <w:szCs w:val="21"/>
                <w:color w:val="auto"/>
              </w:rPr>
            </w:pPr>
          </w:p>
        </w:tc>
        <w:tc>
          <w:tcPr>
            <w:tcW w:w="4280" w:type="dxa"/>
            <w:vAlign w:val="bottom"/>
          </w:tcPr>
          <w:p>
            <w:pPr>
              <w:spacing w:after="0"/>
              <w:rPr>
                <w:sz w:val="21"/>
                <w:szCs w:val="21"/>
                <w:color w:val="auto"/>
              </w:rPr>
            </w:pPr>
          </w:p>
        </w:tc>
        <w:tc>
          <w:tcPr>
            <w:tcW w:w="3640" w:type="dxa"/>
            <w:vAlign w:val="bottom"/>
          </w:tcPr>
          <w:p>
            <w:pPr>
              <w:spacing w:after="0"/>
              <w:rPr>
                <w:sz w:val="21"/>
                <w:szCs w:val="21"/>
                <w:color w:val="auto"/>
              </w:rPr>
            </w:pPr>
          </w:p>
        </w:tc>
      </w:tr>
      <w:tr>
        <w:trPr>
          <w:trHeight w:val="270"/>
        </w:trPr>
        <w:tc>
          <w:tcPr>
            <w:tcW w:w="3500" w:type="dxa"/>
            <w:vAlign w:val="bottom"/>
            <w:shd w:val="clear" w:color="auto" w:fill="CCEEFF"/>
          </w:tcPr>
          <w:p>
            <w:pPr>
              <w:spacing w:after="0"/>
              <w:rPr>
                <w:sz w:val="23"/>
                <w:szCs w:val="23"/>
                <w:color w:val="auto"/>
              </w:rPr>
            </w:pPr>
          </w:p>
        </w:tc>
        <w:tc>
          <w:tcPr>
            <w:tcW w:w="4280" w:type="dxa"/>
            <w:vAlign w:val="bottom"/>
            <w:shd w:val="clear" w:color="auto" w:fill="CCEEFF"/>
          </w:tcPr>
          <w:p>
            <w:pPr>
              <w:spacing w:after="0"/>
              <w:rPr>
                <w:sz w:val="23"/>
                <w:szCs w:val="23"/>
                <w:color w:val="auto"/>
              </w:rPr>
            </w:pPr>
          </w:p>
        </w:tc>
        <w:tc>
          <w:tcPr>
            <w:tcW w:w="3640" w:type="dxa"/>
            <w:vAlign w:val="bottom"/>
            <w:shd w:val="clear" w:color="auto" w:fill="CCEEFF"/>
          </w:tcPr>
          <w:p>
            <w:pPr>
              <w:spacing w:after="0"/>
              <w:rPr>
                <w:sz w:val="23"/>
                <w:szCs w:val="23"/>
                <w:color w:val="auto"/>
              </w:rPr>
            </w:pPr>
          </w:p>
        </w:tc>
      </w:tr>
      <w:tr>
        <w:trPr>
          <w:trHeight w:val="243"/>
        </w:trPr>
        <w:tc>
          <w:tcPr>
            <w:tcW w:w="350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GAAP diluted net loss per share</w:t>
            </w:r>
          </w:p>
        </w:tc>
        <w:tc>
          <w:tcPr>
            <w:tcW w:w="7920" w:type="dxa"/>
            <w:vAlign w:val="bottom"/>
            <w:gridSpan w:val="2"/>
          </w:tcPr>
          <w:p>
            <w:pPr>
              <w:jc w:val="right"/>
              <w:ind w:right="1115"/>
              <w:spacing w:after="0"/>
              <w:rPr>
                <w:sz w:val="20"/>
                <w:szCs w:val="20"/>
                <w:color w:val="auto"/>
              </w:rPr>
            </w:pPr>
            <w:r>
              <w:rPr>
                <w:rFonts w:ascii="Times New Roman" w:cs="Times New Roman" w:eastAsia="Times New Roman" w:hAnsi="Times New Roman"/>
                <w:sz w:val="18"/>
                <w:szCs w:val="18"/>
                <w:color w:val="auto"/>
              </w:rPr>
              <w:t>$(0.09) - $(0.05)</w:t>
            </w: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Special items:</w:t>
            </w:r>
          </w:p>
        </w:tc>
        <w:tc>
          <w:tcPr>
            <w:tcW w:w="4280" w:type="dxa"/>
            <w:vAlign w:val="bottom"/>
            <w:tcBorders>
              <w:bottom w:val="single" w:sz="8" w:color="CCEEFF"/>
            </w:tcBorders>
            <w:shd w:val="clear" w:color="auto" w:fill="CCEEFF"/>
          </w:tcPr>
          <w:p>
            <w:pPr>
              <w:spacing w:after="0"/>
              <w:rPr>
                <w:sz w:val="21"/>
                <w:szCs w:val="21"/>
                <w:color w:val="auto"/>
              </w:rPr>
            </w:pPr>
          </w:p>
        </w:tc>
        <w:tc>
          <w:tcPr>
            <w:tcW w:w="3640" w:type="dxa"/>
            <w:vAlign w:val="bottom"/>
            <w:tcBorders>
              <w:bottom w:val="single" w:sz="8" w:color="CCEEFF"/>
            </w:tcBorders>
            <w:shd w:val="clear" w:color="auto" w:fill="CCEEFF"/>
          </w:tcPr>
          <w:p>
            <w:pPr>
              <w:spacing w:after="0"/>
              <w:rPr>
                <w:sz w:val="21"/>
                <w:szCs w:val="21"/>
                <w:color w:val="auto"/>
              </w:rPr>
            </w:pPr>
          </w:p>
        </w:tc>
      </w:tr>
      <w:tr>
        <w:trPr>
          <w:trHeight w:val="243"/>
        </w:trPr>
        <w:tc>
          <w:tcPr>
            <w:tcW w:w="35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Share-based compensation</w:t>
            </w:r>
          </w:p>
        </w:tc>
        <w:tc>
          <w:tcPr>
            <w:tcW w:w="7920" w:type="dxa"/>
            <w:vAlign w:val="bottom"/>
            <w:gridSpan w:val="2"/>
          </w:tcPr>
          <w:p>
            <w:pPr>
              <w:jc w:val="center"/>
              <w:ind w:left="4190"/>
              <w:spacing w:after="0"/>
              <w:rPr>
                <w:sz w:val="20"/>
                <w:szCs w:val="20"/>
                <w:color w:val="auto"/>
              </w:rPr>
            </w:pPr>
            <w:r>
              <w:rPr>
                <w:rFonts w:ascii="Times New Roman" w:cs="Times New Roman" w:eastAsia="Times New Roman" w:hAnsi="Times New Roman"/>
                <w:sz w:val="18"/>
                <w:szCs w:val="18"/>
                <w:color w:val="auto"/>
              </w:rPr>
              <w:t>0.10</w:t>
            </w: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50"/>
        </w:trPr>
        <w:tc>
          <w:tcPr>
            <w:tcW w:w="350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7920" w:type="dxa"/>
            <w:vAlign w:val="bottom"/>
            <w:tcBorders>
              <w:bottom w:val="single" w:sz="8" w:color="CCEEFF"/>
            </w:tcBorders>
            <w:gridSpan w:val="2"/>
            <w:shd w:val="clear" w:color="auto" w:fill="CCEEFF"/>
          </w:tcPr>
          <w:p>
            <w:pPr>
              <w:jc w:val="center"/>
              <w:ind w:left="4190"/>
              <w:spacing w:after="0"/>
              <w:rPr>
                <w:sz w:val="20"/>
                <w:szCs w:val="20"/>
                <w:color w:val="auto"/>
              </w:rPr>
            </w:pPr>
            <w:r>
              <w:rPr>
                <w:rFonts w:ascii="Times New Roman" w:cs="Times New Roman" w:eastAsia="Times New Roman" w:hAnsi="Times New Roman"/>
                <w:sz w:val="18"/>
                <w:szCs w:val="18"/>
                <w:color w:val="auto"/>
              </w:rPr>
              <w:t>0.12</w:t>
            </w:r>
          </w:p>
        </w:tc>
      </w:tr>
      <w:tr>
        <w:trPr>
          <w:trHeight w:val="243"/>
        </w:trPr>
        <w:tc>
          <w:tcPr>
            <w:tcW w:w="35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Other operating expenses</w:t>
            </w:r>
          </w:p>
        </w:tc>
        <w:tc>
          <w:tcPr>
            <w:tcW w:w="7920" w:type="dxa"/>
            <w:vAlign w:val="bottom"/>
            <w:gridSpan w:val="2"/>
          </w:tcPr>
          <w:p>
            <w:pPr>
              <w:jc w:val="center"/>
              <w:ind w:left="4190"/>
              <w:spacing w:after="0"/>
              <w:rPr>
                <w:sz w:val="20"/>
                <w:szCs w:val="20"/>
                <w:color w:val="auto"/>
              </w:rPr>
            </w:pPr>
            <w:r>
              <w:rPr>
                <w:rFonts w:ascii="Times New Roman" w:cs="Times New Roman" w:eastAsia="Times New Roman" w:hAnsi="Times New Roman"/>
                <w:sz w:val="18"/>
                <w:szCs w:val="18"/>
                <w:color w:val="auto"/>
              </w:rPr>
              <w:t>0.01</w:t>
            </w:r>
          </w:p>
        </w:tc>
      </w:tr>
      <w:tr>
        <w:trPr>
          <w:trHeight w:val="27"/>
        </w:trPr>
        <w:tc>
          <w:tcPr>
            <w:tcW w:w="3500" w:type="dxa"/>
            <w:vAlign w:val="bottom"/>
          </w:tcPr>
          <w:p>
            <w:pPr>
              <w:spacing w:after="0"/>
              <w:rPr>
                <w:sz w:val="2"/>
                <w:szCs w:val="2"/>
                <w:color w:val="auto"/>
              </w:rPr>
            </w:pPr>
          </w:p>
        </w:tc>
        <w:tc>
          <w:tcPr>
            <w:tcW w:w="4280" w:type="dxa"/>
            <w:vAlign w:val="bottom"/>
          </w:tcPr>
          <w:p>
            <w:pPr>
              <w:spacing w:after="0"/>
              <w:rPr>
                <w:sz w:val="2"/>
                <w:szCs w:val="2"/>
                <w:color w:val="auto"/>
              </w:rPr>
            </w:pPr>
          </w:p>
        </w:tc>
        <w:tc>
          <w:tcPr>
            <w:tcW w:w="3640" w:type="dxa"/>
            <w:vAlign w:val="bottom"/>
          </w:tcPr>
          <w:p>
            <w:pPr>
              <w:spacing w:after="0"/>
              <w:rPr>
                <w:sz w:val="2"/>
                <w:szCs w:val="2"/>
                <w:color w:val="auto"/>
              </w:rPr>
            </w:pPr>
          </w:p>
        </w:tc>
      </w:tr>
      <w:tr>
        <w:trPr>
          <w:trHeight w:val="270"/>
        </w:trPr>
        <w:tc>
          <w:tcPr>
            <w:tcW w:w="350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Other income tax effects and adjustments</w:t>
            </w:r>
          </w:p>
        </w:tc>
        <w:tc>
          <w:tcPr>
            <w:tcW w:w="4280" w:type="dxa"/>
            <w:vAlign w:val="bottom"/>
            <w:tcBorders>
              <w:bottom w:val="single" w:sz="8" w:color="CCEEFF"/>
            </w:tcBorders>
            <w:shd w:val="clear" w:color="auto" w:fill="CCEEFF"/>
          </w:tcPr>
          <w:p>
            <w:pPr>
              <w:spacing w:after="0"/>
              <w:rPr>
                <w:sz w:val="23"/>
                <w:szCs w:val="23"/>
                <w:color w:val="auto"/>
              </w:rPr>
            </w:pPr>
          </w:p>
        </w:tc>
        <w:tc>
          <w:tcPr>
            <w:tcW w:w="3640" w:type="dxa"/>
            <w:vAlign w:val="bottom"/>
            <w:tcBorders>
              <w:bottom w:val="single" w:sz="8" w:color="CCEEFF"/>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(0.01)</w:t>
            </w:r>
          </w:p>
        </w:tc>
      </w:tr>
      <w:tr>
        <w:trPr>
          <w:trHeight w:val="237"/>
        </w:trPr>
        <w:tc>
          <w:tcPr>
            <w:tcW w:w="35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Non-GAAP diluted net income per share</w:t>
            </w:r>
          </w:p>
        </w:tc>
        <w:tc>
          <w:tcPr>
            <w:tcW w:w="4280" w:type="dxa"/>
            <w:vAlign w:val="bottom"/>
          </w:tcPr>
          <w:p>
            <w:pPr>
              <w:spacing w:after="0"/>
              <w:rPr>
                <w:sz w:val="20"/>
                <w:szCs w:val="20"/>
                <w:color w:val="auto"/>
              </w:rPr>
            </w:pPr>
          </w:p>
        </w:tc>
        <w:tc>
          <w:tcPr>
            <w:tcW w:w="36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$0.13 - $0.17</w:t>
            </w:r>
          </w:p>
        </w:tc>
      </w:tr>
    </w:tbl>
    <w:p>
      <w:pPr>
        <w:sectPr>
          <w:pgSz w:w="11900" w:h="16838" w:orient="portrait"/>
          <w:cols w:equalWidth="0" w:num="1">
            <w:col w:w="11420"/>
          </w:cols>
          <w:pgMar w:left="240" w:top="522" w:right="239" w:bottom="1440" w:gutter="0" w:footer="0" w:header="0"/>
        </w:sectPr>
      </w:pPr>
    </w:p>
    <w:bookmarkStart w:id="14" w:name="page15"/>
    <w:bookmarkEnd w:id="14"/>
    <w:p>
      <w:pPr>
        <w:jc w:val="center"/>
        <w:spacing w:after="0"/>
        <w:rPr>
          <w:sz w:val="20"/>
          <w:szCs w:val="20"/>
          <w:color w:val="auto"/>
        </w:rPr>
      </w:pPr>
      <w:r>
        <w:rPr>
          <w:rFonts w:ascii="Times New Roman" w:cs="Times New Roman" w:eastAsia="Times New Roman" w:hAnsi="Times New Roman"/>
          <w:sz w:val="18"/>
          <w:szCs w:val="18"/>
          <w:b w:val="1"/>
          <w:bCs w:val="1"/>
          <w:color w:val="auto"/>
        </w:rPr>
        <w:t>Quarterly Revenue Trend (Unaudited)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00" w:lineRule="exact"/>
        <w:rPr>
          <w:sz w:val="20"/>
          <w:szCs w:val="20"/>
          <w:color w:val="auto"/>
        </w:rPr>
      </w:pPr>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12"/>
        </w:trPr>
        <w:tc>
          <w:tcPr>
            <w:tcW w:w="29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gridSpan w:val="2"/>
          </w:tcPr>
          <w:p>
            <w:pPr>
              <w:ind w:left="40"/>
              <w:spacing w:after="0"/>
              <w:rPr>
                <w:sz w:val="20"/>
                <w:szCs w:val="20"/>
                <w:color w:val="auto"/>
              </w:rPr>
            </w:pPr>
            <w:r>
              <w:rPr>
                <w:rFonts w:ascii="Times New Roman" w:cs="Times New Roman" w:eastAsia="Times New Roman" w:hAnsi="Times New Roman"/>
                <w:sz w:val="16"/>
                <w:szCs w:val="16"/>
                <w:b w:val="1"/>
                <w:bCs w:val="1"/>
                <w:color w:val="auto"/>
              </w:rPr>
              <w:t>Three Months Ended</w:t>
            </w:r>
          </w:p>
        </w:tc>
        <w:tc>
          <w:tcPr>
            <w:tcW w:w="3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80" w:type="dxa"/>
            <w:vAlign w:val="bottom"/>
            <w:gridSpan w:val="3"/>
          </w:tcPr>
          <w:p>
            <w:pPr>
              <w:ind w:left="1040"/>
              <w:spacing w:after="0"/>
              <w:rPr>
                <w:sz w:val="20"/>
                <w:szCs w:val="20"/>
                <w:color w:val="auto"/>
              </w:rPr>
            </w:pPr>
            <w:r>
              <w:rPr>
                <w:rFonts w:ascii="Times New Roman" w:cs="Times New Roman" w:eastAsia="Times New Roman" w:hAnsi="Times New Roman"/>
                <w:sz w:val="16"/>
                <w:szCs w:val="16"/>
                <w:b w:val="1"/>
                <w:bCs w:val="1"/>
                <w:color w:val="auto"/>
              </w:rPr>
              <w:t>% Change</w:t>
            </w:r>
          </w:p>
        </w:tc>
        <w:tc>
          <w:tcPr>
            <w:tcW w:w="920" w:type="dxa"/>
            <w:vAlign w:val="bottom"/>
          </w:tcPr>
          <w:p>
            <w:pPr>
              <w:spacing w:after="0"/>
              <w:rPr>
                <w:sz w:val="18"/>
                <w:szCs w:val="18"/>
                <w:color w:val="auto"/>
              </w:rPr>
            </w:pPr>
          </w:p>
        </w:tc>
      </w:tr>
      <w:tr>
        <w:trPr>
          <w:trHeight w:val="33"/>
        </w:trPr>
        <w:tc>
          <w:tcPr>
            <w:tcW w:w="2920" w:type="dxa"/>
            <w:vAlign w:val="bottom"/>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07"/>
        </w:trPr>
        <w:tc>
          <w:tcPr>
            <w:tcW w:w="292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6"/>
                <w:szCs w:val="16"/>
                <w:b w:val="1"/>
                <w:bCs w:val="1"/>
                <w:color w:val="auto"/>
              </w:rPr>
              <w:t>May 4,</w:t>
            </w: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gridSpan w:val="2"/>
          </w:tcPr>
          <w:p>
            <w:pPr>
              <w:ind w:left="320"/>
              <w:spacing w:after="0"/>
              <w:rPr>
                <w:sz w:val="20"/>
                <w:szCs w:val="20"/>
                <w:color w:val="auto"/>
              </w:rPr>
            </w:pPr>
            <w:r>
              <w:rPr>
                <w:rFonts w:ascii="Times New Roman" w:cs="Times New Roman" w:eastAsia="Times New Roman" w:hAnsi="Times New Roman"/>
                <w:sz w:val="16"/>
                <w:szCs w:val="16"/>
                <w:b w:val="1"/>
                <w:bCs w:val="1"/>
                <w:color w:val="auto"/>
              </w:rPr>
              <w:t>February 2,</w:t>
            </w:r>
          </w:p>
        </w:tc>
        <w:tc>
          <w:tcPr>
            <w:tcW w:w="380" w:type="dxa"/>
            <w:vAlign w:val="bottom"/>
          </w:tcPr>
          <w:p>
            <w:pPr>
              <w:spacing w:after="0"/>
              <w:rPr>
                <w:sz w:val="18"/>
                <w:szCs w:val="18"/>
                <w:color w:val="auto"/>
              </w:rPr>
            </w:pPr>
          </w:p>
        </w:tc>
        <w:tc>
          <w:tcPr>
            <w:tcW w:w="1520" w:type="dxa"/>
            <w:vAlign w:val="bottom"/>
            <w:gridSpan w:val="2"/>
          </w:tcPr>
          <w:p>
            <w:pPr>
              <w:ind w:left="260"/>
              <w:spacing w:after="0"/>
              <w:rPr>
                <w:sz w:val="20"/>
                <w:szCs w:val="20"/>
                <w:color w:val="auto"/>
              </w:rPr>
            </w:pPr>
            <w:r>
              <w:rPr>
                <w:rFonts w:ascii="Times New Roman" w:cs="Times New Roman" w:eastAsia="Times New Roman" w:hAnsi="Times New Roman"/>
                <w:sz w:val="16"/>
                <w:szCs w:val="16"/>
                <w:b w:val="1"/>
                <w:bCs w:val="1"/>
                <w:color w:val="auto"/>
              </w:rPr>
              <w:t>May 5,</w:t>
            </w: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2"/>
        </w:trPr>
        <w:tc>
          <w:tcPr>
            <w:tcW w:w="292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6"/>
                <w:szCs w:val="16"/>
                <w:b w:val="1"/>
                <w:bCs w:val="1"/>
                <w:color w:val="auto"/>
              </w:rPr>
              <w:t>2019</w:t>
            </w: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60" w:type="dxa"/>
            <w:vAlign w:val="bottom"/>
          </w:tcPr>
          <w:p>
            <w:pPr>
              <w:jc w:val="right"/>
              <w:ind w:right="659"/>
              <w:spacing w:after="0"/>
              <w:rPr>
                <w:sz w:val="20"/>
                <w:szCs w:val="20"/>
                <w:color w:val="auto"/>
              </w:rPr>
            </w:pPr>
            <w:r>
              <w:rPr>
                <w:rFonts w:ascii="Times New Roman" w:cs="Times New Roman" w:eastAsia="Times New Roman" w:hAnsi="Times New Roman"/>
                <w:sz w:val="16"/>
                <w:szCs w:val="16"/>
                <w:b w:val="1"/>
                <w:bCs w:val="1"/>
                <w:color w:val="auto"/>
              </w:rPr>
              <w:t>2019</w:t>
            </w:r>
          </w:p>
        </w:tc>
        <w:tc>
          <w:tcPr>
            <w:tcW w:w="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20" w:type="dxa"/>
            <w:vAlign w:val="bottom"/>
          </w:tcPr>
          <w:p>
            <w:pPr>
              <w:jc w:val="right"/>
              <w:ind w:right="659"/>
              <w:spacing w:after="0"/>
              <w:rPr>
                <w:sz w:val="20"/>
                <w:szCs w:val="20"/>
                <w:color w:val="auto"/>
              </w:rPr>
            </w:pPr>
            <w:r>
              <w:rPr>
                <w:rFonts w:ascii="Times New Roman" w:cs="Times New Roman" w:eastAsia="Times New Roman" w:hAnsi="Times New Roman"/>
                <w:sz w:val="16"/>
                <w:szCs w:val="16"/>
                <w:b w:val="1"/>
                <w:bCs w:val="1"/>
                <w:color w:val="auto"/>
              </w:rPr>
              <w:t>2018</w:t>
            </w:r>
          </w:p>
        </w:tc>
        <w:tc>
          <w:tcPr>
            <w:tcW w:w="100" w:type="dxa"/>
            <w:vAlign w:val="bottom"/>
          </w:tcPr>
          <w:p>
            <w:pPr>
              <w:spacing w:after="0"/>
              <w:rPr>
                <w:sz w:val="18"/>
                <w:szCs w:val="18"/>
                <w:color w:val="auto"/>
              </w:rPr>
            </w:pPr>
          </w:p>
        </w:tc>
        <w:tc>
          <w:tcPr>
            <w:tcW w:w="1880" w:type="dxa"/>
            <w:vAlign w:val="bottom"/>
            <w:gridSpan w:val="3"/>
          </w:tcPr>
          <w:p>
            <w:pPr>
              <w:ind w:left="520"/>
              <w:spacing w:after="0"/>
              <w:rPr>
                <w:sz w:val="20"/>
                <w:szCs w:val="20"/>
                <w:color w:val="auto"/>
              </w:rPr>
            </w:pPr>
            <w:r>
              <w:rPr>
                <w:rFonts w:ascii="Times New Roman" w:cs="Times New Roman" w:eastAsia="Times New Roman" w:hAnsi="Times New Roman"/>
                <w:sz w:val="16"/>
                <w:szCs w:val="16"/>
                <w:b w:val="1"/>
                <w:bCs w:val="1"/>
                <w:color w:val="auto"/>
              </w:rPr>
              <w:t>YoY</w:t>
            </w:r>
          </w:p>
        </w:tc>
        <w:tc>
          <w:tcPr>
            <w:tcW w:w="920" w:type="dxa"/>
            <w:vAlign w:val="bottom"/>
          </w:tcPr>
          <w:p>
            <w:pPr>
              <w:jc w:val="right"/>
              <w:ind w:right="419"/>
              <w:spacing w:after="0"/>
              <w:rPr>
                <w:sz w:val="20"/>
                <w:szCs w:val="20"/>
                <w:color w:val="auto"/>
              </w:rPr>
            </w:pPr>
            <w:r>
              <w:rPr>
                <w:rFonts w:ascii="Times New Roman" w:cs="Times New Roman" w:eastAsia="Times New Roman" w:hAnsi="Times New Roman"/>
                <w:sz w:val="16"/>
                <w:szCs w:val="16"/>
                <w:b w:val="1"/>
                <w:bCs w:val="1"/>
                <w:color w:val="auto"/>
              </w:rPr>
              <w:t>QoQ</w:t>
            </w:r>
          </w:p>
        </w:tc>
      </w:tr>
      <w:tr>
        <w:trPr>
          <w:trHeight w:val="33"/>
        </w:trPr>
        <w:tc>
          <w:tcPr>
            <w:tcW w:w="29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6"/>
                <w:szCs w:val="16"/>
                <w:color w:val="auto"/>
              </w:rPr>
              <w:t xml:space="preserve">Storage </w:t>
            </w:r>
            <w:r>
              <w:rPr>
                <w:rFonts w:ascii="Times New Roman" w:cs="Times New Roman" w:eastAsia="Times New Roman" w:hAnsi="Times New Roman"/>
                <w:sz w:val="16"/>
                <w:szCs w:val="16"/>
                <w:i w:val="1"/>
                <w:iCs w:val="1"/>
                <w:color w:val="auto"/>
              </w:rPr>
              <w:t>(1)</w:t>
            </w:r>
          </w:p>
        </w:tc>
        <w:tc>
          <w:tcPr>
            <w:tcW w:w="1140" w:type="dxa"/>
            <w:vAlign w:val="bottom"/>
            <w:tcBorders>
              <w:bottom w:val="single" w:sz="8" w:color="CCEEFF"/>
            </w:tcBorders>
            <w:shd w:val="clear" w:color="auto" w:fill="CCEEFF"/>
          </w:tcPr>
          <w:p>
            <w:pPr>
              <w:jc w:val="right"/>
              <w:ind w:right="959"/>
              <w:spacing w:after="0"/>
              <w:rPr>
                <w:sz w:val="20"/>
                <w:szCs w:val="20"/>
                <w:color w:val="auto"/>
              </w:rPr>
            </w:pPr>
            <w:r>
              <w:rPr>
                <w:rFonts w:ascii="Times New Roman" w:cs="Times New Roman" w:eastAsia="Times New Roman" w:hAnsi="Times New Roman"/>
                <w:sz w:val="16"/>
                <w:szCs w:val="16"/>
                <w:color w:val="auto"/>
                <w:w w:val="99"/>
              </w:rPr>
              <w:t>$</w:t>
            </w:r>
          </w:p>
        </w:tc>
        <w:tc>
          <w:tcPr>
            <w:tcW w:w="64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w w:val="99"/>
              </w:rPr>
              <w:t>278,667</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99"/>
              </w:rPr>
              <w:t>$</w:t>
            </w: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317,042</w:t>
            </w:r>
          </w:p>
        </w:tc>
        <w:tc>
          <w:tcPr>
            <w:tcW w:w="10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jc w:val="right"/>
              <w:ind w:right="199"/>
              <w:spacing w:after="0"/>
              <w:rPr>
                <w:sz w:val="20"/>
                <w:szCs w:val="20"/>
                <w:color w:val="auto"/>
              </w:rPr>
            </w:pPr>
            <w:r>
              <w:rPr>
                <w:rFonts w:ascii="Times New Roman" w:cs="Times New Roman" w:eastAsia="Times New Roman" w:hAnsi="Times New Roman"/>
                <w:sz w:val="16"/>
                <w:szCs w:val="16"/>
                <w:color w:val="auto"/>
                <w:w w:val="99"/>
              </w:rPr>
              <w:t>$</w:t>
            </w:r>
          </w:p>
        </w:tc>
        <w:tc>
          <w:tcPr>
            <w:tcW w:w="1420" w:type="dxa"/>
            <w:vAlign w:val="bottom"/>
            <w:tcBorders>
              <w:bottom w:val="single" w:sz="8" w:color="CCEEFF"/>
            </w:tcBorders>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317,069</w:t>
            </w:r>
          </w:p>
        </w:tc>
        <w:tc>
          <w:tcPr>
            <w:tcW w:w="10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(12)%</w:t>
            </w:r>
          </w:p>
        </w:tc>
        <w:tc>
          <w:tcPr>
            <w:tcW w:w="100" w:type="dxa"/>
            <w:vAlign w:val="bottom"/>
            <w:tcBorders>
              <w:bottom w:val="single" w:sz="8" w:color="CCEEFF"/>
            </w:tcBorders>
            <w:shd w:val="clear" w:color="auto" w:fill="CCEEFF"/>
          </w:tcPr>
          <w:p>
            <w:pPr>
              <w:spacing w:after="0"/>
              <w:rPr>
                <w:sz w:val="20"/>
                <w:szCs w:val="20"/>
                <w:color w:val="auto"/>
              </w:rPr>
            </w:pPr>
          </w:p>
        </w:tc>
        <w:tc>
          <w:tcPr>
            <w:tcW w:w="4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(12)%</w:t>
            </w:r>
          </w:p>
        </w:tc>
      </w:tr>
      <w:tr>
        <w:trPr>
          <w:trHeight w:val="237"/>
        </w:trPr>
        <w:tc>
          <w:tcPr>
            <w:tcW w:w="2920" w:type="dxa"/>
            <w:vAlign w:val="bottom"/>
          </w:tcPr>
          <w:p>
            <w:pPr>
              <w:ind w:left="40"/>
              <w:spacing w:after="0"/>
              <w:rPr>
                <w:sz w:val="20"/>
                <w:szCs w:val="20"/>
                <w:color w:val="auto"/>
              </w:rPr>
            </w:pPr>
            <w:r>
              <w:rPr>
                <w:rFonts w:ascii="Times New Roman" w:cs="Times New Roman" w:eastAsia="Times New Roman" w:hAnsi="Times New Roman"/>
                <w:sz w:val="16"/>
                <w:szCs w:val="16"/>
                <w:color w:val="auto"/>
              </w:rPr>
              <w:t xml:space="preserve">Networking </w:t>
            </w:r>
            <w:r>
              <w:rPr>
                <w:rFonts w:ascii="Times New Roman" w:cs="Times New Roman" w:eastAsia="Times New Roman" w:hAnsi="Times New Roman"/>
                <w:sz w:val="16"/>
                <w:szCs w:val="16"/>
                <w:i w:val="1"/>
                <w:iCs w:val="1"/>
                <w:color w:val="auto"/>
              </w:rPr>
              <w:t>(2)</w:t>
            </w:r>
          </w:p>
        </w:tc>
        <w:tc>
          <w:tcPr>
            <w:tcW w:w="1140" w:type="dxa"/>
            <w:vAlign w:val="bottom"/>
          </w:tcPr>
          <w:p>
            <w:pPr>
              <w:spacing w:after="0"/>
              <w:rPr>
                <w:sz w:val="20"/>
                <w:szCs w:val="20"/>
                <w:color w:val="auto"/>
              </w:rPr>
            </w:pPr>
          </w:p>
        </w:tc>
        <w:tc>
          <w:tcPr>
            <w:tcW w:w="6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w w:val="99"/>
              </w:rPr>
              <w:t>341,344</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6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387,457</w:t>
            </w:r>
          </w:p>
        </w:tc>
        <w:tc>
          <w:tcPr>
            <w:tcW w:w="1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42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244,228</w:t>
            </w:r>
          </w:p>
        </w:tc>
        <w:tc>
          <w:tcPr>
            <w:tcW w:w="100" w:type="dxa"/>
            <w:vAlign w:val="bottom"/>
          </w:tcPr>
          <w:p>
            <w:pPr>
              <w:spacing w:after="0"/>
              <w:rPr>
                <w:sz w:val="20"/>
                <w:szCs w:val="20"/>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40 %</w:t>
            </w:r>
          </w:p>
        </w:tc>
        <w:tc>
          <w:tcPr>
            <w:tcW w:w="1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(12)%</w:t>
            </w:r>
          </w:p>
        </w:tc>
      </w:tr>
      <w:tr>
        <w:trPr>
          <w:trHeight w:val="33"/>
        </w:trPr>
        <w:tc>
          <w:tcPr>
            <w:tcW w:w="29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Total Core</w:t>
            </w:r>
          </w:p>
        </w:tc>
        <w:tc>
          <w:tcPr>
            <w:tcW w:w="1140" w:type="dxa"/>
            <w:vAlign w:val="bottom"/>
            <w:tcBorders>
              <w:bottom w:val="single" w:sz="8" w:color="CCEEFF"/>
            </w:tcBorders>
            <w:shd w:val="clear" w:color="auto" w:fill="CCEEFF"/>
          </w:tcPr>
          <w:p>
            <w:pPr>
              <w:spacing w:after="0"/>
              <w:rPr>
                <w:sz w:val="20"/>
                <w:szCs w:val="20"/>
                <w:color w:val="auto"/>
              </w:rPr>
            </w:pPr>
          </w:p>
        </w:tc>
        <w:tc>
          <w:tcPr>
            <w:tcW w:w="64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w w:val="99"/>
              </w:rPr>
              <w:t>620,011</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704,499</w:t>
            </w:r>
          </w:p>
        </w:tc>
        <w:tc>
          <w:tcPr>
            <w:tcW w:w="10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1420" w:type="dxa"/>
            <w:vAlign w:val="bottom"/>
            <w:tcBorders>
              <w:bottom w:val="single" w:sz="8" w:color="CCEEFF"/>
            </w:tcBorders>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561,297</w:t>
            </w:r>
          </w:p>
        </w:tc>
        <w:tc>
          <w:tcPr>
            <w:tcW w:w="10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10 %</w:t>
            </w:r>
          </w:p>
        </w:tc>
        <w:tc>
          <w:tcPr>
            <w:tcW w:w="100" w:type="dxa"/>
            <w:vAlign w:val="bottom"/>
            <w:tcBorders>
              <w:bottom w:val="single" w:sz="8" w:color="CCEEFF"/>
            </w:tcBorders>
            <w:shd w:val="clear" w:color="auto" w:fill="CCEEFF"/>
          </w:tcPr>
          <w:p>
            <w:pPr>
              <w:spacing w:after="0"/>
              <w:rPr>
                <w:sz w:val="20"/>
                <w:szCs w:val="20"/>
                <w:color w:val="auto"/>
              </w:rPr>
            </w:pPr>
          </w:p>
        </w:tc>
        <w:tc>
          <w:tcPr>
            <w:tcW w:w="4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(12)%</w:t>
            </w:r>
          </w:p>
        </w:tc>
      </w:tr>
      <w:tr>
        <w:trPr>
          <w:trHeight w:val="237"/>
        </w:trPr>
        <w:tc>
          <w:tcPr>
            <w:tcW w:w="2920" w:type="dxa"/>
            <w:vAlign w:val="bottom"/>
          </w:tcPr>
          <w:p>
            <w:pPr>
              <w:ind w:left="40"/>
              <w:spacing w:after="0"/>
              <w:rPr>
                <w:sz w:val="20"/>
                <w:szCs w:val="20"/>
                <w:color w:val="auto"/>
              </w:rPr>
            </w:pPr>
            <w:r>
              <w:rPr>
                <w:rFonts w:ascii="Times New Roman" w:cs="Times New Roman" w:eastAsia="Times New Roman" w:hAnsi="Times New Roman"/>
                <w:sz w:val="16"/>
                <w:szCs w:val="16"/>
                <w:color w:val="auto"/>
              </w:rPr>
              <w:t xml:space="preserve">Other </w:t>
            </w:r>
            <w:r>
              <w:rPr>
                <w:rFonts w:ascii="Times New Roman" w:cs="Times New Roman" w:eastAsia="Times New Roman" w:hAnsi="Times New Roman"/>
                <w:sz w:val="16"/>
                <w:szCs w:val="16"/>
                <w:i w:val="1"/>
                <w:iCs w:val="1"/>
                <w:color w:val="auto"/>
              </w:rPr>
              <w:t>(3)</w:t>
            </w:r>
          </w:p>
        </w:tc>
        <w:tc>
          <w:tcPr>
            <w:tcW w:w="1140" w:type="dxa"/>
            <w:vAlign w:val="bottom"/>
          </w:tcPr>
          <w:p>
            <w:pPr>
              <w:spacing w:after="0"/>
              <w:rPr>
                <w:sz w:val="20"/>
                <w:szCs w:val="20"/>
                <w:color w:val="auto"/>
              </w:rPr>
            </w:pPr>
          </w:p>
        </w:tc>
        <w:tc>
          <w:tcPr>
            <w:tcW w:w="640" w:type="dxa"/>
            <w:vAlign w:val="bottom"/>
          </w:tcPr>
          <w:p>
            <w:pPr>
              <w:jc w:val="right"/>
              <w:ind w:right="19"/>
              <w:spacing w:after="0"/>
              <w:rPr>
                <w:sz w:val="20"/>
                <w:szCs w:val="20"/>
                <w:color w:val="auto"/>
              </w:rPr>
            </w:pPr>
            <w:r>
              <w:rPr>
                <w:rFonts w:ascii="Times New Roman" w:cs="Times New Roman" w:eastAsia="Times New Roman" w:hAnsi="Times New Roman"/>
                <w:sz w:val="16"/>
                <w:szCs w:val="16"/>
                <w:color w:val="auto"/>
              </w:rPr>
              <w:t>42,441</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6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40,300</w:t>
            </w:r>
          </w:p>
        </w:tc>
        <w:tc>
          <w:tcPr>
            <w:tcW w:w="1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420" w:type="dxa"/>
            <w:vAlign w:val="bottom"/>
          </w:tcPr>
          <w:p>
            <w:pPr>
              <w:jc w:val="right"/>
              <w:ind w:right="39"/>
              <w:spacing w:after="0"/>
              <w:rPr>
                <w:sz w:val="20"/>
                <w:szCs w:val="20"/>
                <w:color w:val="auto"/>
              </w:rPr>
            </w:pPr>
            <w:r>
              <w:rPr>
                <w:rFonts w:ascii="Times New Roman" w:cs="Times New Roman" w:eastAsia="Times New Roman" w:hAnsi="Times New Roman"/>
                <w:sz w:val="16"/>
                <w:szCs w:val="16"/>
                <w:color w:val="auto"/>
              </w:rPr>
              <w:t>43,334</w:t>
            </w:r>
          </w:p>
        </w:tc>
        <w:tc>
          <w:tcPr>
            <w:tcW w:w="100" w:type="dxa"/>
            <w:vAlign w:val="bottom"/>
          </w:tcPr>
          <w:p>
            <w:pPr>
              <w:spacing w:after="0"/>
              <w:rPr>
                <w:sz w:val="20"/>
                <w:szCs w:val="20"/>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(2)%</w:t>
            </w:r>
          </w:p>
        </w:tc>
        <w:tc>
          <w:tcPr>
            <w:tcW w:w="1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5 %</w:t>
            </w:r>
          </w:p>
        </w:tc>
      </w:tr>
      <w:tr>
        <w:trPr>
          <w:trHeight w:val="33"/>
        </w:trPr>
        <w:tc>
          <w:tcPr>
            <w:tcW w:w="29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44"/>
        </w:trPr>
        <w:tc>
          <w:tcPr>
            <w:tcW w:w="29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6"/>
                <w:szCs w:val="16"/>
                <w:color w:val="auto"/>
              </w:rPr>
              <w:t>Total Revenue</w:t>
            </w:r>
          </w:p>
        </w:tc>
        <w:tc>
          <w:tcPr>
            <w:tcW w:w="1140" w:type="dxa"/>
            <w:vAlign w:val="bottom"/>
            <w:tcBorders>
              <w:bottom w:val="single" w:sz="8" w:color="auto"/>
            </w:tcBorders>
            <w:shd w:val="clear" w:color="auto" w:fill="CCEEFF"/>
          </w:tcPr>
          <w:p>
            <w:pPr>
              <w:jc w:val="right"/>
              <w:ind w:right="959"/>
              <w:spacing w:after="0"/>
              <w:rPr>
                <w:sz w:val="20"/>
                <w:szCs w:val="20"/>
                <w:color w:val="auto"/>
              </w:rPr>
            </w:pPr>
            <w:r>
              <w:rPr>
                <w:rFonts w:ascii="Times New Roman" w:cs="Times New Roman" w:eastAsia="Times New Roman" w:hAnsi="Times New Roman"/>
                <w:sz w:val="16"/>
                <w:szCs w:val="16"/>
                <w:color w:val="auto"/>
                <w:w w:val="99"/>
              </w:rPr>
              <w:t>$</w:t>
            </w:r>
          </w:p>
        </w:tc>
        <w:tc>
          <w:tcPr>
            <w:tcW w:w="640" w:type="dxa"/>
            <w:vAlign w:val="bottom"/>
            <w:tcBorders>
              <w:bottom w:val="single" w:sz="8" w:color="auto"/>
            </w:tcBorders>
            <w:shd w:val="clear" w:color="auto" w:fill="CCEEFF"/>
          </w:tcPr>
          <w:p>
            <w:pPr>
              <w:jc w:val="right"/>
              <w:ind w:right="19"/>
              <w:spacing w:after="0"/>
              <w:rPr>
                <w:sz w:val="20"/>
                <w:szCs w:val="20"/>
                <w:color w:val="auto"/>
              </w:rPr>
            </w:pPr>
            <w:r>
              <w:rPr>
                <w:rFonts w:ascii="Times New Roman" w:cs="Times New Roman" w:eastAsia="Times New Roman" w:hAnsi="Times New Roman"/>
                <w:sz w:val="16"/>
                <w:szCs w:val="16"/>
                <w:color w:val="auto"/>
                <w:w w:val="99"/>
              </w:rPr>
              <w:t>662,452</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99"/>
              </w:rPr>
              <w:t>$</w:t>
            </w:r>
          </w:p>
        </w:tc>
        <w:tc>
          <w:tcPr>
            <w:tcW w:w="1660" w:type="dxa"/>
            <w:vAlign w:val="bottom"/>
            <w:tcBorders>
              <w:bottom w:val="single" w:sz="8" w:color="auto"/>
            </w:tcBorders>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744,799</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auto"/>
            </w:tcBorders>
            <w:shd w:val="clear" w:color="auto" w:fill="CCEEFF"/>
          </w:tcPr>
          <w:p>
            <w:pPr>
              <w:jc w:val="right"/>
              <w:ind w:right="199"/>
              <w:spacing w:after="0"/>
              <w:rPr>
                <w:sz w:val="20"/>
                <w:szCs w:val="20"/>
                <w:color w:val="auto"/>
              </w:rPr>
            </w:pPr>
            <w:r>
              <w:rPr>
                <w:rFonts w:ascii="Times New Roman" w:cs="Times New Roman" w:eastAsia="Times New Roman" w:hAnsi="Times New Roman"/>
                <w:sz w:val="16"/>
                <w:szCs w:val="16"/>
                <w:color w:val="auto"/>
                <w:w w:val="99"/>
              </w:rPr>
              <w:t>$</w:t>
            </w:r>
          </w:p>
        </w:tc>
        <w:tc>
          <w:tcPr>
            <w:tcW w:w="1420" w:type="dxa"/>
            <w:vAlign w:val="bottom"/>
            <w:tcBorders>
              <w:bottom w:val="single" w:sz="8" w:color="auto"/>
            </w:tcBorders>
            <w:shd w:val="clear" w:color="auto" w:fill="CCEEFF"/>
          </w:tcPr>
          <w:p>
            <w:pPr>
              <w:jc w:val="right"/>
              <w:ind w:right="39"/>
              <w:spacing w:after="0"/>
              <w:rPr>
                <w:sz w:val="20"/>
                <w:szCs w:val="20"/>
                <w:color w:val="auto"/>
              </w:rPr>
            </w:pPr>
            <w:r>
              <w:rPr>
                <w:rFonts w:ascii="Times New Roman" w:cs="Times New Roman" w:eastAsia="Times New Roman" w:hAnsi="Times New Roman"/>
                <w:sz w:val="16"/>
                <w:szCs w:val="16"/>
                <w:color w:val="auto"/>
              </w:rPr>
              <w:t>604,631</w:t>
            </w:r>
          </w:p>
        </w:tc>
        <w:tc>
          <w:tcPr>
            <w:tcW w:w="10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10 %</w:t>
            </w:r>
          </w:p>
        </w:tc>
        <w:tc>
          <w:tcPr>
            <w:tcW w:w="10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auto"/>
            </w:tcBorders>
            <w:shd w:val="clear" w:color="auto" w:fill="CCEEFF"/>
          </w:tcPr>
          <w:p>
            <w:pPr>
              <w:spacing w:after="0"/>
              <w:rPr>
                <w:sz w:val="21"/>
                <w:szCs w:val="21"/>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(11)%</w:t>
            </w:r>
          </w:p>
        </w:tc>
      </w:tr>
      <w:tr>
        <w:trPr>
          <w:trHeight w:val="20"/>
        </w:trPr>
        <w:tc>
          <w:tcPr>
            <w:tcW w:w="2920" w:type="dxa"/>
            <w:vAlign w:val="bottom"/>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r>
    </w:tbl>
    <w:p>
      <w:pPr>
        <w:spacing w:after="0" w:line="376" w:lineRule="exact"/>
        <w:rPr>
          <w:sz w:val="20"/>
          <w:szCs w:val="20"/>
          <w:color w:val="auto"/>
        </w:rPr>
      </w:pPr>
    </w:p>
    <w:tbl>
      <w:tblPr>
        <w:tblLayout w:type="fixed"/>
        <w:tblInd w:w="0" w:type="dxa"/>
        <w:tblCellMar>
          <w:top w:w="0" w:type="dxa"/>
          <w:left w:w="0" w:type="dxa"/>
          <w:bottom w:w="0" w:type="dxa"/>
          <w:right w:w="0" w:type="dxa"/>
        </w:tblCellMar>
      </w:tblPr>
      <w:tr>
        <w:trPr>
          <w:trHeight w:val="212"/>
        </w:trPr>
        <w:tc>
          <w:tcPr>
            <w:tcW w:w="52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280"/>
              <w:spacing w:after="0"/>
              <w:rPr>
                <w:sz w:val="20"/>
                <w:szCs w:val="20"/>
                <w:color w:val="auto"/>
              </w:rPr>
            </w:pPr>
            <w:r>
              <w:rPr>
                <w:rFonts w:ascii="Times New Roman" w:cs="Times New Roman" w:eastAsia="Times New Roman" w:hAnsi="Times New Roman"/>
                <w:sz w:val="16"/>
                <w:szCs w:val="16"/>
                <w:b w:val="1"/>
                <w:bCs w:val="1"/>
                <w:color w:val="auto"/>
              </w:rPr>
              <w:t>Three Months Ended</w:t>
            </w:r>
          </w:p>
        </w:tc>
        <w:tc>
          <w:tcPr>
            <w:tcW w:w="1980" w:type="dxa"/>
            <w:vAlign w:val="bottom"/>
          </w:tcPr>
          <w:p>
            <w:pPr>
              <w:spacing w:after="0"/>
              <w:rPr>
                <w:sz w:val="18"/>
                <w:szCs w:val="18"/>
                <w:color w:val="auto"/>
              </w:rPr>
            </w:pPr>
          </w:p>
        </w:tc>
      </w:tr>
      <w:tr>
        <w:trPr>
          <w:trHeight w:val="33"/>
        </w:trPr>
        <w:tc>
          <w:tcPr>
            <w:tcW w:w="5280" w:type="dxa"/>
            <w:vAlign w:val="bottom"/>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07"/>
        </w:trPr>
        <w:tc>
          <w:tcPr>
            <w:tcW w:w="5280" w:type="dxa"/>
            <w:vAlign w:val="bottom"/>
          </w:tcPr>
          <w:p>
            <w:pPr>
              <w:spacing w:after="0"/>
              <w:rPr>
                <w:sz w:val="18"/>
                <w:szCs w:val="18"/>
                <w:color w:val="auto"/>
              </w:rPr>
            </w:pPr>
          </w:p>
        </w:tc>
        <w:tc>
          <w:tcPr>
            <w:tcW w:w="1400" w:type="dxa"/>
            <w:vAlign w:val="bottom"/>
          </w:tcPr>
          <w:p>
            <w:pPr>
              <w:jc w:val="center"/>
              <w:ind w:left="479"/>
              <w:spacing w:after="0"/>
              <w:rPr>
                <w:sz w:val="20"/>
                <w:szCs w:val="20"/>
                <w:color w:val="auto"/>
              </w:rPr>
            </w:pPr>
            <w:r>
              <w:rPr>
                <w:rFonts w:ascii="Times New Roman" w:cs="Times New Roman" w:eastAsia="Times New Roman" w:hAnsi="Times New Roman"/>
                <w:sz w:val="16"/>
                <w:szCs w:val="16"/>
                <w:b w:val="1"/>
                <w:bCs w:val="1"/>
                <w:color w:val="auto"/>
              </w:rPr>
              <w:t>May 4,</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560"/>
              <w:spacing w:after="0"/>
              <w:rPr>
                <w:sz w:val="20"/>
                <w:szCs w:val="20"/>
                <w:color w:val="auto"/>
              </w:rPr>
            </w:pPr>
            <w:r>
              <w:rPr>
                <w:rFonts w:ascii="Times New Roman" w:cs="Times New Roman" w:eastAsia="Times New Roman" w:hAnsi="Times New Roman"/>
                <w:sz w:val="16"/>
                <w:szCs w:val="16"/>
                <w:b w:val="1"/>
                <w:bCs w:val="1"/>
                <w:color w:val="auto"/>
              </w:rPr>
              <w:t>February 2,</w:t>
            </w:r>
          </w:p>
        </w:tc>
        <w:tc>
          <w:tcPr>
            <w:tcW w:w="1980" w:type="dxa"/>
            <w:vAlign w:val="bottom"/>
          </w:tcPr>
          <w:p>
            <w:pPr>
              <w:jc w:val="right"/>
              <w:ind w:right="679"/>
              <w:spacing w:after="0"/>
              <w:rPr>
                <w:sz w:val="20"/>
                <w:szCs w:val="20"/>
                <w:color w:val="auto"/>
              </w:rPr>
            </w:pPr>
            <w:r>
              <w:rPr>
                <w:rFonts w:ascii="Times New Roman" w:cs="Times New Roman" w:eastAsia="Times New Roman" w:hAnsi="Times New Roman"/>
                <w:sz w:val="16"/>
                <w:szCs w:val="16"/>
                <w:b w:val="1"/>
                <w:bCs w:val="1"/>
                <w:color w:val="auto"/>
              </w:rPr>
              <w:t>May 5,</w:t>
            </w:r>
          </w:p>
        </w:tc>
      </w:tr>
      <w:tr>
        <w:trPr>
          <w:trHeight w:val="212"/>
        </w:trPr>
        <w:tc>
          <w:tcPr>
            <w:tcW w:w="5280" w:type="dxa"/>
            <w:vAlign w:val="bottom"/>
          </w:tcPr>
          <w:p>
            <w:pPr>
              <w:ind w:left="40"/>
              <w:spacing w:after="0"/>
              <w:rPr>
                <w:sz w:val="20"/>
                <w:szCs w:val="20"/>
                <w:color w:val="auto"/>
              </w:rPr>
            </w:pPr>
            <w:r>
              <w:rPr>
                <w:rFonts w:ascii="Times New Roman" w:cs="Times New Roman" w:eastAsia="Times New Roman" w:hAnsi="Times New Roman"/>
                <w:sz w:val="16"/>
                <w:szCs w:val="16"/>
                <w:b w:val="1"/>
                <w:bCs w:val="1"/>
                <w:color w:val="auto"/>
              </w:rPr>
              <w:t>% of Total</w:t>
            </w:r>
          </w:p>
        </w:tc>
        <w:tc>
          <w:tcPr>
            <w:tcW w:w="1400" w:type="dxa"/>
            <w:vAlign w:val="bottom"/>
          </w:tcPr>
          <w:p>
            <w:pPr>
              <w:jc w:val="right"/>
              <w:ind w:right="159"/>
              <w:spacing w:after="0"/>
              <w:rPr>
                <w:sz w:val="20"/>
                <w:szCs w:val="20"/>
                <w:color w:val="auto"/>
              </w:rPr>
            </w:pPr>
            <w:r>
              <w:rPr>
                <w:rFonts w:ascii="Times New Roman" w:cs="Times New Roman" w:eastAsia="Times New Roman" w:hAnsi="Times New Roman"/>
                <w:sz w:val="16"/>
                <w:szCs w:val="16"/>
                <w:b w:val="1"/>
                <w:bCs w:val="1"/>
                <w:color w:val="auto"/>
              </w:rPr>
              <w:t>2019</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Times New Roman" w:cs="Times New Roman" w:eastAsia="Times New Roman" w:hAnsi="Times New Roman"/>
                <w:sz w:val="16"/>
                <w:szCs w:val="16"/>
                <w:b w:val="1"/>
                <w:bCs w:val="1"/>
                <w:color w:val="auto"/>
              </w:rPr>
              <w:t>2019</w:t>
            </w: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Times New Roman" w:cs="Times New Roman" w:eastAsia="Times New Roman" w:hAnsi="Times New Roman"/>
                <w:sz w:val="16"/>
                <w:szCs w:val="16"/>
                <w:b w:val="1"/>
                <w:bCs w:val="1"/>
                <w:color w:val="auto"/>
              </w:rPr>
              <w:t>2018</w:t>
            </w:r>
          </w:p>
        </w:tc>
      </w:tr>
      <w:tr>
        <w:trPr>
          <w:trHeight w:val="33"/>
        </w:trPr>
        <w:tc>
          <w:tcPr>
            <w:tcW w:w="5280" w:type="dxa"/>
            <w:vAlign w:val="bottom"/>
            <w:tcBorders>
              <w:bottom w:val="single" w:sz="8" w:color="CCEEFF"/>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6"/>
                <w:szCs w:val="16"/>
                <w:color w:val="auto"/>
              </w:rPr>
              <w:t xml:space="preserve">Storage </w:t>
            </w:r>
            <w:r>
              <w:rPr>
                <w:rFonts w:ascii="Times New Roman" w:cs="Times New Roman" w:eastAsia="Times New Roman" w:hAnsi="Times New Roman"/>
                <w:sz w:val="16"/>
                <w:szCs w:val="16"/>
                <w:i w:val="1"/>
                <w:iCs w:val="1"/>
                <w:color w:val="auto"/>
              </w:rPr>
              <w:t>(1)</w:t>
            </w:r>
          </w:p>
        </w:tc>
        <w:tc>
          <w:tcPr>
            <w:tcW w:w="1400" w:type="dxa"/>
            <w:vAlign w:val="bottom"/>
            <w:tcBorders>
              <w:bottom w:val="single" w:sz="8" w:color="CCEEFF"/>
            </w:tcBorders>
            <w:shd w:val="clear" w:color="auto" w:fill="CCEEFF"/>
          </w:tcPr>
          <w:p>
            <w:pPr>
              <w:spacing w:after="0"/>
              <w:rPr>
                <w:sz w:val="20"/>
                <w:szCs w:val="20"/>
                <w:color w:val="auto"/>
              </w:rPr>
            </w:pPr>
          </w:p>
        </w:tc>
        <w:tc>
          <w:tcPr>
            <w:tcW w:w="5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43%</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52%</w:t>
            </w:r>
          </w:p>
        </w:tc>
      </w:tr>
      <w:tr>
        <w:trPr>
          <w:trHeight w:val="237"/>
        </w:trPr>
        <w:tc>
          <w:tcPr>
            <w:tcW w:w="5280" w:type="dxa"/>
            <w:vAlign w:val="bottom"/>
          </w:tcPr>
          <w:p>
            <w:pPr>
              <w:ind w:left="40"/>
              <w:spacing w:after="0"/>
              <w:rPr>
                <w:sz w:val="20"/>
                <w:szCs w:val="20"/>
                <w:color w:val="auto"/>
              </w:rPr>
            </w:pPr>
            <w:r>
              <w:rPr>
                <w:rFonts w:ascii="Times New Roman" w:cs="Times New Roman" w:eastAsia="Times New Roman" w:hAnsi="Times New Roman"/>
                <w:sz w:val="16"/>
                <w:szCs w:val="16"/>
                <w:color w:val="auto"/>
              </w:rPr>
              <w:t xml:space="preserve">Networking </w:t>
            </w:r>
            <w:r>
              <w:rPr>
                <w:rFonts w:ascii="Times New Roman" w:cs="Times New Roman" w:eastAsia="Times New Roman" w:hAnsi="Times New Roman"/>
                <w:sz w:val="16"/>
                <w:szCs w:val="16"/>
                <w:i w:val="1"/>
                <w:iCs w:val="1"/>
                <w:color w:val="auto"/>
              </w:rPr>
              <w:t>(2)</w:t>
            </w:r>
          </w:p>
        </w:tc>
        <w:tc>
          <w:tcPr>
            <w:tcW w:w="14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52%</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52%</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41%</w:t>
            </w:r>
          </w:p>
        </w:tc>
      </w:tr>
      <w:tr>
        <w:trPr>
          <w:trHeight w:val="33"/>
        </w:trPr>
        <w:tc>
          <w:tcPr>
            <w:tcW w:w="5280" w:type="dxa"/>
            <w:vAlign w:val="bottom"/>
            <w:tcBorders>
              <w:bottom w:val="single" w:sz="8" w:color="CCEEFF"/>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Total Core</w:t>
            </w:r>
          </w:p>
        </w:tc>
        <w:tc>
          <w:tcPr>
            <w:tcW w:w="1400" w:type="dxa"/>
            <w:vAlign w:val="bottom"/>
            <w:tcBorders>
              <w:bottom w:val="single" w:sz="8" w:color="CCEEFF"/>
            </w:tcBorders>
            <w:shd w:val="clear" w:color="auto" w:fill="CCEEFF"/>
          </w:tcPr>
          <w:p>
            <w:pPr>
              <w:spacing w:after="0"/>
              <w:rPr>
                <w:sz w:val="20"/>
                <w:szCs w:val="20"/>
                <w:color w:val="auto"/>
              </w:rPr>
            </w:pPr>
          </w:p>
        </w:tc>
        <w:tc>
          <w:tcPr>
            <w:tcW w:w="5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94%</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95%</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93%</w:t>
            </w:r>
          </w:p>
        </w:tc>
      </w:tr>
      <w:tr>
        <w:trPr>
          <w:trHeight w:val="237"/>
        </w:trPr>
        <w:tc>
          <w:tcPr>
            <w:tcW w:w="5280" w:type="dxa"/>
            <w:vAlign w:val="bottom"/>
          </w:tcPr>
          <w:p>
            <w:pPr>
              <w:ind w:left="40"/>
              <w:spacing w:after="0"/>
              <w:rPr>
                <w:sz w:val="20"/>
                <w:szCs w:val="20"/>
                <w:color w:val="auto"/>
              </w:rPr>
            </w:pPr>
            <w:r>
              <w:rPr>
                <w:rFonts w:ascii="Times New Roman" w:cs="Times New Roman" w:eastAsia="Times New Roman" w:hAnsi="Times New Roman"/>
                <w:sz w:val="16"/>
                <w:szCs w:val="16"/>
                <w:color w:val="auto"/>
              </w:rPr>
              <w:t xml:space="preserve">Other </w:t>
            </w:r>
            <w:r>
              <w:rPr>
                <w:rFonts w:ascii="Times New Roman" w:cs="Times New Roman" w:eastAsia="Times New Roman" w:hAnsi="Times New Roman"/>
                <w:sz w:val="16"/>
                <w:szCs w:val="16"/>
                <w:i w:val="1"/>
                <w:iCs w:val="1"/>
                <w:color w:val="auto"/>
              </w:rPr>
              <w:t>(3)</w:t>
            </w:r>
          </w:p>
        </w:tc>
        <w:tc>
          <w:tcPr>
            <w:tcW w:w="14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6%</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5%</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Times New Roman" w:cs="Times New Roman" w:eastAsia="Times New Roman" w:hAnsi="Times New Roman"/>
                <w:sz w:val="16"/>
                <w:szCs w:val="16"/>
                <w:color w:val="auto"/>
              </w:rPr>
              <w:t>7%</w:t>
            </w:r>
          </w:p>
        </w:tc>
      </w:tr>
      <w:tr>
        <w:trPr>
          <w:trHeight w:val="33"/>
        </w:trPr>
        <w:tc>
          <w:tcPr>
            <w:tcW w:w="5280" w:type="dxa"/>
            <w:vAlign w:val="bottom"/>
            <w:tcBorders>
              <w:bottom w:val="single" w:sz="8" w:color="CCEEFF"/>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55"/>
        </w:trPr>
        <w:tc>
          <w:tcPr>
            <w:tcW w:w="52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6"/>
                <w:szCs w:val="16"/>
                <w:color w:val="auto"/>
              </w:rPr>
              <w:t>Total Revenue</w:t>
            </w:r>
          </w:p>
        </w:tc>
        <w:tc>
          <w:tcPr>
            <w:tcW w:w="1400" w:type="dxa"/>
            <w:vAlign w:val="bottom"/>
            <w:tcBorders>
              <w:bottom w:val="single" w:sz="8" w:color="CCEEFF"/>
            </w:tcBorders>
            <w:shd w:val="clear" w:color="auto" w:fill="CCEEFF"/>
          </w:tcPr>
          <w:p>
            <w:pPr>
              <w:spacing w:after="0"/>
              <w:rPr>
                <w:sz w:val="21"/>
                <w:szCs w:val="21"/>
                <w:color w:val="auto"/>
              </w:rPr>
            </w:pPr>
          </w:p>
        </w:tc>
        <w:tc>
          <w:tcPr>
            <w:tcW w:w="5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100%</w:t>
            </w:r>
          </w:p>
        </w:tc>
      </w:tr>
      <w:tr>
        <w:trPr>
          <w:trHeight w:val="20"/>
        </w:trPr>
        <w:tc>
          <w:tcPr>
            <w:tcW w:w="5280" w:type="dxa"/>
            <w:vAlign w:val="bottom"/>
            <w:tcBorders>
              <w:top w:val="single" w:sz="8" w:color="CCEEFF"/>
            </w:tcBorders>
          </w:tcPr>
          <w:p>
            <w:pPr>
              <w:spacing w:after="0" w:line="20" w:lineRule="exact"/>
              <w:rPr>
                <w:sz w:val="1"/>
                <w:szCs w:val="1"/>
                <w:color w:val="auto"/>
              </w:rPr>
            </w:pPr>
          </w:p>
        </w:tc>
        <w:tc>
          <w:tcPr>
            <w:tcW w:w="14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r>
    </w:tbl>
    <w:p>
      <w:pPr>
        <w:spacing w:after="0" w:line="360" w:lineRule="exact"/>
        <w:rPr>
          <w:sz w:val="20"/>
          <w:szCs w:val="20"/>
          <w:color w:val="auto"/>
        </w:rPr>
      </w:pPr>
    </w:p>
    <w:p>
      <w:pPr>
        <w:ind w:left="280" w:hanging="245"/>
        <w:spacing w:after="0"/>
        <w:tabs>
          <w:tab w:leader="none" w:pos="28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Storage products are comprised primarily of HDD and SSD Controllers, Fibre Channel Adapters and Data Center Storage Solutions.</w:t>
      </w:r>
    </w:p>
    <w:p>
      <w:pPr>
        <w:spacing w:after="0" w:line="63" w:lineRule="exact"/>
        <w:rPr>
          <w:rFonts w:ascii="Times New Roman" w:cs="Times New Roman" w:eastAsia="Times New Roman" w:hAnsi="Times New Roman"/>
          <w:sz w:val="18"/>
          <w:szCs w:val="18"/>
          <w:i w:val="1"/>
          <w:iCs w:val="1"/>
          <w:color w:val="auto"/>
        </w:rPr>
      </w:pPr>
    </w:p>
    <w:p>
      <w:pPr>
        <w:ind w:left="280" w:hanging="245"/>
        <w:spacing w:after="0"/>
        <w:tabs>
          <w:tab w:leader="none" w:pos="28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Networking products are comprised primarily of Ethernet Switches, Ethernet Transceivers, Ethernet NICs, Embedded Communication Processors,</w:t>
      </w:r>
    </w:p>
    <w:p>
      <w:pPr>
        <w:spacing w:after="0" w:line="27" w:lineRule="exact"/>
        <w:rPr>
          <w:rFonts w:ascii="Times New Roman" w:cs="Times New Roman" w:eastAsia="Times New Roman" w:hAnsi="Times New Roman"/>
          <w:sz w:val="18"/>
          <w:szCs w:val="18"/>
          <w:i w:val="1"/>
          <w:iCs w:val="1"/>
          <w:color w:val="auto"/>
        </w:rPr>
      </w:pPr>
    </w:p>
    <w:p>
      <w:pPr>
        <w:ind w:left="40" w:right="320"/>
        <w:spacing w:after="0" w:line="285" w:lineRule="auto"/>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7"/>
          <w:szCs w:val="17"/>
          <w:color w:val="auto"/>
        </w:rPr>
        <w:t>Automotive Ethernet, Security Adapters and Processors as well as WiFi solutions including WiFi only, WiFi/Bluetooth combos and WiFi Microcontroller combos. In addition, this grouping includes a few legacy product lines in which we no longer invest, but will generate revenue for several years.</w:t>
      </w:r>
    </w:p>
    <w:p>
      <w:pPr>
        <w:spacing w:after="0" w:line="3" w:lineRule="exact"/>
        <w:rPr>
          <w:rFonts w:ascii="Times New Roman" w:cs="Times New Roman" w:eastAsia="Times New Roman" w:hAnsi="Times New Roman"/>
          <w:sz w:val="18"/>
          <w:szCs w:val="18"/>
          <w:i w:val="1"/>
          <w:iCs w:val="1"/>
          <w:color w:val="auto"/>
        </w:rPr>
      </w:pPr>
    </w:p>
    <w:p>
      <w:pPr>
        <w:ind w:left="280" w:hanging="245"/>
        <w:spacing w:after="0"/>
        <w:tabs>
          <w:tab w:leader="none" w:pos="28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products are comprised primarily of Printer Solutions, Application Processors and others.</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 further information, contact: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ir@marvell.com</w:t>
      </w:r>
    </w:p>
    <w:sectPr>
      <w:pgSz w:w="11900" w:h="16838" w:orient="portrait"/>
      <w:cols w:equalWidth="0" w:num="1">
        <w:col w:w="11420"/>
      </w:cols>
      <w:pgMar w:left="240" w:top="576"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2019-12-28T11:24:59Z</dcterms:created>
  <dcterms:modified xsi:type="dcterms:W3CDTF">2019-12-28T11:24:59Z</dcterms:modified>
</cp:coreProperties>
</file>